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3003A7" w:rsidRPr="00302A3D" w:rsidTr="000216CC">
        <w:trPr>
          <w:trHeight w:val="851"/>
        </w:trPr>
        <w:tc>
          <w:tcPr>
            <w:tcW w:w="1259" w:type="dxa"/>
            <w:tcBorders>
              <w:top w:val="nil"/>
              <w:left w:val="nil"/>
              <w:bottom w:val="single" w:sz="4" w:space="0" w:color="auto"/>
              <w:right w:val="nil"/>
            </w:tcBorders>
            <w:shd w:val="clear" w:color="auto" w:fill="auto"/>
          </w:tcPr>
          <w:p w:rsidR="003003A7" w:rsidRPr="000B4919" w:rsidRDefault="003003A7" w:rsidP="003003A7">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3003A7" w:rsidRPr="000B4919" w:rsidRDefault="003003A7" w:rsidP="003003A7">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3003A7" w:rsidRPr="00302A3D" w:rsidRDefault="003003A7" w:rsidP="003003A7">
            <w:pPr>
              <w:jc w:val="right"/>
              <w:rPr>
                <w:b/>
                <w:sz w:val="40"/>
                <w:szCs w:val="40"/>
                <w:lang w:val="fr-FR"/>
              </w:rPr>
            </w:pPr>
            <w:r w:rsidRPr="00302A3D">
              <w:rPr>
                <w:b/>
                <w:sz w:val="40"/>
                <w:szCs w:val="40"/>
                <w:lang w:val="fr-FR"/>
              </w:rPr>
              <w:t>UN/SCETDG/</w:t>
            </w:r>
            <w:r w:rsidR="00D42C29" w:rsidRPr="00302A3D">
              <w:rPr>
                <w:b/>
                <w:sz w:val="40"/>
                <w:szCs w:val="40"/>
                <w:lang w:val="fr-FR"/>
              </w:rPr>
              <w:t>55</w:t>
            </w:r>
            <w:r w:rsidRPr="00302A3D">
              <w:rPr>
                <w:b/>
                <w:sz w:val="40"/>
                <w:szCs w:val="40"/>
                <w:lang w:val="fr-FR"/>
              </w:rPr>
              <w:t>/INF.</w:t>
            </w:r>
            <w:r w:rsidR="00F07619">
              <w:rPr>
                <w:b/>
                <w:sz w:val="40"/>
                <w:szCs w:val="40"/>
                <w:lang w:val="fr-FR"/>
              </w:rPr>
              <w:t>5</w:t>
            </w:r>
            <w:r w:rsidR="0086013A">
              <w:rPr>
                <w:b/>
                <w:sz w:val="40"/>
                <w:szCs w:val="40"/>
                <w:lang w:val="fr-FR"/>
              </w:rPr>
              <w:t>6</w:t>
            </w:r>
          </w:p>
          <w:p w:rsidR="003003A7" w:rsidRPr="00302A3D" w:rsidRDefault="003003A7" w:rsidP="003003A7">
            <w:pPr>
              <w:jc w:val="right"/>
              <w:rPr>
                <w:b/>
                <w:sz w:val="40"/>
                <w:szCs w:val="40"/>
                <w:lang w:val="fr-FR"/>
              </w:rPr>
            </w:pPr>
            <w:r w:rsidRPr="00302A3D">
              <w:rPr>
                <w:b/>
                <w:sz w:val="40"/>
                <w:szCs w:val="40"/>
                <w:lang w:val="fr-FR"/>
              </w:rPr>
              <w:t>UN/SCEGHS/</w:t>
            </w:r>
            <w:r w:rsidR="00D42C29" w:rsidRPr="00302A3D">
              <w:rPr>
                <w:b/>
                <w:sz w:val="40"/>
                <w:szCs w:val="40"/>
                <w:lang w:val="fr-FR"/>
              </w:rPr>
              <w:t>37</w:t>
            </w:r>
            <w:r w:rsidRPr="00302A3D">
              <w:rPr>
                <w:b/>
                <w:sz w:val="40"/>
                <w:szCs w:val="40"/>
                <w:lang w:val="fr-FR"/>
              </w:rPr>
              <w:t>/INF.</w:t>
            </w:r>
            <w:r w:rsidR="0086013A">
              <w:rPr>
                <w:b/>
                <w:sz w:val="40"/>
                <w:szCs w:val="40"/>
                <w:lang w:val="fr-FR"/>
              </w:rPr>
              <w:t>21</w:t>
            </w:r>
          </w:p>
          <w:p w:rsidR="003003A7" w:rsidRPr="00302A3D" w:rsidRDefault="003003A7" w:rsidP="003003A7">
            <w:pPr>
              <w:jc w:val="right"/>
              <w:rPr>
                <w:lang w:val="fr-FR"/>
              </w:rPr>
            </w:pPr>
          </w:p>
        </w:tc>
      </w:tr>
    </w:tbl>
    <w:p w:rsidR="000019B8" w:rsidRPr="00302A3D" w:rsidRDefault="000019B8" w:rsidP="000019B8">
      <w:pPr>
        <w:rPr>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302A3D" w:rsidTr="00165735">
        <w:tc>
          <w:tcPr>
            <w:tcW w:w="9645" w:type="dxa"/>
            <w:gridSpan w:val="2"/>
            <w:tcMar>
              <w:top w:w="142" w:type="dxa"/>
              <w:left w:w="108" w:type="dxa"/>
              <w:bottom w:w="142" w:type="dxa"/>
              <w:right w:w="108" w:type="dxa"/>
            </w:tcMar>
          </w:tcPr>
          <w:p w:rsidR="00645A0B" w:rsidRPr="00302A3D" w:rsidRDefault="00645A0B" w:rsidP="007932E3">
            <w:pPr>
              <w:tabs>
                <w:tab w:val="right" w:pos="9214"/>
              </w:tabs>
            </w:pPr>
            <w:r w:rsidRPr="00302A3D">
              <w:rPr>
                <w:b/>
                <w:sz w:val="24"/>
                <w:szCs w:val="24"/>
              </w:rPr>
              <w:t>Committee of Experts on the Transport of Dangerous Goods</w:t>
            </w:r>
            <w:r w:rsidRPr="00302A3D">
              <w:rPr>
                <w:b/>
                <w:sz w:val="24"/>
                <w:szCs w:val="24"/>
              </w:rPr>
              <w:tab/>
            </w:r>
            <w:r w:rsidRPr="00302A3D">
              <w:rPr>
                <w:b/>
                <w:sz w:val="24"/>
                <w:szCs w:val="24"/>
              </w:rPr>
              <w:br/>
              <w:t>and on the Globally Harmonized System of Classification</w:t>
            </w:r>
            <w:r w:rsidRPr="00302A3D">
              <w:rPr>
                <w:b/>
                <w:sz w:val="24"/>
                <w:szCs w:val="24"/>
              </w:rPr>
              <w:br/>
              <w:t>and Labelling of Chemicals</w:t>
            </w:r>
            <w:r w:rsidRPr="00302A3D">
              <w:rPr>
                <w:b/>
              </w:rPr>
              <w:tab/>
            </w:r>
            <w:r w:rsidR="00F07619">
              <w:rPr>
                <w:b/>
              </w:rPr>
              <w:t>3 July</w:t>
            </w:r>
            <w:r w:rsidR="007932E3" w:rsidRPr="00302A3D">
              <w:rPr>
                <w:b/>
              </w:rPr>
              <w:t xml:space="preserve"> </w:t>
            </w:r>
            <w:r w:rsidR="00D42C29" w:rsidRPr="00302A3D">
              <w:rPr>
                <w:b/>
                <w:sz w:val="18"/>
                <w:szCs w:val="24"/>
              </w:rPr>
              <w:t>2019</w:t>
            </w:r>
          </w:p>
        </w:tc>
      </w:tr>
      <w:tr w:rsidR="003003A7" w:rsidRPr="00302A3D" w:rsidTr="00165735">
        <w:tc>
          <w:tcPr>
            <w:tcW w:w="4652" w:type="dxa"/>
            <w:tcMar>
              <w:top w:w="57" w:type="dxa"/>
              <w:left w:w="108" w:type="dxa"/>
              <w:bottom w:w="0" w:type="dxa"/>
              <w:right w:w="108" w:type="dxa"/>
            </w:tcMar>
            <w:vAlign w:val="center"/>
          </w:tcPr>
          <w:p w:rsidR="003003A7" w:rsidRPr="00302A3D" w:rsidRDefault="003003A7" w:rsidP="003003A7">
            <w:pPr>
              <w:spacing w:before="120"/>
              <w:rPr>
                <w:b/>
              </w:rPr>
            </w:pPr>
            <w:r w:rsidRPr="00302A3D">
              <w:rPr>
                <w:b/>
              </w:rPr>
              <w:t xml:space="preserve">Sub-Committee of Experts on the </w:t>
            </w:r>
            <w:r w:rsidRPr="00302A3D">
              <w:rPr>
                <w:b/>
              </w:rPr>
              <w:br/>
              <w:t xml:space="preserve">Transport of Dangerous Goods </w:t>
            </w:r>
          </w:p>
        </w:tc>
        <w:tc>
          <w:tcPr>
            <w:tcW w:w="4993" w:type="dxa"/>
            <w:tcMar>
              <w:top w:w="57" w:type="dxa"/>
              <w:left w:w="108" w:type="dxa"/>
              <w:bottom w:w="0" w:type="dxa"/>
              <w:right w:w="108" w:type="dxa"/>
            </w:tcMar>
            <w:vAlign w:val="center"/>
          </w:tcPr>
          <w:p w:rsidR="003003A7" w:rsidRPr="00302A3D" w:rsidRDefault="003003A7" w:rsidP="003003A7">
            <w:pPr>
              <w:spacing w:before="120"/>
              <w:rPr>
                <w:b/>
              </w:rPr>
            </w:pPr>
            <w:r w:rsidRPr="00302A3D">
              <w:rPr>
                <w:b/>
              </w:rPr>
              <w:t>Sub-Committee of Experts on the Globally Harmonized System of Classification and Labelling of Chemicals</w:t>
            </w:r>
          </w:p>
        </w:tc>
      </w:tr>
      <w:tr w:rsidR="003003A7" w:rsidRPr="00302A3D" w:rsidTr="00165735">
        <w:tc>
          <w:tcPr>
            <w:tcW w:w="4652" w:type="dxa"/>
            <w:tcMar>
              <w:top w:w="57" w:type="dxa"/>
              <w:left w:w="108" w:type="dxa"/>
              <w:bottom w:w="0" w:type="dxa"/>
              <w:right w:w="108" w:type="dxa"/>
            </w:tcMar>
          </w:tcPr>
          <w:p w:rsidR="003003A7" w:rsidRPr="00302A3D" w:rsidRDefault="003003A7" w:rsidP="00D42C29">
            <w:pPr>
              <w:spacing w:before="120"/>
              <w:ind w:left="34" w:hanging="34"/>
              <w:rPr>
                <w:b/>
              </w:rPr>
            </w:pPr>
            <w:r w:rsidRPr="00302A3D">
              <w:rPr>
                <w:b/>
              </w:rPr>
              <w:t>Fifty-</w:t>
            </w:r>
            <w:r w:rsidR="00D42C29" w:rsidRPr="00302A3D">
              <w:rPr>
                <w:b/>
              </w:rPr>
              <w:t>fifth</w:t>
            </w:r>
            <w:r w:rsidRPr="00302A3D">
              <w:rPr>
                <w:b/>
              </w:rPr>
              <w:t xml:space="preserve"> session</w:t>
            </w:r>
          </w:p>
        </w:tc>
        <w:tc>
          <w:tcPr>
            <w:tcW w:w="4993" w:type="dxa"/>
            <w:tcMar>
              <w:top w:w="57" w:type="dxa"/>
              <w:left w:w="108" w:type="dxa"/>
              <w:bottom w:w="0" w:type="dxa"/>
              <w:right w:w="108" w:type="dxa"/>
            </w:tcMar>
          </w:tcPr>
          <w:p w:rsidR="003003A7" w:rsidRPr="00302A3D" w:rsidRDefault="003003A7" w:rsidP="00D42C29">
            <w:pPr>
              <w:spacing w:before="120"/>
              <w:ind w:left="34" w:hanging="34"/>
              <w:rPr>
                <w:b/>
              </w:rPr>
            </w:pPr>
            <w:r w:rsidRPr="00302A3D">
              <w:rPr>
                <w:b/>
              </w:rPr>
              <w:t>Thirty-</w:t>
            </w:r>
            <w:r w:rsidR="00D42C29" w:rsidRPr="00302A3D">
              <w:rPr>
                <w:b/>
              </w:rPr>
              <w:t>seventh</w:t>
            </w:r>
            <w:r w:rsidRPr="00302A3D">
              <w:rPr>
                <w:b/>
              </w:rPr>
              <w:t xml:space="preserve"> session </w:t>
            </w:r>
          </w:p>
        </w:tc>
      </w:tr>
      <w:tr w:rsidR="003003A7" w:rsidRPr="000B4919" w:rsidTr="00165735">
        <w:tc>
          <w:tcPr>
            <w:tcW w:w="4652" w:type="dxa"/>
            <w:tcMar>
              <w:top w:w="28" w:type="dxa"/>
              <w:left w:w="108" w:type="dxa"/>
              <w:bottom w:w="0" w:type="dxa"/>
              <w:right w:w="108" w:type="dxa"/>
            </w:tcMar>
          </w:tcPr>
          <w:p w:rsidR="003003A7" w:rsidRPr="00302A3D" w:rsidRDefault="003003A7" w:rsidP="003003A7">
            <w:pPr>
              <w:tabs>
                <w:tab w:val="left" w:pos="6361"/>
                <w:tab w:val="left" w:pos="6939"/>
              </w:tabs>
              <w:spacing w:before="40"/>
              <w:outlineLvl w:val="0"/>
              <w:rPr>
                <w:bCs/>
              </w:rPr>
            </w:pPr>
            <w:r w:rsidRPr="00302A3D">
              <w:t xml:space="preserve">Geneva, </w:t>
            </w:r>
            <w:r w:rsidR="00E26269" w:rsidRPr="00302A3D">
              <w:t>1-5 July 2019</w:t>
            </w:r>
          </w:p>
          <w:p w:rsidR="003003A7" w:rsidRPr="00302A3D" w:rsidRDefault="003003A7" w:rsidP="003003A7">
            <w:pPr>
              <w:spacing w:before="40"/>
              <w:ind w:left="34" w:hanging="34"/>
            </w:pPr>
            <w:r w:rsidRPr="00302A3D">
              <w:t xml:space="preserve">Item </w:t>
            </w:r>
            <w:r w:rsidR="002F1915" w:rsidRPr="00302A3D">
              <w:t>2</w:t>
            </w:r>
            <w:r w:rsidR="006B4518" w:rsidRPr="00302A3D">
              <w:t xml:space="preserve"> (</w:t>
            </w:r>
            <w:r w:rsidR="005739EC" w:rsidRPr="00302A3D">
              <w:t>h</w:t>
            </w:r>
            <w:r w:rsidRPr="00302A3D">
              <w:t>) of the provisional agenda</w:t>
            </w:r>
          </w:p>
          <w:p w:rsidR="003003A7" w:rsidRPr="00302A3D" w:rsidRDefault="00E26269" w:rsidP="002F1915">
            <w:pPr>
              <w:spacing w:before="40"/>
              <w:rPr>
                <w:b/>
                <w:bCs/>
              </w:rPr>
            </w:pPr>
            <w:r w:rsidRPr="00302A3D">
              <w:rPr>
                <w:b/>
                <w:bCs/>
              </w:rPr>
              <w:t>E</w:t>
            </w:r>
            <w:r w:rsidR="002F1915" w:rsidRPr="00302A3D">
              <w:rPr>
                <w:b/>
                <w:bCs/>
              </w:rPr>
              <w:t>xplosives and related matters</w:t>
            </w:r>
            <w:r w:rsidRPr="00302A3D">
              <w:rPr>
                <w:b/>
                <w:bCs/>
              </w:rPr>
              <w:t>:</w:t>
            </w:r>
            <w:r w:rsidRPr="00302A3D">
              <w:rPr>
                <w:b/>
                <w:bCs/>
              </w:rPr>
              <w:br/>
              <w:t>Review of Chapter 2.1 of the GHS</w:t>
            </w:r>
          </w:p>
        </w:tc>
        <w:tc>
          <w:tcPr>
            <w:tcW w:w="4993" w:type="dxa"/>
            <w:tcMar>
              <w:top w:w="28" w:type="dxa"/>
              <w:left w:w="108" w:type="dxa"/>
              <w:bottom w:w="0" w:type="dxa"/>
              <w:right w:w="108" w:type="dxa"/>
            </w:tcMar>
          </w:tcPr>
          <w:p w:rsidR="003003A7" w:rsidRPr="00302A3D" w:rsidRDefault="003003A7" w:rsidP="003003A7">
            <w:pPr>
              <w:spacing w:before="40"/>
            </w:pPr>
            <w:r w:rsidRPr="00302A3D">
              <w:t xml:space="preserve">Geneva, </w:t>
            </w:r>
            <w:r w:rsidR="00E26269" w:rsidRPr="00302A3D">
              <w:t>8-10 July 2019</w:t>
            </w:r>
          </w:p>
          <w:p w:rsidR="003003A7" w:rsidRPr="00302A3D" w:rsidRDefault="003003A7" w:rsidP="003003A7">
            <w:pPr>
              <w:spacing w:before="40"/>
            </w:pPr>
            <w:r w:rsidRPr="00302A3D">
              <w:t xml:space="preserve">Item </w:t>
            </w:r>
            <w:r w:rsidR="00E26269" w:rsidRPr="00302A3D">
              <w:t>2</w:t>
            </w:r>
            <w:r w:rsidR="006B4518" w:rsidRPr="00302A3D">
              <w:t xml:space="preserve"> (b</w:t>
            </w:r>
            <w:r w:rsidRPr="00302A3D">
              <w:t>) of the provisional agenda</w:t>
            </w:r>
          </w:p>
          <w:p w:rsidR="003003A7" w:rsidRPr="006B4518" w:rsidRDefault="003003A7" w:rsidP="003003A7">
            <w:pPr>
              <w:spacing w:before="40"/>
              <w:rPr>
                <w:b/>
              </w:rPr>
            </w:pPr>
            <w:r w:rsidRPr="00302A3D">
              <w:rPr>
                <w:b/>
              </w:rPr>
              <w:t xml:space="preserve">Classification criteria and related hazard communication: </w:t>
            </w:r>
            <w:r w:rsidR="006B4518" w:rsidRPr="00302A3D">
              <w:rPr>
                <w:b/>
              </w:rPr>
              <w:t>review of Chapter 2.1</w:t>
            </w:r>
          </w:p>
        </w:tc>
      </w:tr>
    </w:tbl>
    <w:p w:rsidR="0086013A" w:rsidRPr="00E4220C" w:rsidRDefault="0086013A" w:rsidP="0086013A">
      <w:pPr>
        <w:pStyle w:val="HChG"/>
        <w:rPr>
          <w:rFonts w:eastAsia="MS Mincho"/>
          <w:sz w:val="24"/>
          <w:lang w:val="en-GB" w:eastAsia="ja-JP"/>
        </w:rPr>
      </w:pPr>
      <w:r>
        <w:rPr>
          <w:rFonts w:eastAsia="MS Mincho"/>
          <w:sz w:val="24"/>
          <w:lang w:val="en-GB" w:eastAsia="ja-JP"/>
        </w:rPr>
        <w:tab/>
      </w:r>
      <w:r>
        <w:rPr>
          <w:rFonts w:eastAsia="MS Mincho"/>
          <w:sz w:val="24"/>
          <w:lang w:val="en-GB" w:eastAsia="ja-JP"/>
        </w:rPr>
        <w:tab/>
      </w:r>
      <w:r w:rsidRPr="009152C9">
        <w:rPr>
          <w:rFonts w:eastAsia="MS Mincho"/>
          <w:sz w:val="24"/>
          <w:lang w:val="en-GB" w:eastAsia="ja-JP"/>
        </w:rPr>
        <w:t xml:space="preserve">Working Group on Explosives and the Informal Correspondence Group on the review of GHS Chapter 2.1 </w:t>
      </w:r>
    </w:p>
    <w:p w:rsidR="0086013A" w:rsidRPr="009152C9" w:rsidRDefault="0086013A" w:rsidP="0086013A">
      <w:pPr>
        <w:pStyle w:val="H1G"/>
        <w:rPr>
          <w:rFonts w:eastAsia="MS Mincho"/>
          <w:sz w:val="20"/>
        </w:rPr>
      </w:pPr>
      <w:r w:rsidRPr="00DA3263">
        <w:rPr>
          <w:rFonts w:eastAsia="MS Mincho"/>
          <w:sz w:val="20"/>
        </w:rPr>
        <w:tab/>
      </w:r>
      <w:r w:rsidRPr="00DA3263">
        <w:rPr>
          <w:rFonts w:eastAsia="MS Mincho"/>
          <w:sz w:val="20"/>
        </w:rPr>
        <w:tab/>
      </w:r>
      <w:r w:rsidRPr="009152C9">
        <w:rPr>
          <w:rFonts w:eastAsia="MS Mincho"/>
        </w:rPr>
        <w:t xml:space="preserve">Transmitted by the </w:t>
      </w:r>
      <w:r>
        <w:t>expert from Sweden</w:t>
      </w:r>
    </w:p>
    <w:p w:rsidR="0086013A" w:rsidRPr="00DA3263" w:rsidRDefault="0086013A" w:rsidP="0086013A">
      <w:pPr>
        <w:pStyle w:val="SingleTxtG"/>
        <w:numPr>
          <w:ilvl w:val="0"/>
          <w:numId w:val="28"/>
        </w:numPr>
        <w:tabs>
          <w:tab w:val="right" w:pos="1710"/>
        </w:tabs>
        <w:ind w:left="1170" w:hanging="36"/>
      </w:pPr>
      <w:r w:rsidRPr="00DA3263">
        <w:rPr>
          <w:lang w:val="en-GB"/>
        </w:rPr>
        <w:t xml:space="preserve">The joint meeting of the Working Group on Explosives (EWG) and the Informal Correspondence Group (ICG) on the review of GHS Chapter 2.1 discussed the criteria of the various classifications of the new GHS classification system as presented in the Annex of document ST/SG/AC.10/C.4/2019/5 - ST/SG/AC.10/C.3/2019/32. These discussions were based on document </w:t>
      </w:r>
      <w:r w:rsidRPr="00DA3263">
        <w:t>UN/SCETDG/55/INF.19</w:t>
      </w:r>
      <w:r w:rsidRPr="00DA3263">
        <w:rPr>
          <w:lang w:val="en-GB"/>
        </w:rPr>
        <w:t xml:space="preserve"> - </w:t>
      </w:r>
      <w:r w:rsidRPr="00DA3263">
        <w:t>UN/SCEGHS/37/INF.8</w:t>
      </w:r>
      <w:r w:rsidRPr="00DA3263">
        <w:rPr>
          <w:lang w:val="en-GB"/>
        </w:rPr>
        <w:t xml:space="preserve">, with the aim of revising and improving the therein suggested criteria, and </w:t>
      </w:r>
      <w:r>
        <w:rPr>
          <w:lang w:val="en-GB"/>
        </w:rPr>
        <w:t>seek agreement</w:t>
      </w:r>
      <w:r w:rsidRPr="00DA3263">
        <w:rPr>
          <w:lang w:val="en-GB"/>
        </w:rPr>
        <w:t xml:space="preserve"> upon them.</w:t>
      </w:r>
    </w:p>
    <w:p w:rsidR="0086013A" w:rsidRPr="00DA3263" w:rsidRDefault="0086013A" w:rsidP="0086013A">
      <w:pPr>
        <w:pStyle w:val="SingleTxtG"/>
        <w:numPr>
          <w:ilvl w:val="0"/>
          <w:numId w:val="28"/>
        </w:numPr>
        <w:tabs>
          <w:tab w:val="right" w:pos="1710"/>
        </w:tabs>
        <w:ind w:left="1170" w:hanging="36"/>
      </w:pPr>
      <w:r w:rsidRPr="00DA3263">
        <w:rPr>
          <w:lang w:val="en-GB"/>
        </w:rPr>
        <w:t xml:space="preserve">The formal part of the meeting has been reported in the EWG-report, see paragraph 8 of document UN/SCETDG/55/INF.55. The discussions were, however, continued after this </w:t>
      </w:r>
      <w:r>
        <w:rPr>
          <w:lang w:val="en-GB"/>
        </w:rPr>
        <w:t xml:space="preserve">(on Thursday 4 July) </w:t>
      </w:r>
      <w:r w:rsidRPr="00DA3263">
        <w:rPr>
          <w:lang w:val="en-GB"/>
        </w:rPr>
        <w:t>and the outcome</w:t>
      </w:r>
      <w:r>
        <w:rPr>
          <w:lang w:val="en-GB"/>
        </w:rPr>
        <w:t xml:space="preserve"> of the</w:t>
      </w:r>
      <w:r w:rsidRPr="00DA3263">
        <w:rPr>
          <w:lang w:val="en-GB"/>
        </w:rPr>
        <w:t>se additional discussions are presented in the annex to this document.</w:t>
      </w:r>
    </w:p>
    <w:p w:rsidR="0086013A" w:rsidRPr="00DA3263" w:rsidRDefault="0086013A" w:rsidP="0086013A">
      <w:pPr>
        <w:pStyle w:val="SingleTxtG"/>
        <w:numPr>
          <w:ilvl w:val="0"/>
          <w:numId w:val="28"/>
        </w:numPr>
        <w:tabs>
          <w:tab w:val="right" w:pos="1710"/>
        </w:tabs>
        <w:ind w:left="1170" w:hanging="36"/>
      </w:pPr>
      <w:r w:rsidRPr="009152C9">
        <w:rPr>
          <w:lang w:val="en-GB"/>
        </w:rPr>
        <w:t xml:space="preserve">The expert from Sweden </w:t>
      </w:r>
      <w:r>
        <w:rPr>
          <w:lang w:val="en-GB"/>
        </w:rPr>
        <w:t xml:space="preserve">is very </w:t>
      </w:r>
      <w:r w:rsidRPr="009152C9">
        <w:rPr>
          <w:lang w:val="en-GB"/>
        </w:rPr>
        <w:t>thank</w:t>
      </w:r>
      <w:r>
        <w:rPr>
          <w:lang w:val="en-GB"/>
        </w:rPr>
        <w:t>ful to</w:t>
      </w:r>
      <w:r w:rsidRPr="009152C9">
        <w:rPr>
          <w:lang w:val="en-GB"/>
        </w:rPr>
        <w:t xml:space="preserve"> the EWG-experts for their hard and engaged work</w:t>
      </w:r>
      <w:r>
        <w:rPr>
          <w:lang w:val="en-GB"/>
        </w:rPr>
        <w:t xml:space="preserve"> on this matter and is under the impression that the criteria needed for a new GHS Chapter 2.1 are now settled within this group.</w:t>
      </w:r>
    </w:p>
    <w:p w:rsidR="0086013A" w:rsidRPr="00DA3263" w:rsidRDefault="0086013A" w:rsidP="0086013A">
      <w:pPr>
        <w:suppressAutoHyphens w:val="0"/>
        <w:spacing w:line="240" w:lineRule="auto"/>
        <w:rPr>
          <w:rFonts w:eastAsia="Garamond"/>
          <w:b/>
        </w:rPr>
      </w:pPr>
      <w:r w:rsidRPr="00DA3263">
        <w:rPr>
          <w:rFonts w:eastAsia="Garamond"/>
          <w:b/>
        </w:rPr>
        <w:br w:type="page"/>
      </w:r>
    </w:p>
    <w:p w:rsidR="0086013A" w:rsidRPr="009152C9" w:rsidRDefault="0086013A" w:rsidP="0086013A">
      <w:pPr>
        <w:suppressAutoHyphens w:val="0"/>
        <w:spacing w:after="160" w:line="259" w:lineRule="auto"/>
        <w:ind w:firstLine="1134"/>
        <w:rPr>
          <w:rFonts w:eastAsia="Garamond"/>
          <w:b/>
          <w:sz w:val="24"/>
        </w:rPr>
      </w:pPr>
      <w:r w:rsidRPr="009152C9">
        <w:rPr>
          <w:rFonts w:eastAsia="Garamond"/>
          <w:b/>
          <w:sz w:val="24"/>
        </w:rPr>
        <w:lastRenderedPageBreak/>
        <w:t>Annex – Agreed criteria in the informal EWG/ICG meeting on 4 July 2019</w:t>
      </w:r>
    </w:p>
    <w:p w:rsidR="0086013A" w:rsidRDefault="0086013A" w:rsidP="0086013A">
      <w:pPr>
        <w:pStyle w:val="ListParagraph"/>
        <w:numPr>
          <w:ilvl w:val="0"/>
          <w:numId w:val="29"/>
        </w:numPr>
        <w:spacing w:after="160" w:line="259" w:lineRule="auto"/>
        <w:contextualSpacing/>
        <w:jc w:val="left"/>
        <w:rPr>
          <w:sz w:val="20"/>
          <w:szCs w:val="20"/>
          <w:lang w:val="en-GB"/>
        </w:rPr>
      </w:pPr>
      <w:r w:rsidRPr="00DA3263">
        <w:rPr>
          <w:sz w:val="20"/>
          <w:szCs w:val="20"/>
          <w:lang w:val="en-GB"/>
        </w:rPr>
        <w:t>It was agreed that a clarification of the scope of Category 1, as drafted in</w:t>
      </w:r>
      <w:r>
        <w:rPr>
          <w:sz w:val="20"/>
          <w:szCs w:val="20"/>
          <w:lang w:val="en-GB"/>
        </w:rPr>
        <w:t xml:space="preserve"> section </w:t>
      </w:r>
      <w:r w:rsidRPr="00DA3263">
        <w:rPr>
          <w:sz w:val="20"/>
          <w:szCs w:val="20"/>
          <w:lang w:val="en-GB"/>
        </w:rPr>
        <w:t>2.1.2.2</w:t>
      </w:r>
      <w:r>
        <w:rPr>
          <w:sz w:val="20"/>
          <w:szCs w:val="20"/>
          <w:lang w:val="en-GB"/>
        </w:rPr>
        <w:t xml:space="preserve"> point</w:t>
      </w:r>
      <w:r w:rsidRPr="00DA3263">
        <w:rPr>
          <w:sz w:val="20"/>
          <w:szCs w:val="20"/>
          <w:lang w:val="en-GB"/>
        </w:rPr>
        <w:t xml:space="preserve"> a) of INF.8/INF.19, is needed in an appropriate place in Chapter 2.1. It should clarify that, unless ex</w:t>
      </w:r>
      <w:r>
        <w:rPr>
          <w:sz w:val="20"/>
          <w:szCs w:val="20"/>
          <w:lang w:val="en-GB"/>
        </w:rPr>
        <w:t>cluded from the scope of the class of e</w:t>
      </w:r>
      <w:r w:rsidRPr="00DA3263">
        <w:rPr>
          <w:sz w:val="20"/>
          <w:szCs w:val="20"/>
          <w:lang w:val="en-GB"/>
        </w:rPr>
        <w:t xml:space="preserve">xplosives (or classified in Category 2), </w:t>
      </w:r>
      <w:r>
        <w:rPr>
          <w:sz w:val="20"/>
          <w:szCs w:val="20"/>
          <w:lang w:val="en-GB"/>
        </w:rPr>
        <w:t>Category 1</w:t>
      </w:r>
      <w:r w:rsidRPr="00DA3263">
        <w:rPr>
          <w:sz w:val="20"/>
          <w:szCs w:val="20"/>
          <w:lang w:val="en-GB"/>
        </w:rPr>
        <w:t xml:space="preserve"> covers:</w:t>
      </w:r>
    </w:p>
    <w:p w:rsidR="0086013A" w:rsidRDefault="0086013A" w:rsidP="0086013A">
      <w:pPr>
        <w:pStyle w:val="ListParagraph"/>
        <w:numPr>
          <w:ilvl w:val="1"/>
          <w:numId w:val="29"/>
        </w:numPr>
        <w:spacing w:after="160" w:line="259" w:lineRule="auto"/>
        <w:contextualSpacing/>
        <w:jc w:val="left"/>
        <w:rPr>
          <w:sz w:val="20"/>
          <w:szCs w:val="20"/>
          <w:lang w:val="en-GB"/>
        </w:rPr>
      </w:pPr>
      <w:r w:rsidRPr="00DA3263">
        <w:rPr>
          <w:sz w:val="20"/>
          <w:szCs w:val="20"/>
          <w:lang w:val="en-GB"/>
        </w:rPr>
        <w:t>Substances, mixtures and articles manufactured with a view of producing an explosive or pyrotechnic effect; and</w:t>
      </w:r>
    </w:p>
    <w:p w:rsidR="0086013A" w:rsidRPr="00DA3263" w:rsidRDefault="0086013A" w:rsidP="0086013A">
      <w:pPr>
        <w:pStyle w:val="ListParagraph"/>
        <w:numPr>
          <w:ilvl w:val="1"/>
          <w:numId w:val="29"/>
        </w:numPr>
        <w:spacing w:after="160" w:line="259" w:lineRule="auto"/>
        <w:contextualSpacing/>
        <w:jc w:val="left"/>
        <w:rPr>
          <w:sz w:val="20"/>
          <w:szCs w:val="20"/>
          <w:lang w:val="en-GB"/>
        </w:rPr>
      </w:pPr>
      <w:r w:rsidRPr="00DA3263">
        <w:rPr>
          <w:sz w:val="20"/>
          <w:szCs w:val="20"/>
          <w:lang w:val="en-GB"/>
        </w:rPr>
        <w:t>Other substances and mixtures that give positive results in Test series 2 of the UN Manual.</w:t>
      </w:r>
    </w:p>
    <w:p w:rsidR="0086013A" w:rsidRPr="00DA3263" w:rsidRDefault="0086013A" w:rsidP="0086013A">
      <w:pPr>
        <w:pStyle w:val="ListParagraph"/>
        <w:spacing w:after="160" w:line="259" w:lineRule="auto"/>
        <w:contextualSpacing/>
        <w:jc w:val="left"/>
        <w:rPr>
          <w:sz w:val="20"/>
          <w:szCs w:val="20"/>
          <w:lang w:val="en-GB"/>
        </w:rPr>
      </w:pPr>
    </w:p>
    <w:p w:rsidR="0086013A" w:rsidRPr="00DA3263" w:rsidRDefault="0086013A" w:rsidP="0086013A">
      <w:pPr>
        <w:pStyle w:val="ListParagraph"/>
        <w:numPr>
          <w:ilvl w:val="0"/>
          <w:numId w:val="29"/>
        </w:numPr>
        <w:spacing w:after="160" w:line="259" w:lineRule="auto"/>
        <w:contextualSpacing/>
        <w:jc w:val="left"/>
        <w:rPr>
          <w:sz w:val="20"/>
          <w:szCs w:val="20"/>
          <w:lang w:val="en-GB"/>
        </w:rPr>
      </w:pPr>
      <w:r w:rsidRPr="00DA3263">
        <w:rPr>
          <w:sz w:val="20"/>
          <w:szCs w:val="20"/>
          <w:lang w:val="en-GB"/>
        </w:rPr>
        <w:t xml:space="preserve">The draft list of exclusions from the class of explosives in 2.1.1.3 of INF.8/INF.19 was reviewed and the following </w:t>
      </w:r>
      <w:r>
        <w:rPr>
          <w:sz w:val="20"/>
          <w:szCs w:val="20"/>
          <w:lang w:val="en-GB"/>
        </w:rPr>
        <w:t>exclusions were</w:t>
      </w:r>
      <w:r w:rsidRPr="00DA3263">
        <w:rPr>
          <w:sz w:val="20"/>
          <w:szCs w:val="20"/>
          <w:lang w:val="en-GB"/>
        </w:rPr>
        <w:t xml:space="preserve"> agreed</w:t>
      </w:r>
      <w:r>
        <w:rPr>
          <w:sz w:val="20"/>
          <w:szCs w:val="20"/>
          <w:lang w:val="en-GB"/>
        </w:rPr>
        <w:t xml:space="preserve"> (text in square brackets was agreed conceptually but needs further scrutiny)</w:t>
      </w:r>
      <w:r w:rsidRPr="00DA3263">
        <w:rPr>
          <w:sz w:val="20"/>
          <w:szCs w:val="20"/>
          <w:lang w:val="en-GB"/>
        </w:rPr>
        <w:t>:</w:t>
      </w:r>
    </w:p>
    <w:p w:rsidR="0086013A" w:rsidRPr="00DA3263" w:rsidRDefault="0086013A" w:rsidP="0086013A">
      <w:pPr>
        <w:pStyle w:val="ListParagraph"/>
        <w:spacing w:after="160" w:line="259" w:lineRule="auto"/>
        <w:contextualSpacing/>
        <w:jc w:val="left"/>
        <w:rPr>
          <w:sz w:val="20"/>
          <w:szCs w:val="20"/>
          <w:lang w:val="en-GB"/>
        </w:rPr>
      </w:pPr>
    </w:p>
    <w:p w:rsidR="0086013A" w:rsidRPr="00DA3263" w:rsidRDefault="0086013A" w:rsidP="0086013A">
      <w:pPr>
        <w:pStyle w:val="ListParagraph"/>
        <w:spacing w:after="160" w:line="259" w:lineRule="auto"/>
        <w:contextualSpacing/>
        <w:jc w:val="left"/>
        <w:rPr>
          <w:sz w:val="20"/>
          <w:szCs w:val="20"/>
          <w:lang w:val="x-none"/>
        </w:rPr>
      </w:pPr>
      <w:r w:rsidRPr="00DA3263">
        <w:rPr>
          <w:sz w:val="20"/>
          <w:szCs w:val="20"/>
          <w:lang w:val="en-GB"/>
        </w:rPr>
        <w:t>”</w:t>
      </w:r>
      <w:r w:rsidRPr="00DA3263">
        <w:rPr>
          <w:sz w:val="20"/>
          <w:szCs w:val="20"/>
          <w:lang w:val="x-none"/>
        </w:rPr>
        <w:t>The following substances, mixtures and articles are excluded from the class of explosives:</w:t>
      </w:r>
    </w:p>
    <w:p w:rsidR="0086013A" w:rsidRPr="00DA3263" w:rsidRDefault="0086013A" w:rsidP="0086013A">
      <w:pPr>
        <w:pStyle w:val="ListParagraph"/>
        <w:spacing w:after="160" w:line="259" w:lineRule="auto"/>
        <w:contextualSpacing/>
        <w:jc w:val="left"/>
        <w:rPr>
          <w:sz w:val="20"/>
          <w:szCs w:val="20"/>
          <w:lang w:val="x-none"/>
        </w:rPr>
      </w:pPr>
    </w:p>
    <w:p w:rsidR="0086013A" w:rsidRPr="00DA3263" w:rsidRDefault="0086013A" w:rsidP="0086013A">
      <w:pPr>
        <w:pStyle w:val="ListParagraph"/>
        <w:numPr>
          <w:ilvl w:val="0"/>
          <w:numId w:val="30"/>
        </w:numPr>
        <w:spacing w:after="160" w:line="259" w:lineRule="auto"/>
        <w:contextualSpacing/>
        <w:jc w:val="left"/>
        <w:rPr>
          <w:sz w:val="20"/>
          <w:szCs w:val="20"/>
          <w:lang w:val="x-none"/>
        </w:rPr>
      </w:pPr>
      <w:r w:rsidRPr="00DA3263">
        <w:rPr>
          <w:sz w:val="20"/>
          <w:szCs w:val="20"/>
          <w:lang w:val="x-none"/>
        </w:rPr>
        <w:t>Ammonium nitrate based emulsions, suspensions or gels which meet the criteria</w:t>
      </w:r>
      <w:r w:rsidRPr="00DA3263">
        <w:rPr>
          <w:sz w:val="20"/>
          <w:szCs w:val="20"/>
        </w:rPr>
        <w:t xml:space="preserve"> of Test series 8 of the UN Manual of Tests and Criteria</w:t>
      </w:r>
      <w:r w:rsidRPr="00DA3263">
        <w:rPr>
          <w:sz w:val="20"/>
          <w:szCs w:val="20"/>
          <w:lang w:val="x-none"/>
        </w:rPr>
        <w:t xml:space="preserve"> for classification as ANEs of Category 2 oxidizing liquids (Chapter 2.13) or Category 2 oxidizing solids (Chapter 2.14)</w:t>
      </w:r>
      <w:r w:rsidRPr="00DA3263">
        <w:rPr>
          <w:sz w:val="20"/>
          <w:szCs w:val="20"/>
          <w:lang w:val="x-none"/>
        </w:rPr>
        <w:br/>
      </w:r>
    </w:p>
    <w:p w:rsidR="0086013A" w:rsidRPr="00DA3263" w:rsidRDefault="0086013A" w:rsidP="0086013A">
      <w:pPr>
        <w:pStyle w:val="ListParagraph"/>
        <w:numPr>
          <w:ilvl w:val="0"/>
          <w:numId w:val="30"/>
        </w:numPr>
        <w:spacing w:after="160" w:line="259" w:lineRule="auto"/>
        <w:contextualSpacing/>
        <w:jc w:val="left"/>
        <w:rPr>
          <w:sz w:val="20"/>
          <w:szCs w:val="20"/>
          <w:lang w:val="x-none"/>
        </w:rPr>
      </w:pPr>
      <w:r w:rsidRPr="00DA3263">
        <w:rPr>
          <w:sz w:val="20"/>
          <w:szCs w:val="20"/>
          <w:lang w:val="x-none"/>
        </w:rPr>
        <w:t>Desensitized explosives according to the criteria of Chapter 2.17.</w:t>
      </w:r>
      <w:r w:rsidRPr="00DA3263">
        <w:rPr>
          <w:sz w:val="20"/>
          <w:szCs w:val="20"/>
          <w:lang w:val="x-none"/>
        </w:rPr>
        <w:br/>
      </w:r>
    </w:p>
    <w:p w:rsidR="0086013A" w:rsidRPr="00DA3263" w:rsidRDefault="0086013A" w:rsidP="0086013A">
      <w:pPr>
        <w:pStyle w:val="ListParagraph"/>
        <w:numPr>
          <w:ilvl w:val="0"/>
          <w:numId w:val="30"/>
        </w:numPr>
        <w:spacing w:after="160" w:line="259" w:lineRule="auto"/>
        <w:contextualSpacing/>
        <w:jc w:val="left"/>
        <w:rPr>
          <w:sz w:val="20"/>
          <w:szCs w:val="20"/>
          <w:lang w:val="x-none"/>
        </w:rPr>
      </w:pPr>
      <w:r w:rsidRPr="00DA3263">
        <w:rPr>
          <w:sz w:val="20"/>
          <w:szCs w:val="20"/>
          <w:lang w:val="x-none"/>
        </w:rPr>
        <w:t>Substances and mixtures which have not been manufactured with the view to producing an explosive or pyrotechnic effect and which according to UN Recommendations on the Transport of Dangerous Goods, Manual of Tests and Criteria:</w:t>
      </w:r>
      <w:r w:rsidRPr="00DA3263">
        <w:rPr>
          <w:sz w:val="20"/>
          <w:szCs w:val="20"/>
          <w:lang w:val="x-none"/>
        </w:rPr>
        <w:br/>
      </w:r>
    </w:p>
    <w:p w:rsidR="0086013A" w:rsidRPr="00DA3263" w:rsidRDefault="0086013A" w:rsidP="0086013A">
      <w:pPr>
        <w:pStyle w:val="ListParagraph"/>
        <w:numPr>
          <w:ilvl w:val="1"/>
          <w:numId w:val="30"/>
        </w:numPr>
        <w:spacing w:after="160" w:line="259" w:lineRule="auto"/>
        <w:contextualSpacing/>
        <w:jc w:val="left"/>
        <w:rPr>
          <w:sz w:val="20"/>
          <w:szCs w:val="20"/>
          <w:lang w:val="x-none"/>
        </w:rPr>
      </w:pPr>
      <w:r w:rsidRPr="00DA3263">
        <w:rPr>
          <w:sz w:val="20"/>
          <w:szCs w:val="20"/>
          <w:lang w:val="x-none"/>
        </w:rPr>
        <w:t>are deemed not to have explosive properties on basis of the screening procedures in Appendix 6;</w:t>
      </w:r>
      <w:r w:rsidRPr="00DA3263">
        <w:rPr>
          <w:sz w:val="20"/>
          <w:szCs w:val="20"/>
        </w:rPr>
        <w:t xml:space="preserve"> or</w:t>
      </w:r>
      <w:r w:rsidRPr="00DA3263">
        <w:rPr>
          <w:sz w:val="20"/>
          <w:szCs w:val="20"/>
        </w:rPr>
        <w:br/>
      </w:r>
    </w:p>
    <w:p w:rsidR="0086013A" w:rsidRPr="00DA3263" w:rsidRDefault="0086013A" w:rsidP="0086013A">
      <w:pPr>
        <w:pStyle w:val="ListParagraph"/>
        <w:numPr>
          <w:ilvl w:val="1"/>
          <w:numId w:val="30"/>
        </w:numPr>
        <w:spacing w:after="160" w:line="259" w:lineRule="auto"/>
        <w:contextualSpacing/>
        <w:jc w:val="left"/>
        <w:rPr>
          <w:sz w:val="20"/>
          <w:szCs w:val="20"/>
          <w:lang w:val="x-none"/>
        </w:rPr>
      </w:pPr>
      <w:r w:rsidRPr="00DA3263">
        <w:rPr>
          <w:sz w:val="20"/>
          <w:szCs w:val="20"/>
          <w:lang w:val="x-none"/>
        </w:rPr>
        <w:t xml:space="preserve">do not have explosive properties according to Test Series </w:t>
      </w:r>
      <w:r w:rsidRPr="00DA3263">
        <w:rPr>
          <w:sz w:val="20"/>
          <w:szCs w:val="20"/>
        </w:rPr>
        <w:t>2</w:t>
      </w:r>
      <w:r w:rsidRPr="00DA3263">
        <w:rPr>
          <w:sz w:val="20"/>
          <w:szCs w:val="20"/>
          <w:lang w:val="x-none"/>
        </w:rPr>
        <w:t xml:space="preserve"> testing; or</w:t>
      </w:r>
      <w:r w:rsidRPr="00DA3263">
        <w:rPr>
          <w:sz w:val="20"/>
          <w:szCs w:val="20"/>
          <w:lang w:val="x-none"/>
        </w:rPr>
        <w:br/>
      </w:r>
    </w:p>
    <w:p w:rsidR="0086013A" w:rsidRPr="00DA3263" w:rsidRDefault="0086013A" w:rsidP="0086013A">
      <w:pPr>
        <w:pStyle w:val="ListParagraph"/>
        <w:numPr>
          <w:ilvl w:val="1"/>
          <w:numId w:val="30"/>
        </w:numPr>
        <w:spacing w:after="160" w:line="259" w:lineRule="auto"/>
        <w:contextualSpacing/>
        <w:jc w:val="left"/>
        <w:rPr>
          <w:sz w:val="20"/>
          <w:szCs w:val="20"/>
          <w:lang w:val="x-none"/>
        </w:rPr>
      </w:pPr>
      <w:r w:rsidRPr="00DA3263">
        <w:rPr>
          <w:sz w:val="20"/>
          <w:szCs w:val="20"/>
          <w:lang w:val="x-none"/>
        </w:rPr>
        <w:t xml:space="preserve">are excluded from assignment within Class 1 </w:t>
      </w:r>
      <w:r w:rsidRPr="00DA3263">
        <w:rPr>
          <w:sz w:val="20"/>
          <w:szCs w:val="20"/>
        </w:rPr>
        <w:t xml:space="preserve">of the UN Model Regulations </w:t>
      </w:r>
      <w:r w:rsidRPr="00DA3263">
        <w:rPr>
          <w:sz w:val="20"/>
          <w:szCs w:val="20"/>
          <w:lang w:val="x-none"/>
        </w:rPr>
        <w:t>based on results in Test Series 6</w:t>
      </w:r>
      <w:r w:rsidRPr="00DA3263">
        <w:rPr>
          <w:sz w:val="20"/>
          <w:szCs w:val="20"/>
          <w:lang w:val="en-GB"/>
        </w:rPr>
        <w:t>*</w:t>
      </w:r>
      <w:r w:rsidRPr="00DA3263">
        <w:rPr>
          <w:sz w:val="20"/>
          <w:szCs w:val="20"/>
        </w:rPr>
        <w:t>; or</w:t>
      </w:r>
      <w:r w:rsidRPr="00DA3263">
        <w:rPr>
          <w:i/>
          <w:sz w:val="20"/>
          <w:szCs w:val="20"/>
        </w:rPr>
        <w:br/>
      </w:r>
    </w:p>
    <w:p w:rsidR="0086013A" w:rsidRPr="00DA3263" w:rsidRDefault="0086013A" w:rsidP="0086013A">
      <w:pPr>
        <w:pStyle w:val="ListParagraph"/>
        <w:numPr>
          <w:ilvl w:val="1"/>
          <w:numId w:val="30"/>
        </w:numPr>
        <w:spacing w:after="160" w:line="259" w:lineRule="auto"/>
        <w:contextualSpacing/>
        <w:jc w:val="left"/>
        <w:rPr>
          <w:sz w:val="20"/>
          <w:szCs w:val="20"/>
          <w:lang w:val="x-none"/>
        </w:rPr>
      </w:pPr>
      <w:r w:rsidRPr="00DA3263">
        <w:rPr>
          <w:sz w:val="20"/>
          <w:szCs w:val="20"/>
        </w:rPr>
        <w:t>are organic peroxides according to Chapter 2.15 or self-reactive substances or mixtures according to Chapter 2.8.</w:t>
      </w:r>
      <w:r w:rsidRPr="00DA3263">
        <w:rPr>
          <w:sz w:val="20"/>
          <w:szCs w:val="20"/>
        </w:rPr>
        <w:br/>
      </w:r>
    </w:p>
    <w:p w:rsidR="0086013A" w:rsidRPr="00DA3263" w:rsidRDefault="0086013A" w:rsidP="0086013A">
      <w:pPr>
        <w:pStyle w:val="ListParagraph"/>
        <w:numPr>
          <w:ilvl w:val="1"/>
          <w:numId w:val="30"/>
        </w:numPr>
        <w:spacing w:after="160" w:line="259" w:lineRule="auto"/>
        <w:contextualSpacing/>
        <w:jc w:val="left"/>
        <w:rPr>
          <w:sz w:val="20"/>
          <w:szCs w:val="20"/>
          <w:lang w:val="x-none"/>
        </w:rPr>
      </w:pPr>
      <w:r w:rsidRPr="00DA3263">
        <w:rPr>
          <w:sz w:val="20"/>
          <w:szCs w:val="20"/>
          <w:lang w:val="en-GB"/>
        </w:rPr>
        <w:t>[</w:t>
      </w:r>
      <w:r w:rsidRPr="00DA3263">
        <w:rPr>
          <w:sz w:val="20"/>
          <w:szCs w:val="20"/>
        </w:rPr>
        <w:t>Substances in the research and development phase for which not enough material exists to perform Test Series 2 may be regarded as Self-reactive substances and mixtures Type C, provided that:</w:t>
      </w:r>
    </w:p>
    <w:p w:rsidR="0086013A" w:rsidRPr="00DA3263" w:rsidRDefault="0086013A" w:rsidP="0086013A">
      <w:pPr>
        <w:pStyle w:val="ListParagraph"/>
        <w:numPr>
          <w:ilvl w:val="2"/>
          <w:numId w:val="30"/>
        </w:numPr>
        <w:spacing w:after="160" w:line="259" w:lineRule="auto"/>
        <w:contextualSpacing/>
        <w:jc w:val="left"/>
        <w:rPr>
          <w:sz w:val="20"/>
          <w:szCs w:val="20"/>
          <w:lang w:val="x-none"/>
        </w:rPr>
      </w:pPr>
      <w:r w:rsidRPr="00DA3263">
        <w:rPr>
          <w:sz w:val="20"/>
          <w:szCs w:val="20"/>
        </w:rPr>
        <w:t>The decomposition energy of the substance is less than 2000 J/g; and</w:t>
      </w:r>
    </w:p>
    <w:p w:rsidR="0086013A" w:rsidRPr="00DA3263" w:rsidRDefault="0086013A" w:rsidP="0086013A">
      <w:pPr>
        <w:pStyle w:val="ListParagraph"/>
        <w:numPr>
          <w:ilvl w:val="2"/>
          <w:numId w:val="30"/>
        </w:numPr>
        <w:spacing w:after="160" w:line="259" w:lineRule="auto"/>
        <w:contextualSpacing/>
        <w:jc w:val="left"/>
        <w:rPr>
          <w:sz w:val="20"/>
          <w:szCs w:val="20"/>
          <w:lang w:val="x-none"/>
        </w:rPr>
      </w:pPr>
      <w:r w:rsidRPr="00DA3263">
        <w:rPr>
          <w:sz w:val="20"/>
          <w:szCs w:val="20"/>
        </w:rPr>
        <w:t>The result in Test 3(a) and Test 3(b) is negative; and</w:t>
      </w:r>
    </w:p>
    <w:p w:rsidR="0086013A" w:rsidRPr="00DA3263" w:rsidRDefault="0086013A" w:rsidP="0086013A">
      <w:pPr>
        <w:pStyle w:val="ListParagraph"/>
        <w:numPr>
          <w:ilvl w:val="2"/>
          <w:numId w:val="30"/>
        </w:numPr>
        <w:spacing w:after="160" w:line="259" w:lineRule="auto"/>
        <w:contextualSpacing/>
        <w:jc w:val="left"/>
        <w:rPr>
          <w:sz w:val="20"/>
          <w:szCs w:val="20"/>
          <w:lang w:val="x-none"/>
        </w:rPr>
      </w:pPr>
      <w:r w:rsidRPr="00DA3263">
        <w:rPr>
          <w:sz w:val="20"/>
          <w:szCs w:val="20"/>
        </w:rPr>
        <w:t>The result in Test 2(b) is “no explosion” at an orifice diameter of 6 mm; and</w:t>
      </w:r>
    </w:p>
    <w:p w:rsidR="0086013A" w:rsidRPr="00DA3263" w:rsidRDefault="0086013A" w:rsidP="0086013A">
      <w:pPr>
        <w:pStyle w:val="ListParagraph"/>
        <w:numPr>
          <w:ilvl w:val="2"/>
          <w:numId w:val="30"/>
        </w:numPr>
        <w:spacing w:after="160" w:line="259" w:lineRule="auto"/>
        <w:contextualSpacing/>
        <w:jc w:val="left"/>
        <w:rPr>
          <w:sz w:val="20"/>
          <w:szCs w:val="20"/>
          <w:lang w:val="x-none"/>
        </w:rPr>
      </w:pPr>
      <w:r w:rsidRPr="00DA3263">
        <w:rPr>
          <w:sz w:val="20"/>
          <w:szCs w:val="20"/>
        </w:rPr>
        <w:t>The expansion of the lead block in Test F.3 is less than 100 ml per 10 gram substance.]</w:t>
      </w:r>
      <w:r w:rsidRPr="00DA3263">
        <w:rPr>
          <w:sz w:val="20"/>
          <w:szCs w:val="20"/>
        </w:rPr>
        <w:br/>
      </w:r>
    </w:p>
    <w:p w:rsidR="0086013A" w:rsidRPr="00DA3263" w:rsidRDefault="0086013A" w:rsidP="0086013A">
      <w:pPr>
        <w:pStyle w:val="ListParagraph"/>
        <w:numPr>
          <w:ilvl w:val="0"/>
          <w:numId w:val="30"/>
        </w:numPr>
        <w:spacing w:after="160" w:line="259" w:lineRule="auto"/>
        <w:contextualSpacing/>
        <w:jc w:val="left"/>
        <w:rPr>
          <w:sz w:val="20"/>
          <w:szCs w:val="20"/>
          <w:lang w:val="x-none"/>
        </w:rPr>
      </w:pPr>
      <w:r w:rsidRPr="00DA3263">
        <w:rPr>
          <w:sz w:val="20"/>
          <w:szCs w:val="20"/>
        </w:rPr>
        <w:t>Substances, mixtures and articles</w:t>
      </w:r>
      <w:r w:rsidRPr="00DA3263">
        <w:rPr>
          <w:sz w:val="20"/>
          <w:szCs w:val="20"/>
          <w:lang w:val="x-none"/>
        </w:rPr>
        <w:t xml:space="preserve"> that are  </w:t>
      </w:r>
      <w:r w:rsidRPr="00DA3263">
        <w:rPr>
          <w:sz w:val="20"/>
          <w:szCs w:val="20"/>
        </w:rPr>
        <w:t xml:space="preserve">excluded from </w:t>
      </w:r>
      <w:r w:rsidRPr="00DA3263">
        <w:rPr>
          <w:sz w:val="20"/>
          <w:szCs w:val="20"/>
          <w:lang w:val="x-none"/>
        </w:rPr>
        <w:t>Class 1</w:t>
      </w:r>
      <w:r w:rsidRPr="00DA3263">
        <w:rPr>
          <w:sz w:val="20"/>
          <w:szCs w:val="20"/>
        </w:rPr>
        <w:t xml:space="preserve"> according to</w:t>
      </w:r>
      <w:r w:rsidRPr="00DA3263">
        <w:rPr>
          <w:sz w:val="20"/>
          <w:szCs w:val="20"/>
          <w:lang w:val="x-none"/>
        </w:rPr>
        <w:t xml:space="preserve">the UN Recommendations </w:t>
      </w:r>
      <w:r w:rsidRPr="00DA3263">
        <w:rPr>
          <w:sz w:val="20"/>
          <w:szCs w:val="20"/>
        </w:rPr>
        <w:t>on</w:t>
      </w:r>
      <w:r w:rsidRPr="00DA3263">
        <w:rPr>
          <w:sz w:val="20"/>
          <w:szCs w:val="20"/>
          <w:lang w:val="x-none"/>
        </w:rPr>
        <w:t xml:space="preserve"> the Transport of Dangerous Goods, Model Regulations</w:t>
      </w:r>
      <w:r w:rsidRPr="00DA3263">
        <w:rPr>
          <w:sz w:val="20"/>
          <w:szCs w:val="20"/>
          <w:lang w:val="en-GB"/>
        </w:rPr>
        <w:t>**</w:t>
      </w:r>
      <w:r w:rsidRPr="00DA3263">
        <w:rPr>
          <w:sz w:val="20"/>
          <w:szCs w:val="20"/>
          <w:lang w:val="x-none"/>
        </w:rPr>
        <w:t>.</w:t>
      </w:r>
    </w:p>
    <w:p w:rsidR="0086013A" w:rsidRPr="00DA3263" w:rsidRDefault="0086013A" w:rsidP="0086013A">
      <w:pPr>
        <w:spacing w:after="160" w:line="259" w:lineRule="auto"/>
        <w:ind w:left="709"/>
        <w:contextualSpacing/>
        <w:rPr>
          <w:i/>
        </w:rPr>
      </w:pPr>
      <w:r w:rsidRPr="00DA3263">
        <w:rPr>
          <w:i/>
        </w:rPr>
        <w:t xml:space="preserve">* Note: It is acknowledged that this exclusion may depend on a particular configuration. See also </w:t>
      </w:r>
      <w:r>
        <w:rPr>
          <w:i/>
        </w:rPr>
        <w:t xml:space="preserve">[insert reference to current </w:t>
      </w:r>
      <w:r w:rsidRPr="00DA3263">
        <w:rPr>
          <w:i/>
        </w:rPr>
        <w:t>Note 2</w:t>
      </w:r>
      <w:r>
        <w:rPr>
          <w:i/>
        </w:rPr>
        <w:t xml:space="preserve"> in Section 2.1.3 of current Chapter 2.1, which may</w:t>
      </w:r>
      <w:r w:rsidRPr="00DA3263">
        <w:rPr>
          <w:i/>
        </w:rPr>
        <w:t xml:space="preserve"> need </w:t>
      </w:r>
      <w:r>
        <w:rPr>
          <w:i/>
        </w:rPr>
        <w:t xml:space="preserve">some </w:t>
      </w:r>
      <w:r w:rsidRPr="00DA3263">
        <w:rPr>
          <w:i/>
        </w:rPr>
        <w:t>revision.]</w:t>
      </w:r>
      <w:r>
        <w:rPr>
          <w:i/>
        </w:rPr>
        <w:br/>
      </w:r>
    </w:p>
    <w:p w:rsidR="0086013A" w:rsidRPr="00DA3263" w:rsidRDefault="0086013A" w:rsidP="0086013A">
      <w:pPr>
        <w:spacing w:after="160" w:line="259" w:lineRule="auto"/>
        <w:ind w:left="709"/>
        <w:contextualSpacing/>
        <w:rPr>
          <w:lang w:val="x-none"/>
        </w:rPr>
      </w:pPr>
      <w:r w:rsidRPr="00DA3263">
        <w:rPr>
          <w:i/>
        </w:rPr>
        <w:t>**</w:t>
      </w:r>
      <w:r w:rsidRPr="00DA3263">
        <w:t xml:space="preserve"> </w:t>
      </w:r>
      <w:r w:rsidRPr="00DA3263">
        <w:rPr>
          <w:i/>
        </w:rPr>
        <w:t>Note: It is acknowledged that this exclusion may depend on a particular configuration.”</w:t>
      </w:r>
      <w:r w:rsidRPr="00DA3263">
        <w:rPr>
          <w:i/>
        </w:rPr>
        <w:br/>
      </w:r>
    </w:p>
    <w:p w:rsidR="0086013A" w:rsidRPr="00DA3263" w:rsidRDefault="0086013A" w:rsidP="0086013A">
      <w:pPr>
        <w:pStyle w:val="ListParagraph"/>
        <w:spacing w:after="160" w:line="259" w:lineRule="auto"/>
        <w:ind w:left="1440"/>
        <w:contextualSpacing/>
        <w:jc w:val="left"/>
        <w:rPr>
          <w:sz w:val="20"/>
          <w:szCs w:val="20"/>
          <w:u w:val="single"/>
          <w:lang w:val="x-none"/>
        </w:rPr>
      </w:pPr>
    </w:p>
    <w:p w:rsidR="0086013A" w:rsidRPr="00DA3263" w:rsidRDefault="0086013A" w:rsidP="0086013A">
      <w:pPr>
        <w:pStyle w:val="ListParagraph"/>
        <w:spacing w:after="160" w:line="259" w:lineRule="auto"/>
        <w:contextualSpacing/>
        <w:jc w:val="left"/>
        <w:rPr>
          <w:sz w:val="20"/>
          <w:szCs w:val="20"/>
          <w:lang w:val="en-GB"/>
        </w:rPr>
      </w:pPr>
      <w:r>
        <w:rPr>
          <w:sz w:val="20"/>
          <w:szCs w:val="20"/>
          <w:lang w:val="en-GB"/>
        </w:rPr>
        <w:br/>
      </w:r>
    </w:p>
    <w:p w:rsidR="0086013A" w:rsidRDefault="0086013A" w:rsidP="0086013A">
      <w:pPr>
        <w:pStyle w:val="ListParagraph"/>
        <w:numPr>
          <w:ilvl w:val="0"/>
          <w:numId w:val="29"/>
        </w:numPr>
        <w:spacing w:after="160" w:line="259" w:lineRule="auto"/>
        <w:contextualSpacing/>
        <w:jc w:val="left"/>
        <w:rPr>
          <w:sz w:val="20"/>
          <w:szCs w:val="20"/>
          <w:lang w:val="en-GB"/>
        </w:rPr>
      </w:pPr>
      <w:r>
        <w:rPr>
          <w:sz w:val="20"/>
          <w:szCs w:val="20"/>
          <w:lang w:val="en-GB"/>
        </w:rPr>
        <w:t xml:space="preserve">It was agreed that text addressing the potentially changing classification over the life-cycle of an explosive, as </w:t>
      </w:r>
      <w:r w:rsidRPr="00DA3263">
        <w:rPr>
          <w:sz w:val="20"/>
          <w:szCs w:val="20"/>
          <w:lang w:val="en-GB"/>
        </w:rPr>
        <w:t>drafted in</w:t>
      </w:r>
      <w:r>
        <w:rPr>
          <w:sz w:val="20"/>
          <w:szCs w:val="20"/>
          <w:lang w:val="en-GB"/>
        </w:rPr>
        <w:t xml:space="preserve"> section </w:t>
      </w:r>
      <w:r w:rsidRPr="00DA3263">
        <w:rPr>
          <w:sz w:val="20"/>
          <w:szCs w:val="20"/>
          <w:lang w:val="en-GB"/>
        </w:rPr>
        <w:t>2.1.2.2</w:t>
      </w:r>
      <w:r>
        <w:rPr>
          <w:sz w:val="20"/>
          <w:szCs w:val="20"/>
          <w:lang w:val="en-GB"/>
        </w:rPr>
        <w:t xml:space="preserve"> point b</w:t>
      </w:r>
      <w:r w:rsidRPr="00DA3263">
        <w:rPr>
          <w:sz w:val="20"/>
          <w:szCs w:val="20"/>
          <w:lang w:val="en-GB"/>
        </w:rPr>
        <w:t>) of INF.8/INF.19</w:t>
      </w:r>
      <w:r>
        <w:rPr>
          <w:sz w:val="20"/>
          <w:szCs w:val="20"/>
          <w:lang w:val="en-GB"/>
        </w:rPr>
        <w:t>, would be helpful and should preferably be included in the main text of the new Chapter 2.1. A suitable place could be in section 2.1 under “Additional considerations” and a rough draft of such text was shown on screen.</w:t>
      </w:r>
      <w:r>
        <w:rPr>
          <w:sz w:val="20"/>
          <w:szCs w:val="20"/>
          <w:lang w:val="en-GB"/>
        </w:rPr>
        <w:br/>
      </w:r>
    </w:p>
    <w:p w:rsidR="0086013A" w:rsidRDefault="0086013A" w:rsidP="0086013A">
      <w:pPr>
        <w:pStyle w:val="ListParagraph"/>
        <w:numPr>
          <w:ilvl w:val="0"/>
          <w:numId w:val="29"/>
        </w:numPr>
        <w:spacing w:after="160" w:line="259" w:lineRule="auto"/>
        <w:contextualSpacing/>
        <w:jc w:val="left"/>
        <w:rPr>
          <w:sz w:val="20"/>
          <w:szCs w:val="20"/>
          <w:lang w:val="en-GB"/>
        </w:rPr>
      </w:pPr>
      <w:r>
        <w:rPr>
          <w:sz w:val="20"/>
          <w:szCs w:val="20"/>
          <w:lang w:val="en-GB"/>
        </w:rPr>
        <w:t xml:space="preserve">It was agreed that the divisions need to be included in a new Chapter 2.1, as they are part of the GHS classification scheme. The description of the divisions should be as identical to those of the Model Regulations as possible, taking into account that the latter sometimes use transport-specific language (such as “load”) that needs to be altered in the GHS. The description of the divisions as in section </w:t>
      </w:r>
      <w:r w:rsidRPr="007E0061">
        <w:rPr>
          <w:sz w:val="20"/>
          <w:szCs w:val="20"/>
          <w:lang w:val="en-GB"/>
        </w:rPr>
        <w:t>2.1.2.3.1</w:t>
      </w:r>
      <w:r>
        <w:rPr>
          <w:sz w:val="20"/>
          <w:szCs w:val="20"/>
          <w:lang w:val="en-GB"/>
        </w:rPr>
        <w:t xml:space="preserve"> of INF.8/INF.19 were agreed, including the separate description of Division 1.4 Compatibility Group S. Draft introductory text to explain the divisions in the context of GHS was shown on screen:</w:t>
      </w:r>
      <w:r>
        <w:rPr>
          <w:sz w:val="20"/>
          <w:szCs w:val="20"/>
          <w:lang w:val="en-GB"/>
        </w:rPr>
        <w:br/>
      </w:r>
      <w:r>
        <w:rPr>
          <w:sz w:val="20"/>
          <w:szCs w:val="20"/>
          <w:lang w:val="en-GB"/>
        </w:rPr>
        <w:br/>
        <w:t>“</w:t>
      </w:r>
      <w:r w:rsidRPr="007E0061">
        <w:rPr>
          <w:sz w:val="20"/>
          <w:szCs w:val="20"/>
          <w:lang w:val="en-GB"/>
        </w:rPr>
        <w:t>The divisions were originally designed to accommodate the transportation of explosives and are used in Class 1 of the UN Model Regulations. Assignment to a division is based on extensive testing where the explosive is tested in a particular configuration, normally as configured for transport, and it is therefore tied to that particular configuration. The division is the relevant level of classification whenever the explosive is in the configuration to which that division was assigned, e.g. when stored.</w:t>
      </w:r>
      <w:r>
        <w:rPr>
          <w:sz w:val="20"/>
          <w:szCs w:val="20"/>
          <w:lang w:val="en-GB"/>
        </w:rPr>
        <w:t>”</w:t>
      </w:r>
      <w:r>
        <w:rPr>
          <w:sz w:val="20"/>
          <w:szCs w:val="20"/>
          <w:lang w:val="en-GB"/>
        </w:rPr>
        <w:br/>
      </w:r>
    </w:p>
    <w:p w:rsidR="0086013A" w:rsidRPr="007E0061" w:rsidRDefault="0086013A" w:rsidP="0086013A">
      <w:pPr>
        <w:pStyle w:val="ListParagraph"/>
        <w:numPr>
          <w:ilvl w:val="0"/>
          <w:numId w:val="29"/>
        </w:numPr>
        <w:spacing w:after="160" w:line="259" w:lineRule="auto"/>
        <w:contextualSpacing/>
        <w:jc w:val="left"/>
        <w:rPr>
          <w:sz w:val="20"/>
          <w:szCs w:val="20"/>
          <w:lang w:val="en-GB"/>
        </w:rPr>
      </w:pPr>
      <w:r>
        <w:rPr>
          <w:sz w:val="20"/>
          <w:szCs w:val="20"/>
          <w:lang w:val="en-GB"/>
        </w:rPr>
        <w:t>It was agreed that descriptions of the sub-categories as drafted in section 2.1.4 of INF.8/INF.19 would be helpful to include in the guidance section of a new Chapter 2.1, and that decision logic in form of a flowchart would probably be good to include as well.</w:t>
      </w:r>
    </w:p>
    <w:p w:rsidR="0086013A" w:rsidRPr="00DA3263" w:rsidRDefault="0086013A" w:rsidP="0086013A">
      <w:pPr>
        <w:spacing w:before="240"/>
        <w:jc w:val="center"/>
        <w:rPr>
          <w:rFonts w:eastAsia="Garamond"/>
          <w:u w:val="single"/>
        </w:rPr>
      </w:pPr>
    </w:p>
    <w:p w:rsidR="0086013A" w:rsidRPr="00DA3263" w:rsidRDefault="0086013A" w:rsidP="0086013A">
      <w:pPr>
        <w:spacing w:before="240"/>
        <w:jc w:val="center"/>
        <w:rPr>
          <w:rFonts w:eastAsia="Garamond"/>
          <w:u w:val="single"/>
        </w:rPr>
      </w:pPr>
      <w:r w:rsidRPr="00DA3263">
        <w:rPr>
          <w:rFonts w:eastAsia="Garamond"/>
          <w:u w:val="single"/>
        </w:rPr>
        <w:tab/>
      </w:r>
      <w:r w:rsidRPr="00DA3263">
        <w:rPr>
          <w:rFonts w:eastAsia="Garamond"/>
          <w:u w:val="single"/>
        </w:rPr>
        <w:tab/>
      </w:r>
      <w:r w:rsidRPr="00DA3263">
        <w:rPr>
          <w:rFonts w:eastAsia="Garamond"/>
          <w:u w:val="single"/>
        </w:rPr>
        <w:tab/>
      </w:r>
    </w:p>
    <w:p w:rsidR="0086013A" w:rsidRPr="0086013A" w:rsidRDefault="0086013A" w:rsidP="0086013A">
      <w:pPr>
        <w:rPr>
          <w:lang w:val="x-none"/>
        </w:rPr>
      </w:pPr>
    </w:p>
    <w:sectPr w:rsidR="0086013A" w:rsidRPr="0086013A" w:rsidSect="008C1A0E">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E31" w:rsidRDefault="00C37E31"/>
  </w:endnote>
  <w:endnote w:type="continuationSeparator" w:id="0">
    <w:p w:rsidR="00C37E31" w:rsidRDefault="00C37E31"/>
  </w:endnote>
  <w:endnote w:type="continuationNotice" w:id="1">
    <w:p w:rsidR="00C37E31" w:rsidRDefault="00C37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Pr="000216CC" w:rsidRDefault="002451FB"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6471F6">
      <w:rPr>
        <w:b/>
        <w:noProof/>
        <w:sz w:val="18"/>
      </w:rPr>
      <w:t>4</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Pr="000216CC" w:rsidRDefault="002451FB"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6471F6">
      <w:rPr>
        <w:b/>
        <w:noProof/>
        <w:sz w:val="18"/>
      </w:rPr>
      <w:t>5</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Default="002451FB"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E31" w:rsidRPr="000B175B" w:rsidRDefault="00C37E31" w:rsidP="000B175B">
      <w:pPr>
        <w:tabs>
          <w:tab w:val="right" w:pos="2155"/>
        </w:tabs>
        <w:spacing w:after="80"/>
        <w:ind w:left="680"/>
        <w:rPr>
          <w:u w:val="single"/>
        </w:rPr>
      </w:pPr>
      <w:r>
        <w:rPr>
          <w:u w:val="single"/>
        </w:rPr>
        <w:tab/>
      </w:r>
    </w:p>
  </w:footnote>
  <w:footnote w:type="continuationSeparator" w:id="0">
    <w:p w:rsidR="00C37E31" w:rsidRPr="00FC68B7" w:rsidRDefault="00C37E31" w:rsidP="00FC68B7">
      <w:pPr>
        <w:tabs>
          <w:tab w:val="left" w:pos="2155"/>
        </w:tabs>
        <w:spacing w:after="80"/>
        <w:ind w:left="680"/>
        <w:rPr>
          <w:u w:val="single"/>
        </w:rPr>
      </w:pPr>
      <w:r>
        <w:rPr>
          <w:u w:val="single"/>
        </w:rPr>
        <w:tab/>
      </w:r>
    </w:p>
  </w:footnote>
  <w:footnote w:type="continuationNotice" w:id="1">
    <w:p w:rsidR="00C37E31" w:rsidRDefault="00C37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Pr="00BD7EBA" w:rsidRDefault="002451FB" w:rsidP="001E5919">
    <w:pPr>
      <w:pStyle w:val="Header"/>
      <w:rPr>
        <w:lang w:val="fr-FR"/>
      </w:rPr>
    </w:pPr>
    <w:r>
      <w:rPr>
        <w:lang w:val="fr-FR"/>
      </w:rPr>
      <w:t>UN/SCETDG/55/INF.</w:t>
    </w:r>
    <w:r w:rsidR="00747C8C">
      <w:rPr>
        <w:lang w:val="fr-FR"/>
      </w:rPr>
      <w:t>50</w:t>
    </w:r>
  </w:p>
  <w:p w:rsidR="002451FB" w:rsidRPr="001E5919" w:rsidRDefault="002451FB" w:rsidP="001E5919">
    <w:pPr>
      <w:pStyle w:val="Header"/>
      <w:rPr>
        <w:lang w:val="fr-FR"/>
      </w:rPr>
    </w:pPr>
    <w:r>
      <w:rPr>
        <w:lang w:val="fr-FR"/>
      </w:rPr>
      <w:t>UN/SCEGHS/37/INF.</w:t>
    </w:r>
    <w:r w:rsidR="00747C8C">
      <w:rPr>
        <w:lang w:val="fr-FR"/>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Pr="001E5919" w:rsidRDefault="002451FB" w:rsidP="001E5919">
    <w:pPr>
      <w:pStyle w:val="Header"/>
      <w:jc w:val="right"/>
      <w:rPr>
        <w:lang w:val="fr-FR"/>
      </w:rPr>
    </w:pPr>
    <w:r>
      <w:rPr>
        <w:lang w:val="fr-FR"/>
      </w:rPr>
      <w:t>UN/SCETDG/55/INF.</w:t>
    </w:r>
    <w:r w:rsidR="00747C8C">
      <w:rPr>
        <w:lang w:val="fr-FR"/>
      </w:rPr>
      <w:t>50</w:t>
    </w:r>
    <w:r>
      <w:rPr>
        <w:lang w:val="fr-FR"/>
      </w:rPr>
      <w:br/>
      <w:t>UN/SCEGHS/37/INF.</w:t>
    </w:r>
    <w:r w:rsidR="00747C8C">
      <w:rPr>
        <w:lang w:val="fr-FR"/>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1FB" w:rsidRPr="00542C8D" w:rsidRDefault="002451FB"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C14A746"/>
    <w:lvl w:ilvl="0" w:tplc="EA7C2B66">
      <w:start w:val="1"/>
      <w:numFmt w:val="decimal"/>
      <w:lvlText w:val="%1."/>
      <w:lvlJc w:val="left"/>
      <w:pPr>
        <w:ind w:left="3150"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DD5E88"/>
    <w:multiLevelType w:val="hybridMultilevel"/>
    <w:tmpl w:val="F9468540"/>
    <w:lvl w:ilvl="0" w:tplc="13CCC770">
      <w:start w:val="2"/>
      <w:numFmt w:val="bullet"/>
      <w:lvlText w:val=""/>
      <w:lvlJc w:val="left"/>
      <w:pPr>
        <w:ind w:left="720" w:hanging="360"/>
      </w:pPr>
      <w:rPr>
        <w:rFonts w:ascii="Symbol" w:eastAsiaTheme="minorHAnsi" w:hAnsi="Symbol" w:cstheme="minorBidi" w:hint="default"/>
      </w:rPr>
    </w:lvl>
    <w:lvl w:ilvl="1" w:tplc="041D0017">
      <w:start w:val="1"/>
      <w:numFmt w:val="lowerLetter"/>
      <w:lvlText w:val="%2)"/>
      <w:lvlJc w:val="left"/>
      <w:pPr>
        <w:ind w:left="1440" w:hanging="360"/>
      </w:pPr>
      <w:rPr>
        <w:rFont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C40124B"/>
    <w:multiLevelType w:val="hybridMultilevel"/>
    <w:tmpl w:val="CBEA5AEC"/>
    <w:lvl w:ilvl="0" w:tplc="04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B3798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9"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2" w15:restartNumberingAfterBreak="0">
    <w:nsid w:val="5E163BED"/>
    <w:multiLevelType w:val="hybridMultilevel"/>
    <w:tmpl w:val="FF169C28"/>
    <w:lvl w:ilvl="0" w:tplc="041D0017">
      <w:start w:val="1"/>
      <w:numFmt w:val="lowerLetter"/>
      <w:lvlText w:val="%1)"/>
      <w:lvlJc w:val="left"/>
      <w:pPr>
        <w:ind w:left="1440" w:hanging="360"/>
      </w:pPr>
    </w:lvl>
    <w:lvl w:ilvl="1" w:tplc="510E1498">
      <w:start w:val="1"/>
      <w:numFmt w:val="lowerRoman"/>
      <w:lvlText w:val="(%2)"/>
      <w:lvlJc w:val="right"/>
      <w:pPr>
        <w:ind w:left="2160" w:hanging="360"/>
      </w:pPr>
      <w:rPr>
        <w:rFonts w:hint="default"/>
      </w:rPr>
    </w:lvl>
    <w:lvl w:ilvl="2" w:tplc="A6D6CAF8">
      <w:start w:val="1"/>
      <w:numFmt w:val="bullet"/>
      <w:lvlText w:val="-"/>
      <w:lvlJc w:val="left"/>
      <w:pPr>
        <w:ind w:left="2880" w:hanging="180"/>
      </w:pPr>
      <w:rPr>
        <w:rFonts w:ascii="Calibri" w:eastAsia="Calibri" w:hAnsi="Calibri" w:cs="Times New Roman" w:hint="default"/>
      </w:r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B04C44"/>
    <w:multiLevelType w:val="hybridMultilevel"/>
    <w:tmpl w:val="28DCCBEC"/>
    <w:lvl w:ilvl="0" w:tplc="04090001">
      <w:start w:val="1"/>
      <w:numFmt w:val="bullet"/>
      <w:lvlText w:val=""/>
      <w:lvlJc w:val="left"/>
      <w:pPr>
        <w:ind w:left="1494" w:hanging="360"/>
      </w:pPr>
      <w:rPr>
        <w:rFonts w:ascii="Symbol" w:hAnsi="Symbol" w:hint="default"/>
      </w:rPr>
    </w:lvl>
    <w:lvl w:ilvl="1" w:tplc="08090019">
      <w:start w:val="1"/>
      <w:numFmt w:val="lowerLetter"/>
      <w:lvlText w:val="%2."/>
      <w:lvlJc w:val="left"/>
      <w:pPr>
        <w:ind w:left="558" w:hanging="360"/>
      </w:pPr>
    </w:lvl>
    <w:lvl w:ilvl="2" w:tplc="0809001B">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27"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431636"/>
    <w:multiLevelType w:val="hybridMultilevel"/>
    <w:tmpl w:val="68DAFAF8"/>
    <w:lvl w:ilvl="0" w:tplc="FE9681D6">
      <w:start w:val="1"/>
      <w:numFmt w:val="decimal"/>
      <w:lvlText w:val="%1."/>
      <w:lvlJc w:val="left"/>
      <w:pPr>
        <w:ind w:left="1494" w:hanging="360"/>
      </w:pPr>
      <w:rPr>
        <w:rFonts w:hint="default"/>
      </w:rPr>
    </w:lvl>
    <w:lvl w:ilvl="1" w:tplc="041D0001">
      <w:start w:val="1"/>
      <w:numFmt w:val="bullet"/>
      <w:lvlText w:val=""/>
      <w:lvlJc w:val="left"/>
      <w:pPr>
        <w:ind w:left="2214" w:hanging="360"/>
      </w:pPr>
      <w:rPr>
        <w:rFonts w:ascii="Symbol" w:hAnsi="Symbol"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4"/>
  </w:num>
  <w:num w:numId="13">
    <w:abstractNumId w:val="11"/>
  </w:num>
  <w:num w:numId="14">
    <w:abstractNumId w:val="25"/>
  </w:num>
  <w:num w:numId="15">
    <w:abstractNumId w:val="28"/>
  </w:num>
  <w:num w:numId="16">
    <w:abstractNumId w:val="20"/>
  </w:num>
  <w:num w:numId="17">
    <w:abstractNumId w:val="17"/>
  </w:num>
  <w:num w:numId="18">
    <w:abstractNumId w:val="10"/>
  </w:num>
  <w:num w:numId="19">
    <w:abstractNumId w:val="19"/>
  </w:num>
  <w:num w:numId="20">
    <w:abstractNumId w:val="24"/>
  </w:num>
  <w:num w:numId="21">
    <w:abstractNumId w:val="27"/>
  </w:num>
  <w:num w:numId="22">
    <w:abstractNumId w:val="16"/>
  </w:num>
  <w:num w:numId="23">
    <w:abstractNumId w:val="18"/>
  </w:num>
  <w:num w:numId="24">
    <w:abstractNumId w:val="21"/>
  </w:num>
  <w:num w:numId="25">
    <w:abstractNumId w:val="15"/>
  </w:num>
  <w:num w:numId="26">
    <w:abstractNumId w:val="13"/>
  </w:num>
  <w:num w:numId="27">
    <w:abstractNumId w:val="26"/>
  </w:num>
  <w:num w:numId="28">
    <w:abstractNumId w:val="29"/>
  </w:num>
  <w:num w:numId="29">
    <w:abstractNumId w:val="12"/>
  </w:num>
  <w:num w:numId="30">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33C5"/>
    <w:rsid w:val="00017D24"/>
    <w:rsid w:val="000216CC"/>
    <w:rsid w:val="00026B64"/>
    <w:rsid w:val="0003042A"/>
    <w:rsid w:val="00031437"/>
    <w:rsid w:val="0003375D"/>
    <w:rsid w:val="00040776"/>
    <w:rsid w:val="00043180"/>
    <w:rsid w:val="00044081"/>
    <w:rsid w:val="000441CC"/>
    <w:rsid w:val="000504CE"/>
    <w:rsid w:val="00050922"/>
    <w:rsid w:val="00050F6B"/>
    <w:rsid w:val="0005258D"/>
    <w:rsid w:val="00053492"/>
    <w:rsid w:val="0005710C"/>
    <w:rsid w:val="00063DAC"/>
    <w:rsid w:val="00064402"/>
    <w:rsid w:val="00067E6D"/>
    <w:rsid w:val="00072C8C"/>
    <w:rsid w:val="00073129"/>
    <w:rsid w:val="00073FC6"/>
    <w:rsid w:val="00075F99"/>
    <w:rsid w:val="00076A0A"/>
    <w:rsid w:val="00080B38"/>
    <w:rsid w:val="00082CE1"/>
    <w:rsid w:val="00083598"/>
    <w:rsid w:val="00084632"/>
    <w:rsid w:val="000863FA"/>
    <w:rsid w:val="00086918"/>
    <w:rsid w:val="00091046"/>
    <w:rsid w:val="00091419"/>
    <w:rsid w:val="00091CB3"/>
    <w:rsid w:val="000931C0"/>
    <w:rsid w:val="000939AE"/>
    <w:rsid w:val="000A1FD1"/>
    <w:rsid w:val="000A2236"/>
    <w:rsid w:val="000A35F2"/>
    <w:rsid w:val="000A3A48"/>
    <w:rsid w:val="000A4C38"/>
    <w:rsid w:val="000B175B"/>
    <w:rsid w:val="000B3A0F"/>
    <w:rsid w:val="000B4919"/>
    <w:rsid w:val="000B4D72"/>
    <w:rsid w:val="000B7AF2"/>
    <w:rsid w:val="000C1ED8"/>
    <w:rsid w:val="000C28CA"/>
    <w:rsid w:val="000C5D4B"/>
    <w:rsid w:val="000C717F"/>
    <w:rsid w:val="000D0B8F"/>
    <w:rsid w:val="000D379B"/>
    <w:rsid w:val="000D481F"/>
    <w:rsid w:val="000D6D97"/>
    <w:rsid w:val="000D7830"/>
    <w:rsid w:val="000E0415"/>
    <w:rsid w:val="000E1285"/>
    <w:rsid w:val="000E5E99"/>
    <w:rsid w:val="000E7E74"/>
    <w:rsid w:val="000F1747"/>
    <w:rsid w:val="000F52D6"/>
    <w:rsid w:val="000F6A20"/>
    <w:rsid w:val="0010461A"/>
    <w:rsid w:val="001054A3"/>
    <w:rsid w:val="001057AB"/>
    <w:rsid w:val="001058DD"/>
    <w:rsid w:val="00113F87"/>
    <w:rsid w:val="001149AA"/>
    <w:rsid w:val="00115303"/>
    <w:rsid w:val="00115FA4"/>
    <w:rsid w:val="00117787"/>
    <w:rsid w:val="00117D0D"/>
    <w:rsid w:val="00117FD5"/>
    <w:rsid w:val="00120E7B"/>
    <w:rsid w:val="00121EB7"/>
    <w:rsid w:val="0012241F"/>
    <w:rsid w:val="00124B3F"/>
    <w:rsid w:val="00131B10"/>
    <w:rsid w:val="00131D42"/>
    <w:rsid w:val="00133C50"/>
    <w:rsid w:val="0013537A"/>
    <w:rsid w:val="00136F78"/>
    <w:rsid w:val="001377BD"/>
    <w:rsid w:val="001406F4"/>
    <w:rsid w:val="001470D6"/>
    <w:rsid w:val="001621AD"/>
    <w:rsid w:val="001633FB"/>
    <w:rsid w:val="00163A1B"/>
    <w:rsid w:val="00165735"/>
    <w:rsid w:val="00167786"/>
    <w:rsid w:val="00181019"/>
    <w:rsid w:val="001835BF"/>
    <w:rsid w:val="00184B86"/>
    <w:rsid w:val="00195084"/>
    <w:rsid w:val="0019637E"/>
    <w:rsid w:val="001A02A4"/>
    <w:rsid w:val="001A1CDC"/>
    <w:rsid w:val="001A3FC1"/>
    <w:rsid w:val="001A5DDE"/>
    <w:rsid w:val="001B0361"/>
    <w:rsid w:val="001B35EE"/>
    <w:rsid w:val="001B4B04"/>
    <w:rsid w:val="001B6B72"/>
    <w:rsid w:val="001C08F5"/>
    <w:rsid w:val="001C429D"/>
    <w:rsid w:val="001C6663"/>
    <w:rsid w:val="001C7895"/>
    <w:rsid w:val="001D0B0A"/>
    <w:rsid w:val="001D25B8"/>
    <w:rsid w:val="001D26DF"/>
    <w:rsid w:val="001D2FDC"/>
    <w:rsid w:val="001D3123"/>
    <w:rsid w:val="001D3A88"/>
    <w:rsid w:val="001D4B2D"/>
    <w:rsid w:val="001D4E70"/>
    <w:rsid w:val="001D5B61"/>
    <w:rsid w:val="001D7926"/>
    <w:rsid w:val="001D7B26"/>
    <w:rsid w:val="001E5919"/>
    <w:rsid w:val="001E66BE"/>
    <w:rsid w:val="001E797C"/>
    <w:rsid w:val="0020301C"/>
    <w:rsid w:val="00211B12"/>
    <w:rsid w:val="00211E0B"/>
    <w:rsid w:val="0021481D"/>
    <w:rsid w:val="00221589"/>
    <w:rsid w:val="00221AC2"/>
    <w:rsid w:val="00223316"/>
    <w:rsid w:val="00223F20"/>
    <w:rsid w:val="00224CD9"/>
    <w:rsid w:val="002254D7"/>
    <w:rsid w:val="002277D8"/>
    <w:rsid w:val="002309A7"/>
    <w:rsid w:val="00234B1B"/>
    <w:rsid w:val="00235381"/>
    <w:rsid w:val="00237785"/>
    <w:rsid w:val="00241178"/>
    <w:rsid w:val="00241439"/>
    <w:rsid w:val="00241466"/>
    <w:rsid w:val="002440E7"/>
    <w:rsid w:val="002451FB"/>
    <w:rsid w:val="00247570"/>
    <w:rsid w:val="002511B3"/>
    <w:rsid w:val="00257C1E"/>
    <w:rsid w:val="00261B71"/>
    <w:rsid w:val="00262099"/>
    <w:rsid w:val="002621F5"/>
    <w:rsid w:val="00264A62"/>
    <w:rsid w:val="002708B5"/>
    <w:rsid w:val="00270A21"/>
    <w:rsid w:val="002725CA"/>
    <w:rsid w:val="00273A92"/>
    <w:rsid w:val="00276E3C"/>
    <w:rsid w:val="00277896"/>
    <w:rsid w:val="00280EB7"/>
    <w:rsid w:val="002976CF"/>
    <w:rsid w:val="002A0BD2"/>
    <w:rsid w:val="002A3510"/>
    <w:rsid w:val="002A5B17"/>
    <w:rsid w:val="002A76D3"/>
    <w:rsid w:val="002B067A"/>
    <w:rsid w:val="002B1514"/>
    <w:rsid w:val="002B1CDA"/>
    <w:rsid w:val="002B3254"/>
    <w:rsid w:val="002C2163"/>
    <w:rsid w:val="002C7F25"/>
    <w:rsid w:val="002D3912"/>
    <w:rsid w:val="002D4DB6"/>
    <w:rsid w:val="002D5029"/>
    <w:rsid w:val="002D5A85"/>
    <w:rsid w:val="002D5C7D"/>
    <w:rsid w:val="002E35BB"/>
    <w:rsid w:val="002E4639"/>
    <w:rsid w:val="002E4D44"/>
    <w:rsid w:val="002E5CF2"/>
    <w:rsid w:val="002F1915"/>
    <w:rsid w:val="002F68FD"/>
    <w:rsid w:val="002F7332"/>
    <w:rsid w:val="003003A7"/>
    <w:rsid w:val="00302A3D"/>
    <w:rsid w:val="00305A08"/>
    <w:rsid w:val="003107D0"/>
    <w:rsid w:val="003107FA"/>
    <w:rsid w:val="00314790"/>
    <w:rsid w:val="00315D73"/>
    <w:rsid w:val="00316FF9"/>
    <w:rsid w:val="00321716"/>
    <w:rsid w:val="003225F2"/>
    <w:rsid w:val="003229D8"/>
    <w:rsid w:val="0032549A"/>
    <w:rsid w:val="00325F1A"/>
    <w:rsid w:val="00327D0A"/>
    <w:rsid w:val="00336D2F"/>
    <w:rsid w:val="00340BB2"/>
    <w:rsid w:val="003517C3"/>
    <w:rsid w:val="00353B8E"/>
    <w:rsid w:val="00355502"/>
    <w:rsid w:val="0035575A"/>
    <w:rsid w:val="00356BC7"/>
    <w:rsid w:val="00357A20"/>
    <w:rsid w:val="003623D1"/>
    <w:rsid w:val="00363530"/>
    <w:rsid w:val="00372F06"/>
    <w:rsid w:val="00382FAF"/>
    <w:rsid w:val="00390F0E"/>
    <w:rsid w:val="00391647"/>
    <w:rsid w:val="003923FB"/>
    <w:rsid w:val="0039277A"/>
    <w:rsid w:val="00393127"/>
    <w:rsid w:val="00396F6A"/>
    <w:rsid w:val="003972E0"/>
    <w:rsid w:val="003A1EC2"/>
    <w:rsid w:val="003A2972"/>
    <w:rsid w:val="003A52D7"/>
    <w:rsid w:val="003A59C7"/>
    <w:rsid w:val="003A5A16"/>
    <w:rsid w:val="003B3BB5"/>
    <w:rsid w:val="003B5B38"/>
    <w:rsid w:val="003C0657"/>
    <w:rsid w:val="003C18C9"/>
    <w:rsid w:val="003C2819"/>
    <w:rsid w:val="003C2CC4"/>
    <w:rsid w:val="003C45DF"/>
    <w:rsid w:val="003C655D"/>
    <w:rsid w:val="003D4B23"/>
    <w:rsid w:val="003F23A4"/>
    <w:rsid w:val="003F5900"/>
    <w:rsid w:val="003F5B52"/>
    <w:rsid w:val="003F66F3"/>
    <w:rsid w:val="004030C5"/>
    <w:rsid w:val="00403EC6"/>
    <w:rsid w:val="00406CD4"/>
    <w:rsid w:val="00430086"/>
    <w:rsid w:val="00430918"/>
    <w:rsid w:val="004325CB"/>
    <w:rsid w:val="00437F3F"/>
    <w:rsid w:val="00446DE4"/>
    <w:rsid w:val="00447440"/>
    <w:rsid w:val="00452D10"/>
    <w:rsid w:val="00454036"/>
    <w:rsid w:val="004562AA"/>
    <w:rsid w:val="00460B22"/>
    <w:rsid w:val="0046443A"/>
    <w:rsid w:val="004653B3"/>
    <w:rsid w:val="004654C4"/>
    <w:rsid w:val="0046668F"/>
    <w:rsid w:val="0046773D"/>
    <w:rsid w:val="0046788D"/>
    <w:rsid w:val="0048028B"/>
    <w:rsid w:val="00480BD4"/>
    <w:rsid w:val="0048304D"/>
    <w:rsid w:val="00484A9B"/>
    <w:rsid w:val="00486DA4"/>
    <w:rsid w:val="00492AF9"/>
    <w:rsid w:val="0049304E"/>
    <w:rsid w:val="00494C77"/>
    <w:rsid w:val="00497711"/>
    <w:rsid w:val="004B2C9D"/>
    <w:rsid w:val="004B5939"/>
    <w:rsid w:val="004B692E"/>
    <w:rsid w:val="004B73D6"/>
    <w:rsid w:val="004C39D0"/>
    <w:rsid w:val="004C43DB"/>
    <w:rsid w:val="004C4F1A"/>
    <w:rsid w:val="004C6D6D"/>
    <w:rsid w:val="004D0012"/>
    <w:rsid w:val="004D5FB6"/>
    <w:rsid w:val="004E0C5D"/>
    <w:rsid w:val="004E3603"/>
    <w:rsid w:val="004F4240"/>
    <w:rsid w:val="004F52AA"/>
    <w:rsid w:val="004F5854"/>
    <w:rsid w:val="004F77CD"/>
    <w:rsid w:val="005042BC"/>
    <w:rsid w:val="00507CF1"/>
    <w:rsid w:val="00515057"/>
    <w:rsid w:val="00522177"/>
    <w:rsid w:val="005223CB"/>
    <w:rsid w:val="00524D87"/>
    <w:rsid w:val="005258D4"/>
    <w:rsid w:val="00527910"/>
    <w:rsid w:val="00530360"/>
    <w:rsid w:val="00534655"/>
    <w:rsid w:val="0053653D"/>
    <w:rsid w:val="00536DFA"/>
    <w:rsid w:val="005371B2"/>
    <w:rsid w:val="005420F2"/>
    <w:rsid w:val="00542505"/>
    <w:rsid w:val="00542C8D"/>
    <w:rsid w:val="005434EF"/>
    <w:rsid w:val="005475D4"/>
    <w:rsid w:val="00550CA7"/>
    <w:rsid w:val="00552179"/>
    <w:rsid w:val="00555CDB"/>
    <w:rsid w:val="00561B6D"/>
    <w:rsid w:val="00562D45"/>
    <w:rsid w:val="0056615B"/>
    <w:rsid w:val="00567DFB"/>
    <w:rsid w:val="005704BE"/>
    <w:rsid w:val="00571DAA"/>
    <w:rsid w:val="005739EC"/>
    <w:rsid w:val="00576F7D"/>
    <w:rsid w:val="0058129D"/>
    <w:rsid w:val="00590144"/>
    <w:rsid w:val="0059682C"/>
    <w:rsid w:val="005A2489"/>
    <w:rsid w:val="005A64DD"/>
    <w:rsid w:val="005A72B2"/>
    <w:rsid w:val="005B09F0"/>
    <w:rsid w:val="005B0CED"/>
    <w:rsid w:val="005B3DB3"/>
    <w:rsid w:val="005B4B57"/>
    <w:rsid w:val="005B528A"/>
    <w:rsid w:val="005C3E89"/>
    <w:rsid w:val="005C4CB5"/>
    <w:rsid w:val="005C6B5A"/>
    <w:rsid w:val="005D0C6C"/>
    <w:rsid w:val="005D1BB4"/>
    <w:rsid w:val="005D68BD"/>
    <w:rsid w:val="005E3D28"/>
    <w:rsid w:val="005E53FE"/>
    <w:rsid w:val="005E5946"/>
    <w:rsid w:val="005E6758"/>
    <w:rsid w:val="005F3A39"/>
    <w:rsid w:val="005F5C2F"/>
    <w:rsid w:val="005F7BB1"/>
    <w:rsid w:val="00602490"/>
    <w:rsid w:val="00603E3C"/>
    <w:rsid w:val="0061166C"/>
    <w:rsid w:val="00611FC4"/>
    <w:rsid w:val="00612812"/>
    <w:rsid w:val="006176FB"/>
    <w:rsid w:val="00626B06"/>
    <w:rsid w:val="006279AC"/>
    <w:rsid w:val="00630558"/>
    <w:rsid w:val="00632200"/>
    <w:rsid w:val="00632969"/>
    <w:rsid w:val="0063419C"/>
    <w:rsid w:val="00635381"/>
    <w:rsid w:val="00636986"/>
    <w:rsid w:val="00637542"/>
    <w:rsid w:val="00637558"/>
    <w:rsid w:val="00640B26"/>
    <w:rsid w:val="00641194"/>
    <w:rsid w:val="00645A0B"/>
    <w:rsid w:val="006471F6"/>
    <w:rsid w:val="006500BA"/>
    <w:rsid w:val="006506DB"/>
    <w:rsid w:val="00653E36"/>
    <w:rsid w:val="00661016"/>
    <w:rsid w:val="0066179D"/>
    <w:rsid w:val="00662121"/>
    <w:rsid w:val="00662E09"/>
    <w:rsid w:val="00670CF0"/>
    <w:rsid w:val="00675F87"/>
    <w:rsid w:val="00690CD6"/>
    <w:rsid w:val="00695F8E"/>
    <w:rsid w:val="006A3932"/>
    <w:rsid w:val="006A63E3"/>
    <w:rsid w:val="006A7392"/>
    <w:rsid w:val="006B1C55"/>
    <w:rsid w:val="006B4518"/>
    <w:rsid w:val="006C0D34"/>
    <w:rsid w:val="006C251B"/>
    <w:rsid w:val="006C2F7E"/>
    <w:rsid w:val="006D2A3E"/>
    <w:rsid w:val="006D3560"/>
    <w:rsid w:val="006E3B65"/>
    <w:rsid w:val="006E564B"/>
    <w:rsid w:val="007025C0"/>
    <w:rsid w:val="0070691D"/>
    <w:rsid w:val="00707F04"/>
    <w:rsid w:val="00711637"/>
    <w:rsid w:val="00714F4F"/>
    <w:rsid w:val="00723978"/>
    <w:rsid w:val="0072632A"/>
    <w:rsid w:val="00736A6E"/>
    <w:rsid w:val="00736E6A"/>
    <w:rsid w:val="00737407"/>
    <w:rsid w:val="007416F3"/>
    <w:rsid w:val="00741F59"/>
    <w:rsid w:val="0074697D"/>
    <w:rsid w:val="00747C8C"/>
    <w:rsid w:val="00753344"/>
    <w:rsid w:val="00755A0C"/>
    <w:rsid w:val="00755EBE"/>
    <w:rsid w:val="0076047E"/>
    <w:rsid w:val="00760C16"/>
    <w:rsid w:val="00761619"/>
    <w:rsid w:val="0076177C"/>
    <w:rsid w:val="00763C33"/>
    <w:rsid w:val="00764D34"/>
    <w:rsid w:val="00766322"/>
    <w:rsid w:val="00770BCD"/>
    <w:rsid w:val="00771904"/>
    <w:rsid w:val="00773353"/>
    <w:rsid w:val="00774129"/>
    <w:rsid w:val="00774E8F"/>
    <w:rsid w:val="00774EAA"/>
    <w:rsid w:val="00777C27"/>
    <w:rsid w:val="0078123B"/>
    <w:rsid w:val="0078333D"/>
    <w:rsid w:val="00786434"/>
    <w:rsid w:val="00790791"/>
    <w:rsid w:val="007932E3"/>
    <w:rsid w:val="00796F36"/>
    <w:rsid w:val="007A2CDB"/>
    <w:rsid w:val="007A62EC"/>
    <w:rsid w:val="007A6D76"/>
    <w:rsid w:val="007B1A7E"/>
    <w:rsid w:val="007B2BA8"/>
    <w:rsid w:val="007B3C6D"/>
    <w:rsid w:val="007B5E15"/>
    <w:rsid w:val="007B6BA5"/>
    <w:rsid w:val="007C2C0D"/>
    <w:rsid w:val="007C3162"/>
    <w:rsid w:val="007C3390"/>
    <w:rsid w:val="007C4F4B"/>
    <w:rsid w:val="007C644D"/>
    <w:rsid w:val="007D1339"/>
    <w:rsid w:val="007D7BC6"/>
    <w:rsid w:val="007E4BD3"/>
    <w:rsid w:val="007E5D7C"/>
    <w:rsid w:val="007F2A54"/>
    <w:rsid w:val="007F4FEF"/>
    <w:rsid w:val="007F5104"/>
    <w:rsid w:val="007F6611"/>
    <w:rsid w:val="00800024"/>
    <w:rsid w:val="008037A2"/>
    <w:rsid w:val="00816370"/>
    <w:rsid w:val="00816582"/>
    <w:rsid w:val="00817599"/>
    <w:rsid w:val="008175E9"/>
    <w:rsid w:val="00820A2D"/>
    <w:rsid w:val="008242D7"/>
    <w:rsid w:val="00825B97"/>
    <w:rsid w:val="00826410"/>
    <w:rsid w:val="00826C09"/>
    <w:rsid w:val="0083043E"/>
    <w:rsid w:val="0083069A"/>
    <w:rsid w:val="00832A1D"/>
    <w:rsid w:val="00834479"/>
    <w:rsid w:val="00843AB2"/>
    <w:rsid w:val="00846809"/>
    <w:rsid w:val="00852C3A"/>
    <w:rsid w:val="0086013A"/>
    <w:rsid w:val="0086107D"/>
    <w:rsid w:val="00864251"/>
    <w:rsid w:val="00871B13"/>
    <w:rsid w:val="00871FD5"/>
    <w:rsid w:val="0087351D"/>
    <w:rsid w:val="00877071"/>
    <w:rsid w:val="00881213"/>
    <w:rsid w:val="008979B1"/>
    <w:rsid w:val="008A0B75"/>
    <w:rsid w:val="008A1542"/>
    <w:rsid w:val="008A6B25"/>
    <w:rsid w:val="008A6C4F"/>
    <w:rsid w:val="008A7679"/>
    <w:rsid w:val="008A7AB3"/>
    <w:rsid w:val="008B2DB8"/>
    <w:rsid w:val="008B65FB"/>
    <w:rsid w:val="008C04F5"/>
    <w:rsid w:val="008C1A0E"/>
    <w:rsid w:val="008C3B3C"/>
    <w:rsid w:val="008C4283"/>
    <w:rsid w:val="008C4E36"/>
    <w:rsid w:val="008C6D16"/>
    <w:rsid w:val="008C74C3"/>
    <w:rsid w:val="008C7BF7"/>
    <w:rsid w:val="008D134F"/>
    <w:rsid w:val="008D3C75"/>
    <w:rsid w:val="008D5D05"/>
    <w:rsid w:val="008D6942"/>
    <w:rsid w:val="008E0E46"/>
    <w:rsid w:val="008E1DAE"/>
    <w:rsid w:val="008E295A"/>
    <w:rsid w:val="008E365D"/>
    <w:rsid w:val="008E3BB8"/>
    <w:rsid w:val="008F0214"/>
    <w:rsid w:val="008F2D9A"/>
    <w:rsid w:val="008F44B8"/>
    <w:rsid w:val="008F504A"/>
    <w:rsid w:val="008F6413"/>
    <w:rsid w:val="00904EBC"/>
    <w:rsid w:val="00912BA7"/>
    <w:rsid w:val="0091645B"/>
    <w:rsid w:val="00923019"/>
    <w:rsid w:val="00924B63"/>
    <w:rsid w:val="00933FAB"/>
    <w:rsid w:val="009363B6"/>
    <w:rsid w:val="00940F46"/>
    <w:rsid w:val="00941ECC"/>
    <w:rsid w:val="00945A5D"/>
    <w:rsid w:val="00946A0D"/>
    <w:rsid w:val="0094762B"/>
    <w:rsid w:val="00954F3C"/>
    <w:rsid w:val="00955109"/>
    <w:rsid w:val="00963B67"/>
    <w:rsid w:val="00963CBA"/>
    <w:rsid w:val="009701ED"/>
    <w:rsid w:val="0097431F"/>
    <w:rsid w:val="0097639C"/>
    <w:rsid w:val="00982A54"/>
    <w:rsid w:val="00984471"/>
    <w:rsid w:val="00985F37"/>
    <w:rsid w:val="009879EA"/>
    <w:rsid w:val="009903C1"/>
    <w:rsid w:val="009908A5"/>
    <w:rsid w:val="0099124E"/>
    <w:rsid w:val="00991261"/>
    <w:rsid w:val="009953D5"/>
    <w:rsid w:val="009A1D29"/>
    <w:rsid w:val="009B5F0D"/>
    <w:rsid w:val="009C0FA4"/>
    <w:rsid w:val="009C6058"/>
    <w:rsid w:val="009C6168"/>
    <w:rsid w:val="009C6394"/>
    <w:rsid w:val="009D0E2A"/>
    <w:rsid w:val="009D0F0E"/>
    <w:rsid w:val="009D1AAE"/>
    <w:rsid w:val="009D634E"/>
    <w:rsid w:val="009E1560"/>
    <w:rsid w:val="009F0F06"/>
    <w:rsid w:val="009F4FC5"/>
    <w:rsid w:val="009F7CD7"/>
    <w:rsid w:val="00A02C71"/>
    <w:rsid w:val="00A068B8"/>
    <w:rsid w:val="00A1427D"/>
    <w:rsid w:val="00A1716E"/>
    <w:rsid w:val="00A201E8"/>
    <w:rsid w:val="00A235F1"/>
    <w:rsid w:val="00A34B00"/>
    <w:rsid w:val="00A3777A"/>
    <w:rsid w:val="00A50077"/>
    <w:rsid w:val="00A52922"/>
    <w:rsid w:val="00A538E5"/>
    <w:rsid w:val="00A5422A"/>
    <w:rsid w:val="00A54CA8"/>
    <w:rsid w:val="00A60196"/>
    <w:rsid w:val="00A60B3E"/>
    <w:rsid w:val="00A6199C"/>
    <w:rsid w:val="00A62147"/>
    <w:rsid w:val="00A622AF"/>
    <w:rsid w:val="00A6236D"/>
    <w:rsid w:val="00A65F4A"/>
    <w:rsid w:val="00A66636"/>
    <w:rsid w:val="00A71B77"/>
    <w:rsid w:val="00A72F22"/>
    <w:rsid w:val="00A744D7"/>
    <w:rsid w:val="00A748A6"/>
    <w:rsid w:val="00A74A46"/>
    <w:rsid w:val="00A753A9"/>
    <w:rsid w:val="00A75D0E"/>
    <w:rsid w:val="00A75EC9"/>
    <w:rsid w:val="00A810D4"/>
    <w:rsid w:val="00A83451"/>
    <w:rsid w:val="00A83538"/>
    <w:rsid w:val="00A841F8"/>
    <w:rsid w:val="00A8523D"/>
    <w:rsid w:val="00A879A4"/>
    <w:rsid w:val="00A9244A"/>
    <w:rsid w:val="00AA1D9A"/>
    <w:rsid w:val="00AA32EB"/>
    <w:rsid w:val="00AB382F"/>
    <w:rsid w:val="00AB4CF1"/>
    <w:rsid w:val="00AB547D"/>
    <w:rsid w:val="00AC0069"/>
    <w:rsid w:val="00AC7F82"/>
    <w:rsid w:val="00AD34EE"/>
    <w:rsid w:val="00AD7C88"/>
    <w:rsid w:val="00AE45DE"/>
    <w:rsid w:val="00AF0878"/>
    <w:rsid w:val="00AF2F9D"/>
    <w:rsid w:val="00AF5853"/>
    <w:rsid w:val="00AF6710"/>
    <w:rsid w:val="00B013E6"/>
    <w:rsid w:val="00B04D66"/>
    <w:rsid w:val="00B10C19"/>
    <w:rsid w:val="00B1157C"/>
    <w:rsid w:val="00B1501F"/>
    <w:rsid w:val="00B26710"/>
    <w:rsid w:val="00B26B3C"/>
    <w:rsid w:val="00B30179"/>
    <w:rsid w:val="00B3317B"/>
    <w:rsid w:val="00B41384"/>
    <w:rsid w:val="00B4398E"/>
    <w:rsid w:val="00B52157"/>
    <w:rsid w:val="00B5392B"/>
    <w:rsid w:val="00B560D2"/>
    <w:rsid w:val="00B56C20"/>
    <w:rsid w:val="00B61827"/>
    <w:rsid w:val="00B64FDB"/>
    <w:rsid w:val="00B71E2B"/>
    <w:rsid w:val="00B73DA8"/>
    <w:rsid w:val="00B74F7C"/>
    <w:rsid w:val="00B75E05"/>
    <w:rsid w:val="00B81E12"/>
    <w:rsid w:val="00B84AAC"/>
    <w:rsid w:val="00B87012"/>
    <w:rsid w:val="00B879B1"/>
    <w:rsid w:val="00B90F54"/>
    <w:rsid w:val="00B91CC3"/>
    <w:rsid w:val="00B92A0C"/>
    <w:rsid w:val="00B93068"/>
    <w:rsid w:val="00B9560E"/>
    <w:rsid w:val="00BA1DA3"/>
    <w:rsid w:val="00BA413B"/>
    <w:rsid w:val="00BA7462"/>
    <w:rsid w:val="00BA758C"/>
    <w:rsid w:val="00BB1452"/>
    <w:rsid w:val="00BB176D"/>
    <w:rsid w:val="00BB183E"/>
    <w:rsid w:val="00BB3B28"/>
    <w:rsid w:val="00BB7BCE"/>
    <w:rsid w:val="00BC46B3"/>
    <w:rsid w:val="00BC4CB4"/>
    <w:rsid w:val="00BC5FC4"/>
    <w:rsid w:val="00BC74E9"/>
    <w:rsid w:val="00BD41F8"/>
    <w:rsid w:val="00BD7EBA"/>
    <w:rsid w:val="00BE14E7"/>
    <w:rsid w:val="00BE1FF8"/>
    <w:rsid w:val="00BE47B0"/>
    <w:rsid w:val="00BE50CA"/>
    <w:rsid w:val="00BE618E"/>
    <w:rsid w:val="00BF5205"/>
    <w:rsid w:val="00C0263F"/>
    <w:rsid w:val="00C03B44"/>
    <w:rsid w:val="00C060D3"/>
    <w:rsid w:val="00C10B00"/>
    <w:rsid w:val="00C13A85"/>
    <w:rsid w:val="00C14E41"/>
    <w:rsid w:val="00C20CF6"/>
    <w:rsid w:val="00C218A4"/>
    <w:rsid w:val="00C23E4F"/>
    <w:rsid w:val="00C36D37"/>
    <w:rsid w:val="00C37C37"/>
    <w:rsid w:val="00C37E31"/>
    <w:rsid w:val="00C463DD"/>
    <w:rsid w:val="00C46D5B"/>
    <w:rsid w:val="00C519E2"/>
    <w:rsid w:val="00C5283C"/>
    <w:rsid w:val="00C537D5"/>
    <w:rsid w:val="00C53FAC"/>
    <w:rsid w:val="00C62F76"/>
    <w:rsid w:val="00C66D78"/>
    <w:rsid w:val="00C71A92"/>
    <w:rsid w:val="00C745C3"/>
    <w:rsid w:val="00C81212"/>
    <w:rsid w:val="00C81810"/>
    <w:rsid w:val="00C84FF1"/>
    <w:rsid w:val="00C86E64"/>
    <w:rsid w:val="00C91180"/>
    <w:rsid w:val="00C93C11"/>
    <w:rsid w:val="00C94F7A"/>
    <w:rsid w:val="00C971F6"/>
    <w:rsid w:val="00CA049C"/>
    <w:rsid w:val="00CA381C"/>
    <w:rsid w:val="00CA74D3"/>
    <w:rsid w:val="00CB2158"/>
    <w:rsid w:val="00CB6380"/>
    <w:rsid w:val="00CB7364"/>
    <w:rsid w:val="00CC4CA6"/>
    <w:rsid w:val="00CC5DB9"/>
    <w:rsid w:val="00CD0009"/>
    <w:rsid w:val="00CD30EE"/>
    <w:rsid w:val="00CD3225"/>
    <w:rsid w:val="00CD38FE"/>
    <w:rsid w:val="00CE0D77"/>
    <w:rsid w:val="00CE4083"/>
    <w:rsid w:val="00CE46BA"/>
    <w:rsid w:val="00CE4A8F"/>
    <w:rsid w:val="00CE4A94"/>
    <w:rsid w:val="00CE4B82"/>
    <w:rsid w:val="00CE74ED"/>
    <w:rsid w:val="00CE7626"/>
    <w:rsid w:val="00CF12F6"/>
    <w:rsid w:val="00CF6F32"/>
    <w:rsid w:val="00CF778D"/>
    <w:rsid w:val="00D04B74"/>
    <w:rsid w:val="00D0631B"/>
    <w:rsid w:val="00D06C3A"/>
    <w:rsid w:val="00D124FE"/>
    <w:rsid w:val="00D164BA"/>
    <w:rsid w:val="00D2031B"/>
    <w:rsid w:val="00D25E8C"/>
    <w:rsid w:val="00D25FE2"/>
    <w:rsid w:val="00D27461"/>
    <w:rsid w:val="00D27E89"/>
    <w:rsid w:val="00D352FD"/>
    <w:rsid w:val="00D366A7"/>
    <w:rsid w:val="00D37E80"/>
    <w:rsid w:val="00D42C29"/>
    <w:rsid w:val="00D43252"/>
    <w:rsid w:val="00D46231"/>
    <w:rsid w:val="00D477C4"/>
    <w:rsid w:val="00D52CD5"/>
    <w:rsid w:val="00D5409C"/>
    <w:rsid w:val="00D558E3"/>
    <w:rsid w:val="00D55A6B"/>
    <w:rsid w:val="00D57C13"/>
    <w:rsid w:val="00D57FD9"/>
    <w:rsid w:val="00D610C1"/>
    <w:rsid w:val="00D658FA"/>
    <w:rsid w:val="00D7217B"/>
    <w:rsid w:val="00D730E3"/>
    <w:rsid w:val="00D753D8"/>
    <w:rsid w:val="00D83AF1"/>
    <w:rsid w:val="00D9274F"/>
    <w:rsid w:val="00D96248"/>
    <w:rsid w:val="00D96CC5"/>
    <w:rsid w:val="00D978C6"/>
    <w:rsid w:val="00D97B77"/>
    <w:rsid w:val="00DA0A3A"/>
    <w:rsid w:val="00DA1EB9"/>
    <w:rsid w:val="00DA6620"/>
    <w:rsid w:val="00DA67AD"/>
    <w:rsid w:val="00DB0645"/>
    <w:rsid w:val="00DB108D"/>
    <w:rsid w:val="00DB1C61"/>
    <w:rsid w:val="00DB604E"/>
    <w:rsid w:val="00DB72BC"/>
    <w:rsid w:val="00DC487B"/>
    <w:rsid w:val="00DC5EF6"/>
    <w:rsid w:val="00DD42A0"/>
    <w:rsid w:val="00DD5DA2"/>
    <w:rsid w:val="00DE11A6"/>
    <w:rsid w:val="00DE236F"/>
    <w:rsid w:val="00DE3ECB"/>
    <w:rsid w:val="00DE4785"/>
    <w:rsid w:val="00DE7267"/>
    <w:rsid w:val="00DF0A4D"/>
    <w:rsid w:val="00DF1EE9"/>
    <w:rsid w:val="00DF3039"/>
    <w:rsid w:val="00DF3A04"/>
    <w:rsid w:val="00DF4518"/>
    <w:rsid w:val="00E03DE5"/>
    <w:rsid w:val="00E10201"/>
    <w:rsid w:val="00E12018"/>
    <w:rsid w:val="00E130AB"/>
    <w:rsid w:val="00E1679E"/>
    <w:rsid w:val="00E239A0"/>
    <w:rsid w:val="00E26269"/>
    <w:rsid w:val="00E308AF"/>
    <w:rsid w:val="00E34E58"/>
    <w:rsid w:val="00E36838"/>
    <w:rsid w:val="00E36C10"/>
    <w:rsid w:val="00E40B76"/>
    <w:rsid w:val="00E412EA"/>
    <w:rsid w:val="00E4138E"/>
    <w:rsid w:val="00E42461"/>
    <w:rsid w:val="00E4443D"/>
    <w:rsid w:val="00E52EB0"/>
    <w:rsid w:val="00E54352"/>
    <w:rsid w:val="00E54645"/>
    <w:rsid w:val="00E54BD4"/>
    <w:rsid w:val="00E555F5"/>
    <w:rsid w:val="00E5644E"/>
    <w:rsid w:val="00E5691C"/>
    <w:rsid w:val="00E62068"/>
    <w:rsid w:val="00E631BA"/>
    <w:rsid w:val="00E63DE8"/>
    <w:rsid w:val="00E659B3"/>
    <w:rsid w:val="00E65A76"/>
    <w:rsid w:val="00E6613A"/>
    <w:rsid w:val="00E7260F"/>
    <w:rsid w:val="00E730D8"/>
    <w:rsid w:val="00E81230"/>
    <w:rsid w:val="00E8535A"/>
    <w:rsid w:val="00E864BE"/>
    <w:rsid w:val="00E87CAD"/>
    <w:rsid w:val="00E90647"/>
    <w:rsid w:val="00E9352B"/>
    <w:rsid w:val="00E95438"/>
    <w:rsid w:val="00E96630"/>
    <w:rsid w:val="00E9731A"/>
    <w:rsid w:val="00EA0364"/>
    <w:rsid w:val="00EA2938"/>
    <w:rsid w:val="00EA48C4"/>
    <w:rsid w:val="00EA72F6"/>
    <w:rsid w:val="00EA772F"/>
    <w:rsid w:val="00EB2AE3"/>
    <w:rsid w:val="00EB4C06"/>
    <w:rsid w:val="00EB51D5"/>
    <w:rsid w:val="00EB65EF"/>
    <w:rsid w:val="00EB6832"/>
    <w:rsid w:val="00EB71BA"/>
    <w:rsid w:val="00EB798F"/>
    <w:rsid w:val="00EC14E9"/>
    <w:rsid w:val="00EC271A"/>
    <w:rsid w:val="00EC2937"/>
    <w:rsid w:val="00EC755A"/>
    <w:rsid w:val="00ED0C83"/>
    <w:rsid w:val="00ED0F6B"/>
    <w:rsid w:val="00ED15C1"/>
    <w:rsid w:val="00ED34CE"/>
    <w:rsid w:val="00ED3508"/>
    <w:rsid w:val="00ED3F6F"/>
    <w:rsid w:val="00ED6586"/>
    <w:rsid w:val="00ED7A2A"/>
    <w:rsid w:val="00EE15B0"/>
    <w:rsid w:val="00EE4D59"/>
    <w:rsid w:val="00EE73C3"/>
    <w:rsid w:val="00EF1407"/>
    <w:rsid w:val="00EF1D7F"/>
    <w:rsid w:val="00EF4AAC"/>
    <w:rsid w:val="00EF71D8"/>
    <w:rsid w:val="00F017EF"/>
    <w:rsid w:val="00F01C57"/>
    <w:rsid w:val="00F03FA2"/>
    <w:rsid w:val="00F0400D"/>
    <w:rsid w:val="00F05283"/>
    <w:rsid w:val="00F07537"/>
    <w:rsid w:val="00F07619"/>
    <w:rsid w:val="00F07E12"/>
    <w:rsid w:val="00F1200D"/>
    <w:rsid w:val="00F22B03"/>
    <w:rsid w:val="00F30A8A"/>
    <w:rsid w:val="00F34267"/>
    <w:rsid w:val="00F34282"/>
    <w:rsid w:val="00F3574D"/>
    <w:rsid w:val="00F40295"/>
    <w:rsid w:val="00F40E75"/>
    <w:rsid w:val="00F412D3"/>
    <w:rsid w:val="00F4268E"/>
    <w:rsid w:val="00F444E3"/>
    <w:rsid w:val="00F4509A"/>
    <w:rsid w:val="00F5087E"/>
    <w:rsid w:val="00F51BAB"/>
    <w:rsid w:val="00F535BE"/>
    <w:rsid w:val="00F545B1"/>
    <w:rsid w:val="00F54674"/>
    <w:rsid w:val="00F54BAB"/>
    <w:rsid w:val="00F554A1"/>
    <w:rsid w:val="00F5723F"/>
    <w:rsid w:val="00F64C95"/>
    <w:rsid w:val="00F669F0"/>
    <w:rsid w:val="00F75E96"/>
    <w:rsid w:val="00F82AD7"/>
    <w:rsid w:val="00FA00A0"/>
    <w:rsid w:val="00FA3FB7"/>
    <w:rsid w:val="00FA7EDD"/>
    <w:rsid w:val="00FB5A37"/>
    <w:rsid w:val="00FB7793"/>
    <w:rsid w:val="00FC18AA"/>
    <w:rsid w:val="00FC215C"/>
    <w:rsid w:val="00FC3D3C"/>
    <w:rsid w:val="00FC68B7"/>
    <w:rsid w:val="00FC7A90"/>
    <w:rsid w:val="00FD0F6C"/>
    <w:rsid w:val="00FD3C5D"/>
    <w:rsid w:val="00FD3E70"/>
    <w:rsid w:val="00FD5349"/>
    <w:rsid w:val="00FD6B2B"/>
    <w:rsid w:val="00FE3EEA"/>
    <w:rsid w:val="00FE54C1"/>
    <w:rsid w:val="00FE681E"/>
    <w:rsid w:val="00FF03BB"/>
    <w:rsid w:val="00FF071A"/>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9AAE-F5A9-4914-9536-28F241B6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2</cp:revision>
  <cp:lastPrinted>2019-07-03T07:42:00Z</cp:lastPrinted>
  <dcterms:created xsi:type="dcterms:W3CDTF">2019-07-05T08:55:00Z</dcterms:created>
  <dcterms:modified xsi:type="dcterms:W3CDTF">2019-07-05T08:55:00Z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