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020DA2" w14:paraId="4D95155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D627E72" w14:textId="77777777" w:rsidR="00132EA9" w:rsidRPr="00DB58B5" w:rsidRDefault="00132EA9" w:rsidP="00020DA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9998DC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89E14D" w14:textId="77777777" w:rsidR="00132EA9" w:rsidRPr="00020DA2" w:rsidRDefault="00020DA2" w:rsidP="00020DA2">
            <w:pPr>
              <w:jc w:val="right"/>
              <w:rPr>
                <w:lang w:val="en-US"/>
              </w:rPr>
            </w:pPr>
            <w:r w:rsidRPr="00020DA2">
              <w:rPr>
                <w:sz w:val="40"/>
                <w:lang w:val="en-US"/>
              </w:rPr>
              <w:t>ST</w:t>
            </w:r>
            <w:r w:rsidRPr="00020DA2">
              <w:rPr>
                <w:lang w:val="en-US"/>
              </w:rPr>
              <w:t>/SG/AC.10/C.4/73/Add.1</w:t>
            </w:r>
          </w:p>
        </w:tc>
      </w:tr>
      <w:tr w:rsidR="00132EA9" w:rsidRPr="00DB58B5" w14:paraId="1B3A1C6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60D105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03DBC8B" wp14:editId="6B76FEE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3F96E9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8D70A4" w14:textId="77777777" w:rsidR="00132EA9" w:rsidRDefault="00020DA2" w:rsidP="00F01738">
            <w:pPr>
              <w:spacing w:before="240"/>
            </w:pPr>
            <w:r>
              <w:t>Distr. générale</w:t>
            </w:r>
          </w:p>
          <w:p w14:paraId="03271122" w14:textId="77777777" w:rsidR="00020DA2" w:rsidRDefault="00020DA2" w:rsidP="00020DA2">
            <w:pPr>
              <w:spacing w:line="240" w:lineRule="exact"/>
            </w:pPr>
            <w:r>
              <w:t>29 avril 2019</w:t>
            </w:r>
          </w:p>
          <w:p w14:paraId="0CC8F8C1" w14:textId="77777777" w:rsidR="00020DA2" w:rsidRDefault="00020DA2" w:rsidP="00020DA2">
            <w:pPr>
              <w:spacing w:line="240" w:lineRule="exact"/>
            </w:pPr>
            <w:r>
              <w:t>Français</w:t>
            </w:r>
          </w:p>
          <w:p w14:paraId="14FBCED2" w14:textId="77777777" w:rsidR="00020DA2" w:rsidRPr="00DB58B5" w:rsidRDefault="00020DA2" w:rsidP="00020DA2">
            <w:pPr>
              <w:spacing w:line="240" w:lineRule="exact"/>
            </w:pPr>
            <w:r>
              <w:t>Original : anglais</w:t>
            </w:r>
          </w:p>
        </w:tc>
      </w:tr>
    </w:tbl>
    <w:p w14:paraId="1F6183DD" w14:textId="77777777" w:rsidR="00020DA2" w:rsidRPr="00CA0680" w:rsidRDefault="00020DA2" w:rsidP="000F6EE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0F6EE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0F6EE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7B0C7396" w14:textId="77777777" w:rsidR="00020DA2" w:rsidRPr="00CA0680" w:rsidRDefault="00020DA2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0F6EE3">
        <w:rPr>
          <w:b/>
        </w:rPr>
        <w:t>’</w:t>
      </w:r>
      <w:r w:rsidRPr="00CA0680">
        <w:rPr>
          <w:b/>
        </w:rPr>
        <w:t xml:space="preserve">experts </w:t>
      </w:r>
      <w:r>
        <w:rPr>
          <w:b/>
        </w:rPr>
        <w:t>du Système général harmonisé</w:t>
      </w:r>
      <w:r>
        <w:rPr>
          <w:b/>
        </w:rPr>
        <w:br/>
        <w:t>de classification et d</w:t>
      </w:r>
      <w:r w:rsidR="000F6EE3">
        <w:rPr>
          <w:b/>
        </w:rPr>
        <w:t>’</w:t>
      </w:r>
      <w:r>
        <w:rPr>
          <w:b/>
        </w:rPr>
        <w:t>étiquetage des produits chimiques</w:t>
      </w:r>
    </w:p>
    <w:p w14:paraId="27BB2FD3" w14:textId="77777777" w:rsidR="00020DA2" w:rsidRDefault="00A10092" w:rsidP="000305D3">
      <w:pPr>
        <w:spacing w:before="120"/>
        <w:rPr>
          <w:b/>
        </w:rPr>
      </w:pPr>
      <w:r w:rsidRPr="00020DA2">
        <w:rPr>
          <w:b/>
          <w:bCs/>
        </w:rPr>
        <w:t>Trente-septième</w:t>
      </w:r>
      <w:r w:rsidR="00020DA2" w:rsidRPr="00CA0680">
        <w:rPr>
          <w:b/>
        </w:rPr>
        <w:t xml:space="preserve"> session</w:t>
      </w:r>
    </w:p>
    <w:p w14:paraId="53268A4B" w14:textId="77777777" w:rsidR="00020DA2" w:rsidRDefault="00020DA2" w:rsidP="000305D3">
      <w:r>
        <w:t xml:space="preserve">Genève, </w:t>
      </w:r>
      <w:r w:rsidR="00A10092" w:rsidRPr="00020DA2">
        <w:t>8-10 juillet 2019</w:t>
      </w:r>
    </w:p>
    <w:p w14:paraId="08943485" w14:textId="77777777" w:rsidR="00020DA2" w:rsidRDefault="00020DA2" w:rsidP="000305D3">
      <w:r>
        <w:t>Poin</w:t>
      </w:r>
      <w:r w:rsidR="00A10092">
        <w:t>t 1</w:t>
      </w:r>
      <w:r>
        <w:t xml:space="preserve"> de l</w:t>
      </w:r>
      <w:r w:rsidR="000F6EE3">
        <w:t>’</w:t>
      </w:r>
      <w:r>
        <w:t>ordre du jour provisoire</w:t>
      </w:r>
    </w:p>
    <w:p w14:paraId="38AF7A8E" w14:textId="77777777" w:rsidR="00020DA2" w:rsidRPr="00020DA2" w:rsidRDefault="00020DA2" w:rsidP="00020DA2">
      <w:pPr>
        <w:rPr>
          <w:b/>
        </w:rPr>
      </w:pPr>
      <w:r w:rsidRPr="00020DA2">
        <w:rPr>
          <w:b/>
        </w:rPr>
        <w:t>Adoption de l</w:t>
      </w:r>
      <w:r w:rsidR="000F6EE3">
        <w:rPr>
          <w:b/>
        </w:rPr>
        <w:t>’</w:t>
      </w:r>
      <w:r w:rsidRPr="00020DA2">
        <w:rPr>
          <w:b/>
        </w:rPr>
        <w:t>ordre du jour</w:t>
      </w:r>
    </w:p>
    <w:p w14:paraId="3EFD61D1" w14:textId="77777777" w:rsidR="00020DA2" w:rsidRPr="00020DA2" w:rsidRDefault="00020DA2" w:rsidP="00A10092">
      <w:pPr>
        <w:pStyle w:val="HChG"/>
      </w:pPr>
      <w:r w:rsidRPr="00020DA2">
        <w:tab/>
      </w:r>
      <w:r w:rsidRPr="00020DA2">
        <w:tab/>
        <w:t>Ordre du jour de la trente-septième session</w:t>
      </w:r>
    </w:p>
    <w:p w14:paraId="199E6CAA" w14:textId="77777777" w:rsidR="00020DA2" w:rsidRPr="00020DA2" w:rsidRDefault="00020DA2" w:rsidP="00A10092">
      <w:pPr>
        <w:pStyle w:val="H23G"/>
      </w:pPr>
      <w:r w:rsidRPr="00020DA2">
        <w:tab/>
      </w:r>
      <w:r w:rsidRPr="00020DA2">
        <w:tab/>
        <w:t>Additif</w:t>
      </w:r>
    </w:p>
    <w:p w14:paraId="6DBB7226" w14:textId="77777777" w:rsidR="00020DA2" w:rsidRPr="00020DA2" w:rsidRDefault="00020DA2" w:rsidP="002006B4">
      <w:pPr>
        <w:pStyle w:val="H1G"/>
      </w:pPr>
      <w:r w:rsidRPr="00020DA2">
        <w:tab/>
      </w:r>
      <w:r w:rsidRPr="00020DA2">
        <w:tab/>
        <w:t>Liste des documents et annotations</w:t>
      </w:r>
    </w:p>
    <w:p w14:paraId="4B170514" w14:textId="77777777" w:rsidR="00020DA2" w:rsidRPr="00020DA2" w:rsidRDefault="00020DA2" w:rsidP="002006B4">
      <w:pPr>
        <w:pStyle w:val="SingleTxtG"/>
        <w:rPr>
          <w:lang w:eastAsia="ja-JP"/>
        </w:rPr>
      </w:pPr>
      <w:r w:rsidRPr="00020DA2">
        <w:rPr>
          <w:u w:val="single"/>
          <w:lang w:eastAsia="ja-JP"/>
        </w:rPr>
        <w:t>Nota</w:t>
      </w:r>
      <w:r w:rsidRPr="00020DA2">
        <w:rPr>
          <w:lang w:eastAsia="ja-JP"/>
        </w:rPr>
        <w:t xml:space="preserve"> : Au vu du nombre limité de documents soumis pour la session et après consultation du Bureau du Sous-Comité, il a été décidé de réduire le nombre de jours de réunion à </w:t>
      </w:r>
      <w:r w:rsidR="00A30BD4">
        <w:rPr>
          <w:lang w:eastAsia="ja-JP"/>
        </w:rPr>
        <w:t xml:space="preserve">deux </w:t>
      </w:r>
      <w:r w:rsidRPr="00020DA2">
        <w:rPr>
          <w:lang w:eastAsia="ja-JP"/>
        </w:rPr>
        <w:t>jours et demi. La session se terminera donc à 12 h 30 le mercredi 10 juillet 2019.</w:t>
      </w:r>
    </w:p>
    <w:p w14:paraId="4D2AB20C" w14:textId="77777777" w:rsidR="00020DA2" w:rsidRPr="00020DA2" w:rsidRDefault="00020DA2" w:rsidP="002006B4">
      <w:pPr>
        <w:pStyle w:val="H1G"/>
      </w:pPr>
      <w:r w:rsidRPr="00020DA2">
        <w:tab/>
        <w:t>1.</w:t>
      </w:r>
      <w:r w:rsidRPr="00020DA2">
        <w:tab/>
        <w:t>Adoption de l</w:t>
      </w:r>
      <w:r w:rsidR="000F6EE3">
        <w:t>’</w:t>
      </w:r>
      <w:r w:rsidRPr="00020DA2">
        <w:t>ordre du jour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4210"/>
      </w:tblGrid>
      <w:tr w:rsidR="00020DA2" w:rsidRPr="00020DA2" w14:paraId="02C1DBB3" w14:textId="77777777" w:rsidTr="00F15CB4">
        <w:tc>
          <w:tcPr>
            <w:tcW w:w="3402" w:type="dxa"/>
            <w:shd w:val="clear" w:color="auto" w:fill="auto"/>
          </w:tcPr>
          <w:p w14:paraId="79FD51C5" w14:textId="77777777" w:rsidR="00020DA2" w:rsidRPr="00020DA2" w:rsidRDefault="00020DA2" w:rsidP="006C2E4A">
            <w:pPr>
              <w:spacing w:before="40" w:after="120"/>
            </w:pPr>
            <w:r w:rsidRPr="00020DA2">
              <w:t>ST/SG/AC.10/C.4/73</w:t>
            </w:r>
          </w:p>
        </w:tc>
        <w:tc>
          <w:tcPr>
            <w:tcW w:w="5103" w:type="dxa"/>
            <w:shd w:val="clear" w:color="auto" w:fill="auto"/>
          </w:tcPr>
          <w:p w14:paraId="0636E37D" w14:textId="77777777" w:rsidR="00020DA2" w:rsidRPr="00020DA2" w:rsidRDefault="00020DA2" w:rsidP="006C2E4A">
            <w:pPr>
              <w:spacing w:before="40" w:after="120"/>
            </w:pPr>
            <w:r w:rsidRPr="00020DA2">
              <w:t>Ordre du jour provisoire de la trente-septième session</w:t>
            </w:r>
          </w:p>
        </w:tc>
      </w:tr>
      <w:tr w:rsidR="00020DA2" w:rsidRPr="00020DA2" w14:paraId="3D1E8C76" w14:textId="77777777" w:rsidTr="00F15CB4">
        <w:tc>
          <w:tcPr>
            <w:tcW w:w="3402" w:type="dxa"/>
            <w:shd w:val="clear" w:color="auto" w:fill="auto"/>
          </w:tcPr>
          <w:p w14:paraId="621618B9" w14:textId="77777777" w:rsidR="00020DA2" w:rsidRPr="00020DA2" w:rsidRDefault="00020DA2" w:rsidP="006C2E4A">
            <w:pPr>
              <w:spacing w:before="40" w:after="120"/>
              <w:rPr>
                <w:lang w:val="en-US"/>
              </w:rPr>
            </w:pPr>
            <w:r w:rsidRPr="00020DA2">
              <w:rPr>
                <w:lang w:val="en-US"/>
              </w:rPr>
              <w:t>ST/SG/AC.10/C.4/73/Add.1</w:t>
            </w:r>
          </w:p>
        </w:tc>
        <w:tc>
          <w:tcPr>
            <w:tcW w:w="5103" w:type="dxa"/>
            <w:shd w:val="clear" w:color="auto" w:fill="auto"/>
          </w:tcPr>
          <w:p w14:paraId="04BF61FB" w14:textId="77777777" w:rsidR="00020DA2" w:rsidRPr="00020DA2" w:rsidRDefault="00020DA2" w:rsidP="006C2E4A">
            <w:pPr>
              <w:spacing w:before="40" w:after="120"/>
            </w:pPr>
            <w:r w:rsidRPr="00020DA2">
              <w:t>Liste des documents et annotations</w:t>
            </w:r>
          </w:p>
        </w:tc>
      </w:tr>
    </w:tbl>
    <w:p w14:paraId="57FF6022" w14:textId="77777777" w:rsidR="00020DA2" w:rsidRPr="00020DA2" w:rsidRDefault="00020DA2" w:rsidP="002006B4">
      <w:pPr>
        <w:pStyle w:val="H1G"/>
      </w:pPr>
      <w:r w:rsidRPr="00020DA2">
        <w:tab/>
      </w:r>
      <w:r w:rsidRPr="00020DA2">
        <w:tab/>
        <w:t>Documents de référence (secrétariat)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4310"/>
      </w:tblGrid>
      <w:tr w:rsidR="00020DA2" w:rsidRPr="00020DA2" w14:paraId="48D77EC4" w14:textId="77777777" w:rsidTr="009E4996">
        <w:tc>
          <w:tcPr>
            <w:tcW w:w="3402" w:type="dxa"/>
            <w:shd w:val="clear" w:color="auto" w:fill="auto"/>
          </w:tcPr>
          <w:p w14:paraId="7B17ED50" w14:textId="77777777" w:rsidR="00020DA2" w:rsidRPr="00020DA2" w:rsidRDefault="00020DA2" w:rsidP="006C2E4A">
            <w:pPr>
              <w:spacing w:before="40" w:after="120"/>
            </w:pPr>
            <w:r w:rsidRPr="00020DA2">
              <w:t>ST/SG/AC.10/30/Rev.7</w:t>
            </w:r>
          </w:p>
        </w:tc>
        <w:tc>
          <w:tcPr>
            <w:tcW w:w="5103" w:type="dxa"/>
            <w:shd w:val="clear" w:color="auto" w:fill="auto"/>
          </w:tcPr>
          <w:p w14:paraId="5FF804A8" w14:textId="1B9B078E" w:rsidR="00020DA2" w:rsidRPr="00020DA2" w:rsidRDefault="00020DA2" w:rsidP="006C2E4A">
            <w:pPr>
              <w:spacing w:before="40" w:after="120"/>
            </w:pPr>
            <w:r w:rsidRPr="00020DA2">
              <w:t xml:space="preserve">Système général harmonisé de classification </w:t>
            </w:r>
            <w:r w:rsidR="0060176D">
              <w:br/>
            </w:r>
            <w:r w:rsidRPr="00020DA2">
              <w:t>et d</w:t>
            </w:r>
            <w:r w:rsidR="000F6EE3">
              <w:t>’</w:t>
            </w:r>
            <w:r w:rsidRPr="00020DA2">
              <w:t>étiquetage des produits chimiques (SGH), septième édition révisée</w:t>
            </w:r>
          </w:p>
        </w:tc>
      </w:tr>
      <w:tr w:rsidR="00020DA2" w:rsidRPr="00020DA2" w14:paraId="7FAE247F" w14:textId="77777777" w:rsidTr="009E4996">
        <w:tc>
          <w:tcPr>
            <w:tcW w:w="3402" w:type="dxa"/>
            <w:shd w:val="clear" w:color="auto" w:fill="auto"/>
          </w:tcPr>
          <w:p w14:paraId="0E2707F6" w14:textId="77777777" w:rsidR="00020DA2" w:rsidRPr="00020DA2" w:rsidRDefault="00020DA2" w:rsidP="006C2E4A">
            <w:pPr>
              <w:spacing w:before="40" w:after="120"/>
            </w:pPr>
            <w:r w:rsidRPr="00020DA2">
              <w:t>ST/SG/AC.10/1/Rev.20</w:t>
            </w:r>
          </w:p>
        </w:tc>
        <w:tc>
          <w:tcPr>
            <w:tcW w:w="5103" w:type="dxa"/>
            <w:shd w:val="clear" w:color="auto" w:fill="auto"/>
          </w:tcPr>
          <w:p w14:paraId="0A692B48" w14:textId="77777777" w:rsidR="00020DA2" w:rsidRPr="00020DA2" w:rsidRDefault="00020DA2" w:rsidP="006C2E4A">
            <w:pPr>
              <w:spacing w:before="40" w:after="120"/>
            </w:pPr>
            <w:r w:rsidRPr="00020DA2">
              <w:t>Recommandations relatives au transport des marchandises dangereuses, Règlement type, vingtième édition révisée</w:t>
            </w:r>
          </w:p>
        </w:tc>
      </w:tr>
      <w:tr w:rsidR="00020DA2" w:rsidRPr="00020DA2" w14:paraId="66C81FEC" w14:textId="77777777" w:rsidTr="009E4996">
        <w:tc>
          <w:tcPr>
            <w:tcW w:w="3402" w:type="dxa"/>
            <w:shd w:val="clear" w:color="auto" w:fill="auto"/>
          </w:tcPr>
          <w:p w14:paraId="56BB16F1" w14:textId="77777777" w:rsidR="00020DA2" w:rsidRPr="00020DA2" w:rsidRDefault="00020DA2" w:rsidP="006C2E4A">
            <w:pPr>
              <w:spacing w:before="40" w:after="120"/>
              <w:rPr>
                <w:lang w:val="en-US"/>
              </w:rPr>
            </w:pPr>
            <w:r w:rsidRPr="00020DA2">
              <w:rPr>
                <w:lang w:val="en-US"/>
              </w:rPr>
              <w:t>ST/SG/AC.10/11/Rev.6 et Amend.1</w:t>
            </w:r>
          </w:p>
        </w:tc>
        <w:tc>
          <w:tcPr>
            <w:tcW w:w="5103" w:type="dxa"/>
            <w:shd w:val="clear" w:color="auto" w:fill="auto"/>
          </w:tcPr>
          <w:p w14:paraId="626C10A9" w14:textId="55F80D13" w:rsidR="00020DA2" w:rsidRPr="00020DA2" w:rsidRDefault="00020DA2" w:rsidP="006C2E4A">
            <w:pPr>
              <w:spacing w:before="40" w:after="120"/>
            </w:pPr>
            <w:r w:rsidRPr="00020DA2">
              <w:t>Recommandations relatives au transport des marchandises dangereuses, Manuel d</w:t>
            </w:r>
            <w:r w:rsidR="000F6EE3">
              <w:t>’</w:t>
            </w:r>
            <w:r w:rsidRPr="00020DA2">
              <w:t xml:space="preserve">épreuves </w:t>
            </w:r>
            <w:r w:rsidR="0060176D">
              <w:br/>
            </w:r>
            <w:r w:rsidRPr="00020DA2">
              <w:t>et de critères, sixième édition révisée</w:t>
            </w:r>
          </w:p>
        </w:tc>
      </w:tr>
      <w:tr w:rsidR="00020DA2" w:rsidRPr="00020DA2" w14:paraId="15651BA8" w14:textId="77777777" w:rsidTr="009E4996">
        <w:tc>
          <w:tcPr>
            <w:tcW w:w="3402" w:type="dxa"/>
            <w:shd w:val="clear" w:color="auto" w:fill="auto"/>
          </w:tcPr>
          <w:p w14:paraId="267D9C98" w14:textId="77777777" w:rsidR="00020DA2" w:rsidRPr="00020DA2" w:rsidRDefault="00020DA2" w:rsidP="0060176D">
            <w:pPr>
              <w:keepNext/>
              <w:keepLines/>
              <w:spacing w:before="40" w:after="120"/>
            </w:pPr>
            <w:r w:rsidRPr="00020DA2">
              <w:lastRenderedPageBreak/>
              <w:t>ST/SG/AC.10/C.4/72</w:t>
            </w:r>
          </w:p>
        </w:tc>
        <w:tc>
          <w:tcPr>
            <w:tcW w:w="5103" w:type="dxa"/>
            <w:shd w:val="clear" w:color="auto" w:fill="auto"/>
          </w:tcPr>
          <w:p w14:paraId="3BED305C" w14:textId="77777777" w:rsidR="00020DA2" w:rsidRPr="00020DA2" w:rsidRDefault="00020DA2" w:rsidP="0060176D">
            <w:pPr>
              <w:keepNext/>
              <w:keepLines/>
              <w:spacing w:before="40" w:after="120"/>
            </w:pPr>
            <w:r w:rsidRPr="00020DA2">
              <w:t>Rapport du Sous-Comité sur sa trente-sixième session</w:t>
            </w:r>
          </w:p>
        </w:tc>
      </w:tr>
      <w:tr w:rsidR="00020DA2" w:rsidRPr="00020DA2" w14:paraId="2DCF0A9F" w14:textId="77777777" w:rsidTr="009E4996">
        <w:tc>
          <w:tcPr>
            <w:tcW w:w="3402" w:type="dxa"/>
            <w:shd w:val="clear" w:color="auto" w:fill="auto"/>
          </w:tcPr>
          <w:p w14:paraId="62E2B486" w14:textId="77777777" w:rsidR="00020DA2" w:rsidRPr="00020DA2" w:rsidRDefault="00020DA2" w:rsidP="0060176D">
            <w:pPr>
              <w:keepNext/>
              <w:keepLines/>
              <w:spacing w:before="40" w:after="120"/>
            </w:pPr>
            <w:r w:rsidRPr="00020DA2">
              <w:t>ST/SG/AC.10/C.3/108 et Add.1</w:t>
            </w:r>
          </w:p>
        </w:tc>
        <w:tc>
          <w:tcPr>
            <w:tcW w:w="5103" w:type="dxa"/>
            <w:shd w:val="clear" w:color="auto" w:fill="auto"/>
          </w:tcPr>
          <w:p w14:paraId="2E34773C" w14:textId="31EB3E5E" w:rsidR="00020DA2" w:rsidRPr="00020DA2" w:rsidRDefault="00020DA2" w:rsidP="0060176D">
            <w:pPr>
              <w:keepNext/>
              <w:keepLines/>
              <w:spacing w:before="40" w:after="120"/>
            </w:pPr>
            <w:r w:rsidRPr="00020DA2">
              <w:t>Rapport du Sous-Comité d</w:t>
            </w:r>
            <w:r w:rsidR="000F6EE3">
              <w:t>’</w:t>
            </w:r>
            <w:r w:rsidRPr="00020DA2">
              <w:t xml:space="preserve">experts du transport </w:t>
            </w:r>
            <w:r w:rsidR="0060176D">
              <w:br/>
            </w:r>
            <w:r w:rsidRPr="00020DA2">
              <w:t xml:space="preserve">des marchandises dangereuses sur </w:t>
            </w:r>
            <w:r w:rsidR="0060176D">
              <w:br/>
            </w:r>
            <w:r w:rsidRPr="00020DA2">
              <w:t>sa cinquante</w:t>
            </w:r>
            <w:r w:rsidR="0060176D">
              <w:noBreakHyphen/>
            </w:r>
            <w:r w:rsidRPr="00020DA2">
              <w:t>quatrième session</w:t>
            </w:r>
          </w:p>
        </w:tc>
      </w:tr>
      <w:tr w:rsidR="00020DA2" w:rsidRPr="00020DA2" w14:paraId="213B6B3D" w14:textId="77777777" w:rsidTr="009E4996">
        <w:tc>
          <w:tcPr>
            <w:tcW w:w="3402" w:type="dxa"/>
            <w:shd w:val="clear" w:color="auto" w:fill="auto"/>
          </w:tcPr>
          <w:p w14:paraId="7AD736B9" w14:textId="77777777" w:rsidR="00020DA2" w:rsidRPr="00020DA2" w:rsidRDefault="00020DA2" w:rsidP="0060176D">
            <w:pPr>
              <w:keepNext/>
              <w:keepLines/>
              <w:spacing w:before="40" w:after="120"/>
            </w:pPr>
            <w:r w:rsidRPr="00020DA2">
              <w:t>ST/SG/AC.10/46 et Add.1-3</w:t>
            </w:r>
          </w:p>
        </w:tc>
        <w:tc>
          <w:tcPr>
            <w:tcW w:w="5103" w:type="dxa"/>
            <w:shd w:val="clear" w:color="auto" w:fill="auto"/>
          </w:tcPr>
          <w:p w14:paraId="2D5B438E" w14:textId="77777777" w:rsidR="00020DA2" w:rsidRPr="00020DA2" w:rsidRDefault="00020DA2" w:rsidP="0060176D">
            <w:pPr>
              <w:keepNext/>
              <w:keepLines/>
              <w:spacing w:before="40" w:after="120"/>
            </w:pPr>
            <w:r w:rsidRPr="00020DA2">
              <w:t>Rapport du Comité d</w:t>
            </w:r>
            <w:r w:rsidR="000F6EE3">
              <w:t>’</w:t>
            </w:r>
            <w:r w:rsidRPr="00020DA2">
              <w:t>experts du transport des marchandises dangereuses et du Système général harmonisé de classification et d</w:t>
            </w:r>
            <w:r w:rsidR="000F6EE3">
              <w:t>’</w:t>
            </w:r>
            <w:r w:rsidRPr="00020DA2">
              <w:t>étiquetage des produits chimiques sur sa neuvième session</w:t>
            </w:r>
          </w:p>
        </w:tc>
      </w:tr>
    </w:tbl>
    <w:p w14:paraId="7F8DD607" w14:textId="77777777" w:rsidR="00020DA2" w:rsidRPr="00020DA2" w:rsidRDefault="00020DA2" w:rsidP="007444D6">
      <w:pPr>
        <w:pStyle w:val="H1G"/>
      </w:pPr>
      <w:r w:rsidRPr="00020DA2">
        <w:tab/>
        <w:t>2.</w:t>
      </w:r>
      <w:r w:rsidRPr="00020DA2">
        <w:tab/>
        <w:t>Critères de classification et communication des dangers y relatifs</w:t>
      </w:r>
    </w:p>
    <w:p w14:paraId="7F58C6B2" w14:textId="77777777" w:rsidR="00020DA2" w:rsidRPr="00020DA2" w:rsidRDefault="007444D6" w:rsidP="007444D6">
      <w:pPr>
        <w:pStyle w:val="H23G"/>
      </w:pPr>
      <w:r>
        <w:tab/>
      </w:r>
      <w:r w:rsidR="00020DA2" w:rsidRPr="00020DA2">
        <w:t>a)</w:t>
      </w:r>
      <w:r w:rsidR="00020DA2" w:rsidRPr="00020DA2">
        <w:tab/>
        <w:t>Travaux du Sous-Comité d</w:t>
      </w:r>
      <w:r w:rsidR="000F6EE3">
        <w:t>’</w:t>
      </w:r>
      <w:r w:rsidR="00020DA2" w:rsidRPr="00020DA2">
        <w:t xml:space="preserve">experts du transport des marchandises dangereuses </w:t>
      </w:r>
      <w:r>
        <w:br/>
      </w:r>
      <w:r w:rsidR="00020DA2" w:rsidRPr="00020DA2">
        <w:t>(Sous-Comité TMD) sur des questions intéressant le Sous</w:t>
      </w:r>
      <w:r w:rsidR="00020DA2" w:rsidRPr="00020DA2">
        <w:noBreakHyphen/>
        <w:t>Comité SGH</w:t>
      </w:r>
    </w:p>
    <w:p w14:paraId="0BCB9A1F" w14:textId="77777777" w:rsidR="00020DA2" w:rsidRPr="00020DA2" w:rsidRDefault="00020DA2" w:rsidP="007444D6">
      <w:pPr>
        <w:pStyle w:val="SingleTxtG"/>
        <w:rPr>
          <w:lang w:eastAsia="ja-JP"/>
        </w:rPr>
      </w:pPr>
      <w:r w:rsidRPr="00020DA2">
        <w:rPr>
          <w:lang w:eastAsia="ja-JP"/>
        </w:rPr>
        <w:t>Au moment de la rédaction du présent document, les documents ci-après intéressant le Sous-Comité avaient été soumis pour examen par le Sous-Comité TMD, en tant que coordonnateur pour les dangers physiques, à sa cinquante-cinquième session, au titre des points 2 et 10 de son ordre du jour provisoire</w:t>
      </w:r>
      <w:r w:rsidRPr="00020DA2">
        <w:rPr>
          <w:rStyle w:val="FootnoteReference"/>
        </w:rPr>
        <w:footnoteReference w:id="2"/>
      </w:r>
      <w:r w:rsidR="000F6EE3">
        <w:rPr>
          <w:lang w:eastAsia="ja-JP"/>
        </w:rPr>
        <w:t> </w:t>
      </w:r>
      <w:r w:rsidRPr="00020DA2">
        <w:rPr>
          <w:lang w:eastAsia="ja-JP"/>
        </w:rPr>
        <w:t>: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4250"/>
      </w:tblGrid>
      <w:tr w:rsidR="00020DA2" w:rsidRPr="00020DA2" w14:paraId="7C69F9CC" w14:textId="77777777" w:rsidTr="009E4996">
        <w:tc>
          <w:tcPr>
            <w:tcW w:w="3402" w:type="dxa"/>
            <w:shd w:val="clear" w:color="auto" w:fill="auto"/>
          </w:tcPr>
          <w:p w14:paraId="1CE449B1" w14:textId="77777777" w:rsidR="00020DA2" w:rsidRPr="00020DA2" w:rsidRDefault="00020DA2" w:rsidP="007900E1">
            <w:pPr>
              <w:spacing w:before="40" w:after="120"/>
              <w:rPr>
                <w:lang w:val="en-US"/>
              </w:rPr>
            </w:pPr>
            <w:r w:rsidRPr="00020DA2">
              <w:rPr>
                <w:lang w:val="en-US"/>
              </w:rPr>
              <w:t>ST/SG/AC.10/C.4/2019/1 (CEFIC)</w:t>
            </w:r>
          </w:p>
        </w:tc>
        <w:tc>
          <w:tcPr>
            <w:tcW w:w="5103" w:type="dxa"/>
            <w:shd w:val="clear" w:color="auto" w:fill="auto"/>
          </w:tcPr>
          <w:p w14:paraId="7CEBC824" w14:textId="19B534F6" w:rsidR="00020DA2" w:rsidRPr="00020DA2" w:rsidRDefault="00020DA2" w:rsidP="007900E1">
            <w:pPr>
              <w:spacing w:before="40" w:after="120"/>
            </w:pPr>
            <w:r w:rsidRPr="00020DA2">
              <w:t>Texte explicatif concernant les limites de température applicables dans l</w:t>
            </w:r>
            <w:r w:rsidR="000F6EE3">
              <w:t>’</w:t>
            </w:r>
            <w:r w:rsidRPr="00020DA2">
              <w:t>appendice</w:t>
            </w:r>
            <w:r w:rsidR="0060176D">
              <w:t> </w:t>
            </w:r>
            <w:r w:rsidRPr="00020DA2">
              <w:t xml:space="preserve">6 </w:t>
            </w:r>
            <w:r w:rsidR="0060176D">
              <w:br/>
            </w:r>
            <w:r w:rsidRPr="00020DA2">
              <w:t>du Manuel d</w:t>
            </w:r>
            <w:r w:rsidR="000F6EE3">
              <w:t>’</w:t>
            </w:r>
            <w:r w:rsidRPr="00020DA2">
              <w:t>épreuve et de critères</w:t>
            </w:r>
          </w:p>
        </w:tc>
      </w:tr>
      <w:tr w:rsidR="00020DA2" w:rsidRPr="00020DA2" w14:paraId="05BF930D" w14:textId="77777777" w:rsidTr="009E4996">
        <w:tc>
          <w:tcPr>
            <w:tcW w:w="3402" w:type="dxa"/>
            <w:shd w:val="clear" w:color="auto" w:fill="auto"/>
          </w:tcPr>
          <w:p w14:paraId="08A0F688" w14:textId="77777777" w:rsidR="00020DA2" w:rsidRPr="00020DA2" w:rsidDel="00A44F4F" w:rsidRDefault="00020DA2" w:rsidP="007900E1">
            <w:pPr>
              <w:spacing w:before="40" w:after="120"/>
              <w:rPr>
                <w:lang w:val="en-US"/>
              </w:rPr>
            </w:pPr>
            <w:r w:rsidRPr="00020DA2">
              <w:rPr>
                <w:lang w:val="en-US"/>
              </w:rPr>
              <w:t>ST/SG/AC.10/C.4/2019/4 (France)</w:t>
            </w:r>
          </w:p>
        </w:tc>
        <w:tc>
          <w:tcPr>
            <w:tcW w:w="5103" w:type="dxa"/>
            <w:shd w:val="clear" w:color="auto" w:fill="auto"/>
          </w:tcPr>
          <w:p w14:paraId="221E76C8" w14:textId="57BD74B1" w:rsidR="00020DA2" w:rsidRPr="00020DA2" w:rsidDel="00A44F4F" w:rsidRDefault="00020DA2" w:rsidP="007900E1">
            <w:pPr>
              <w:spacing w:before="40" w:after="120"/>
            </w:pPr>
            <w:r w:rsidRPr="00020DA2">
              <w:t xml:space="preserve">Épreuves relatives aux matières comburantes liquides ou solides : amélioration de la prise </w:t>
            </w:r>
            <w:r w:rsidR="0060176D">
              <w:br/>
            </w:r>
            <w:r w:rsidRPr="00020DA2">
              <w:t>en considération de la taille des particules, des matériaux friables ou des matériaux revêtus</w:t>
            </w:r>
          </w:p>
        </w:tc>
      </w:tr>
    </w:tbl>
    <w:p w14:paraId="21791CA3" w14:textId="77777777" w:rsidR="00020DA2" w:rsidRPr="00020DA2" w:rsidRDefault="00020DA2" w:rsidP="007444D6">
      <w:pPr>
        <w:pStyle w:val="SingleTxtG"/>
        <w:spacing w:before="120"/>
        <w:rPr>
          <w:lang w:eastAsia="ja-JP"/>
        </w:rPr>
      </w:pPr>
      <w:r w:rsidRPr="00020DA2">
        <w:rPr>
          <w:lang w:eastAsia="ja-JP"/>
        </w:rPr>
        <w:t>Les explosifs et les questions connexes seront examinés par le Sous-Comité TMD au titre du point 2 de son ordre du jour provisoire. Il est probable que l</w:t>
      </w:r>
      <w:r w:rsidR="000F6EE3">
        <w:rPr>
          <w:lang w:eastAsia="ja-JP"/>
        </w:rPr>
        <w:t>’</w:t>
      </w:r>
      <w:r w:rsidRPr="00020DA2">
        <w:rPr>
          <w:lang w:eastAsia="ja-JP"/>
        </w:rPr>
        <w:t xml:space="preserve">examen des documents soumis au titre de ce point sera confié au Groupe de travail des explosifs, qui devrait se réunir en parallèle. </w:t>
      </w:r>
    </w:p>
    <w:p w14:paraId="3E4C548F" w14:textId="77777777" w:rsidR="00020DA2" w:rsidRPr="00020DA2" w:rsidRDefault="00020DA2" w:rsidP="007444D6">
      <w:pPr>
        <w:pStyle w:val="SingleTxtG"/>
        <w:rPr>
          <w:lang w:eastAsia="ja-JP"/>
        </w:rPr>
      </w:pPr>
      <w:r w:rsidRPr="00020DA2">
        <w:t>Les documents informels liés aux documents énumérés ci-dessus ou portant sur toute autre question intéressant le Sous-Comité SGH soumis pour examen par le Sous-Comité TMD seront mis à disposition sur la page Web des documents informels de la cinquante</w:t>
      </w:r>
      <w:r w:rsidR="00A30BD4">
        <w:noBreakHyphen/>
      </w:r>
      <w:r w:rsidRPr="00020DA2">
        <w:t>cinquième session du Sous-Comité TMD</w:t>
      </w:r>
      <w:r w:rsidRPr="00020DA2">
        <w:rPr>
          <w:rStyle w:val="FootnoteReference"/>
        </w:rPr>
        <w:footnoteReference w:id="3"/>
      </w:r>
      <w:r w:rsidRPr="00020DA2">
        <w:t>.</w:t>
      </w:r>
    </w:p>
    <w:p w14:paraId="1154C666" w14:textId="77777777" w:rsidR="00020DA2" w:rsidRPr="00020DA2" w:rsidRDefault="00020DA2" w:rsidP="007444D6">
      <w:pPr>
        <w:pStyle w:val="SingleTxtG"/>
        <w:rPr>
          <w:lang w:eastAsia="ja-JP"/>
        </w:rPr>
      </w:pPr>
      <w:r w:rsidRPr="00020DA2">
        <w:rPr>
          <w:lang w:eastAsia="ja-JP"/>
        </w:rPr>
        <w:t>Le Sous-Comité sera tenu au courant des résultats des discussions ayant eu lieu au sein du Sous-Comité TMD sur toutes les questions l</w:t>
      </w:r>
      <w:r w:rsidR="000F6EE3">
        <w:rPr>
          <w:lang w:eastAsia="ja-JP"/>
        </w:rPr>
        <w:t>’</w:t>
      </w:r>
      <w:r w:rsidRPr="00020DA2">
        <w:rPr>
          <w:lang w:eastAsia="ja-JP"/>
        </w:rPr>
        <w:t>intéressant.</w:t>
      </w:r>
    </w:p>
    <w:p w14:paraId="7C4BDF5D" w14:textId="77777777" w:rsidR="00020DA2" w:rsidRPr="00020DA2" w:rsidRDefault="007444D6" w:rsidP="007444D6">
      <w:pPr>
        <w:pStyle w:val="H23G"/>
        <w:rPr>
          <w:lang w:eastAsia="ja-JP"/>
        </w:rPr>
      </w:pPr>
      <w:r>
        <w:rPr>
          <w:lang w:eastAsia="ja-JP"/>
        </w:rPr>
        <w:tab/>
      </w:r>
      <w:r w:rsidR="00020DA2" w:rsidRPr="00020DA2">
        <w:rPr>
          <w:lang w:eastAsia="ja-JP"/>
        </w:rPr>
        <w:t>b)</w:t>
      </w:r>
      <w:r w:rsidR="00020DA2" w:rsidRPr="00020DA2">
        <w:rPr>
          <w:lang w:eastAsia="ja-JP"/>
        </w:rPr>
        <w:tab/>
        <w:t>Révision du chapitre 2.1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4248"/>
      </w:tblGrid>
      <w:tr w:rsidR="00020DA2" w:rsidRPr="00020DA2" w14:paraId="559341EA" w14:textId="77777777" w:rsidTr="009E4996">
        <w:tc>
          <w:tcPr>
            <w:tcW w:w="3402" w:type="dxa"/>
            <w:shd w:val="clear" w:color="auto" w:fill="auto"/>
          </w:tcPr>
          <w:p w14:paraId="05C4E85A" w14:textId="77777777" w:rsidR="00020DA2" w:rsidRPr="00020DA2" w:rsidDel="00A44F4F" w:rsidRDefault="00020DA2" w:rsidP="007900E1">
            <w:pPr>
              <w:spacing w:before="40" w:after="120"/>
              <w:rPr>
                <w:lang w:val="en-US"/>
              </w:rPr>
            </w:pPr>
            <w:r w:rsidRPr="00020DA2">
              <w:rPr>
                <w:lang w:val="en-US"/>
              </w:rPr>
              <w:t>ST/SG/AC.10/C.4/2019/5 (Suède)</w:t>
            </w:r>
          </w:p>
        </w:tc>
        <w:tc>
          <w:tcPr>
            <w:tcW w:w="5103" w:type="dxa"/>
            <w:shd w:val="clear" w:color="auto" w:fill="auto"/>
          </w:tcPr>
          <w:p w14:paraId="6E127805" w14:textId="77777777" w:rsidR="00020DA2" w:rsidRPr="00020DA2" w:rsidDel="00A44F4F" w:rsidRDefault="00020DA2" w:rsidP="007900E1">
            <w:pPr>
              <w:spacing w:before="40" w:after="120"/>
            </w:pPr>
            <w:r w:rsidRPr="00020DA2">
              <w:t>Élaboration d</w:t>
            </w:r>
            <w:r w:rsidR="000F6EE3">
              <w:t>’</w:t>
            </w:r>
            <w:r w:rsidRPr="00020DA2">
              <w:t xml:space="preserve">un nouveau chapitre 2.1 du SGH (matières et objets explosibles) </w:t>
            </w:r>
          </w:p>
        </w:tc>
      </w:tr>
      <w:tr w:rsidR="00020DA2" w:rsidRPr="00020DA2" w14:paraId="1A006FE2" w14:textId="77777777" w:rsidTr="009E4996">
        <w:tc>
          <w:tcPr>
            <w:tcW w:w="3402" w:type="dxa"/>
            <w:shd w:val="clear" w:color="auto" w:fill="auto"/>
          </w:tcPr>
          <w:p w14:paraId="0D548FA5" w14:textId="77777777" w:rsidR="00020DA2" w:rsidRPr="00020DA2" w:rsidRDefault="00020DA2" w:rsidP="007900E1">
            <w:pPr>
              <w:spacing w:before="40" w:after="120"/>
              <w:rPr>
                <w:lang w:val="en-US"/>
              </w:rPr>
            </w:pPr>
            <w:r w:rsidRPr="00020DA2">
              <w:rPr>
                <w:lang w:val="en-US"/>
              </w:rPr>
              <w:t>ST/SG/AC.10/C.4/2019/7 (SAAMI)</w:t>
            </w:r>
          </w:p>
        </w:tc>
        <w:tc>
          <w:tcPr>
            <w:tcW w:w="5103" w:type="dxa"/>
            <w:shd w:val="clear" w:color="auto" w:fill="auto"/>
          </w:tcPr>
          <w:p w14:paraId="0017540F" w14:textId="1C3C3EF1" w:rsidR="00020DA2" w:rsidRPr="00020DA2" w:rsidRDefault="00020DA2" w:rsidP="007900E1">
            <w:pPr>
              <w:spacing w:before="40" w:after="120"/>
            </w:pPr>
            <w:r w:rsidRPr="00020DA2">
              <w:t>Précision du champ d</w:t>
            </w:r>
            <w:r w:rsidR="000F6EE3">
              <w:t>’</w:t>
            </w:r>
            <w:r w:rsidRPr="00020DA2">
              <w:t xml:space="preserve">application des classes </w:t>
            </w:r>
            <w:r w:rsidR="0060176D">
              <w:br/>
            </w:r>
            <w:r w:rsidRPr="00020DA2">
              <w:t>des matières et objets explosibles</w:t>
            </w:r>
          </w:p>
        </w:tc>
      </w:tr>
    </w:tbl>
    <w:p w14:paraId="1DD0FFEE" w14:textId="77777777" w:rsidR="00020DA2" w:rsidRPr="00020DA2" w:rsidRDefault="007444D6" w:rsidP="007444D6">
      <w:pPr>
        <w:pStyle w:val="H23G"/>
        <w:rPr>
          <w:lang w:eastAsia="ja-JP"/>
        </w:rPr>
      </w:pPr>
      <w:r>
        <w:rPr>
          <w:lang w:eastAsia="ja-JP"/>
        </w:rPr>
        <w:lastRenderedPageBreak/>
        <w:tab/>
      </w:r>
      <w:r w:rsidR="00020DA2" w:rsidRPr="00020DA2">
        <w:rPr>
          <w:lang w:eastAsia="ja-JP"/>
        </w:rPr>
        <w:t>c)</w:t>
      </w:r>
      <w:r w:rsidR="00020DA2" w:rsidRPr="00020DA2">
        <w:rPr>
          <w:lang w:eastAsia="ja-JP"/>
        </w:rPr>
        <w:tab/>
        <w:t>Utilisation de méthodes d</w:t>
      </w:r>
      <w:r w:rsidR="000F6EE3">
        <w:rPr>
          <w:lang w:eastAsia="ja-JP"/>
        </w:rPr>
        <w:t>’</w:t>
      </w:r>
      <w:r w:rsidR="00020DA2" w:rsidRPr="00020DA2">
        <w:rPr>
          <w:lang w:eastAsia="ja-JP"/>
        </w:rPr>
        <w:t xml:space="preserve">expérimentation non animales pour le classement </w:t>
      </w:r>
      <w:r>
        <w:rPr>
          <w:lang w:eastAsia="ja-JP"/>
        </w:rPr>
        <w:br/>
      </w:r>
      <w:r w:rsidR="00020DA2" w:rsidRPr="00020DA2">
        <w:rPr>
          <w:lang w:eastAsia="ja-JP"/>
        </w:rPr>
        <w:t>des dangers pour la santé</w:t>
      </w:r>
    </w:p>
    <w:p w14:paraId="75F711E3" w14:textId="77777777" w:rsidR="00020DA2" w:rsidRPr="00020DA2" w:rsidRDefault="00020DA2" w:rsidP="007444D6">
      <w:pPr>
        <w:pStyle w:val="SingleTxtG"/>
        <w:rPr>
          <w:lang w:eastAsia="ja-JP"/>
        </w:rPr>
      </w:pPr>
      <w:r w:rsidRPr="00020DA2">
        <w:rPr>
          <w:lang w:eastAsia="ja-JP"/>
        </w:rPr>
        <w:t>Les experts des Pays-Bas et du Royaume-Uni souhaiteront sans doute informer le Sous-Comité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état d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avancement des travaux du groupe de travail informel par correspondance chargé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utilisation de méthodes d</w:t>
      </w:r>
      <w:r w:rsidR="000F6EE3">
        <w:rPr>
          <w:lang w:eastAsia="ja-JP"/>
        </w:rPr>
        <w:t>’</w:t>
      </w:r>
      <w:r w:rsidRPr="00020DA2">
        <w:rPr>
          <w:lang w:eastAsia="ja-JP"/>
        </w:rPr>
        <w:t>expérimentation non animales aux fins du classement des dangers pour la santé depuis la dernière session. Pour en savoir plus, on consultera le rapport du Sous-Comité sur sa trente-sixième session (ST/SG/AC.10/C.4/72, par. 32 à 34).</w:t>
      </w:r>
    </w:p>
    <w:p w14:paraId="22762395" w14:textId="77777777" w:rsidR="00020DA2" w:rsidRPr="00020DA2" w:rsidRDefault="007444D6" w:rsidP="007444D6">
      <w:pPr>
        <w:pStyle w:val="H23G"/>
        <w:rPr>
          <w:lang w:eastAsia="ja-JP"/>
        </w:rPr>
      </w:pPr>
      <w:r>
        <w:rPr>
          <w:lang w:eastAsia="ja-JP"/>
        </w:rPr>
        <w:tab/>
      </w:r>
      <w:r w:rsidR="00020DA2" w:rsidRPr="00020DA2">
        <w:rPr>
          <w:lang w:eastAsia="ja-JP"/>
        </w:rPr>
        <w:t>d)</w:t>
      </w:r>
      <w:r w:rsidR="00020DA2" w:rsidRPr="00020DA2">
        <w:rPr>
          <w:lang w:eastAsia="ja-JP"/>
        </w:rPr>
        <w:tab/>
        <w:t>Questions pratiques de classification</w:t>
      </w:r>
    </w:p>
    <w:p w14:paraId="293FD72F" w14:textId="77777777" w:rsidR="00020DA2" w:rsidRPr="00020DA2" w:rsidRDefault="00020DA2" w:rsidP="007444D6">
      <w:pPr>
        <w:pStyle w:val="SingleTxtG"/>
        <w:rPr>
          <w:lang w:eastAsia="ja-JP"/>
        </w:rPr>
      </w:pPr>
      <w:r w:rsidRPr="00020DA2">
        <w:rPr>
          <w:lang w:eastAsia="ja-JP"/>
        </w:rPr>
        <w:t>L</w:t>
      </w:r>
      <w:r w:rsidR="000F6EE3">
        <w:rPr>
          <w:lang w:eastAsia="ja-JP"/>
        </w:rPr>
        <w:t>’</w:t>
      </w:r>
      <w:r w:rsidRPr="00020DA2">
        <w:rPr>
          <w:lang w:eastAsia="ja-JP"/>
        </w:rPr>
        <w:t>expert des États-Unis d</w:t>
      </w:r>
      <w:r w:rsidR="000F6EE3">
        <w:rPr>
          <w:lang w:eastAsia="ja-JP"/>
        </w:rPr>
        <w:t>’</w:t>
      </w:r>
      <w:r w:rsidRPr="00020DA2">
        <w:rPr>
          <w:lang w:eastAsia="ja-JP"/>
        </w:rPr>
        <w:t>Amérique souhaitera sans doute informer le Sous-Comité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état d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avancement des travaux du groupe de travail informel par correspondance chargé des questions pratiques de classification depuis la dernière session. Pour en savoir plus, on consultera le rapport du Sous-Comité sur sa trente-sixième session (ST/SG/AC.10/C.4/72, par. 35 à 38).</w:t>
      </w:r>
      <w:r w:rsidRPr="00020DA2" w:rsidDel="006654DB">
        <w:rPr>
          <w:lang w:eastAsia="ja-JP"/>
        </w:rPr>
        <w:t xml:space="preserve"> </w:t>
      </w:r>
    </w:p>
    <w:p w14:paraId="112EE791" w14:textId="77777777" w:rsidR="00020DA2" w:rsidRPr="00020DA2" w:rsidRDefault="007444D6" w:rsidP="007444D6">
      <w:pPr>
        <w:pStyle w:val="H23G"/>
        <w:rPr>
          <w:lang w:eastAsia="ja-JP"/>
        </w:rPr>
      </w:pPr>
      <w:r>
        <w:rPr>
          <w:lang w:eastAsia="ja-JP"/>
        </w:rPr>
        <w:tab/>
      </w:r>
      <w:r w:rsidR="00020DA2" w:rsidRPr="00020DA2">
        <w:rPr>
          <w:lang w:eastAsia="ja-JP"/>
        </w:rPr>
        <w:t>e)</w:t>
      </w:r>
      <w:r w:rsidR="00020DA2" w:rsidRPr="00020DA2">
        <w:rPr>
          <w:lang w:eastAsia="ja-JP"/>
        </w:rPr>
        <w:tab/>
        <w:t xml:space="preserve">Danger par aspiration </w:t>
      </w:r>
    </w:p>
    <w:p w14:paraId="4F764FB6" w14:textId="77777777" w:rsidR="00020DA2" w:rsidRPr="00020DA2" w:rsidRDefault="00020DA2" w:rsidP="007444D6">
      <w:pPr>
        <w:pStyle w:val="SingleTxtG"/>
        <w:rPr>
          <w:lang w:eastAsia="ja-JP"/>
        </w:rPr>
      </w:pPr>
      <w:r w:rsidRPr="00020DA2">
        <w:rPr>
          <w:lang w:eastAsia="ja-JP"/>
        </w:rPr>
        <w:t>Les représentants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International Paint and Printing Ink Council (IPPIC) et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Organisation maritime internationale (OMI) souhaiteront sans doute informer le Sous</w:t>
      </w:r>
      <w:r w:rsidRPr="00020DA2">
        <w:rPr>
          <w:lang w:eastAsia="ja-JP"/>
        </w:rPr>
        <w:noBreakHyphen/>
        <w:t>Comité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état d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avancement des travaux sur cette question depuis la dernière session. Pour en savoir plus, on consultera le rapport du Sous-Comité sur sa trente-sixième session (ST/SG/AC.10/C.4/72, par. 39 et 40).</w:t>
      </w:r>
    </w:p>
    <w:p w14:paraId="08DCCF23" w14:textId="77777777" w:rsidR="00020DA2" w:rsidRPr="00020DA2" w:rsidRDefault="00603852" w:rsidP="00603852">
      <w:pPr>
        <w:pStyle w:val="H23G"/>
        <w:rPr>
          <w:lang w:eastAsia="ja-JP"/>
        </w:rPr>
      </w:pPr>
      <w:r>
        <w:rPr>
          <w:lang w:eastAsia="ja-JP"/>
        </w:rPr>
        <w:tab/>
      </w:r>
      <w:r w:rsidR="00020DA2" w:rsidRPr="00020DA2">
        <w:rPr>
          <w:lang w:eastAsia="ja-JP"/>
        </w:rPr>
        <w:t>f)</w:t>
      </w:r>
      <w:r w:rsidR="00020DA2" w:rsidRPr="00020DA2">
        <w:rPr>
          <w:lang w:eastAsia="ja-JP"/>
        </w:rPr>
        <w:tab/>
        <w:t>Nanomatériaux</w:t>
      </w:r>
    </w:p>
    <w:p w14:paraId="1A033946" w14:textId="77777777" w:rsidR="00020DA2" w:rsidRPr="00020DA2" w:rsidRDefault="00020DA2" w:rsidP="00603852">
      <w:pPr>
        <w:pStyle w:val="SingleTxtG"/>
        <w:rPr>
          <w:lang w:eastAsia="ja-JP"/>
        </w:rPr>
      </w:pPr>
      <w:r w:rsidRPr="00020DA2">
        <w:rPr>
          <w:lang w:eastAsia="ja-JP"/>
        </w:rPr>
        <w:t>L</w:t>
      </w:r>
      <w:r w:rsidR="000F6EE3">
        <w:rPr>
          <w:lang w:eastAsia="ja-JP"/>
        </w:rPr>
        <w:t>’</w:t>
      </w:r>
      <w:r w:rsidRPr="00020DA2">
        <w:rPr>
          <w:lang w:eastAsia="ja-JP"/>
        </w:rPr>
        <w:t>expert de la France souhaitera sans doute informer le Sous-Comité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état d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avancement des travaux du groupe de travail informel par correspondance chargé des nanomatériaux depuis la dernière session. Pour en savoir plus, on consultera le rapport du Sous-Comité sur sa trente-sixième session (ST/SG/AC.10/C.4/72, par. 41 et 42).</w:t>
      </w:r>
    </w:p>
    <w:p w14:paraId="08B8F7D1" w14:textId="77777777" w:rsidR="00020DA2" w:rsidRPr="00020DA2" w:rsidRDefault="00603852" w:rsidP="00603852">
      <w:pPr>
        <w:pStyle w:val="H23G"/>
        <w:rPr>
          <w:lang w:eastAsia="ja-JP"/>
        </w:rPr>
      </w:pPr>
      <w:r>
        <w:rPr>
          <w:lang w:eastAsia="ja-JP"/>
        </w:rPr>
        <w:tab/>
      </w:r>
      <w:r w:rsidR="00020DA2" w:rsidRPr="00020DA2">
        <w:rPr>
          <w:lang w:eastAsia="ja-JP"/>
        </w:rPr>
        <w:t>g)</w:t>
      </w:r>
      <w:r w:rsidR="00020DA2" w:rsidRPr="00020DA2">
        <w:rPr>
          <w:lang w:eastAsia="ja-JP"/>
        </w:rPr>
        <w:tab/>
        <w:t xml:space="preserve">Classification simultanée dans les classes de danger physique et précédence </w:t>
      </w:r>
      <w:r w:rsidR="00A30BD4">
        <w:rPr>
          <w:lang w:eastAsia="ja-JP"/>
        </w:rPr>
        <w:br/>
      </w:r>
      <w:r w:rsidR="00020DA2" w:rsidRPr="00020DA2">
        <w:rPr>
          <w:lang w:eastAsia="ja-JP"/>
        </w:rPr>
        <w:t>des dangers</w:t>
      </w:r>
    </w:p>
    <w:p w14:paraId="3B07C80B" w14:textId="77777777" w:rsidR="00020DA2" w:rsidRPr="00020DA2" w:rsidRDefault="00020DA2" w:rsidP="00603852">
      <w:pPr>
        <w:pStyle w:val="SingleTxtG"/>
        <w:rPr>
          <w:lang w:eastAsia="ja-JP"/>
        </w:rPr>
      </w:pPr>
      <w:r w:rsidRPr="00020DA2">
        <w:rPr>
          <w:lang w:eastAsia="ja-JP"/>
        </w:rPr>
        <w:t>L</w:t>
      </w:r>
      <w:r w:rsidR="000F6EE3">
        <w:rPr>
          <w:lang w:eastAsia="ja-JP"/>
        </w:rPr>
        <w:t>’</w:t>
      </w:r>
      <w:r w:rsidRPr="00020DA2">
        <w:rPr>
          <w:lang w:eastAsia="ja-JP"/>
        </w:rPr>
        <w:t>expert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Allemagne souhaitera sans doute informer le Sous</w:t>
      </w:r>
      <w:r w:rsidRPr="00020DA2">
        <w:rPr>
          <w:lang w:eastAsia="ja-JP"/>
        </w:rPr>
        <w:noBreakHyphen/>
        <w:t>Comité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état d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avancement des travaux du groupe de travail informel par correspondance chargé</w:t>
      </w:r>
      <w:r w:rsidR="000F6EE3">
        <w:rPr>
          <w:lang w:eastAsia="ja-JP"/>
        </w:rPr>
        <w:t xml:space="preserve"> </w:t>
      </w:r>
      <w:r w:rsidRPr="00020DA2">
        <w:rPr>
          <w:lang w:eastAsia="ja-JP"/>
        </w:rPr>
        <w:t>de la question depuis la dernière session. Pour en savoir plus, on consultera le document ST/SG/AC.10/C.4/2018/21 et le rapport du Sous-Comité sur sa trente-sixième session (ST/SG/AC.10/C.4/72, par. 74).</w:t>
      </w:r>
    </w:p>
    <w:p w14:paraId="349233E6" w14:textId="77777777" w:rsidR="00020DA2" w:rsidRPr="00020DA2" w:rsidRDefault="00603852" w:rsidP="00603852">
      <w:pPr>
        <w:pStyle w:val="H23G"/>
        <w:rPr>
          <w:lang w:eastAsia="ja-JP"/>
        </w:rPr>
      </w:pPr>
      <w:r>
        <w:rPr>
          <w:lang w:eastAsia="ja-JP"/>
        </w:rPr>
        <w:tab/>
      </w:r>
      <w:r w:rsidR="00020DA2" w:rsidRPr="00020DA2">
        <w:rPr>
          <w:lang w:eastAsia="ja-JP"/>
        </w:rPr>
        <w:t>h)</w:t>
      </w:r>
      <w:r w:rsidR="00020DA2" w:rsidRPr="00020DA2">
        <w:rPr>
          <w:lang w:eastAsia="ja-JP"/>
        </w:rPr>
        <w:tab/>
        <w:t>Autres questions</w:t>
      </w:r>
    </w:p>
    <w:p w14:paraId="67DDD997" w14:textId="77777777" w:rsidR="00020DA2" w:rsidRPr="00020DA2" w:rsidRDefault="00020DA2" w:rsidP="00603852">
      <w:pPr>
        <w:pStyle w:val="SingleTxtG"/>
        <w:rPr>
          <w:lang w:eastAsia="ja-JP"/>
        </w:rPr>
      </w:pPr>
      <w:r w:rsidRPr="00020DA2">
        <w:rPr>
          <w:lang w:eastAsia="ja-JP"/>
        </w:rPr>
        <w:t>Aucun document n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avait été soumis au titre de ce point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ordre du jour au moment de la rédaction du présent document.</w:t>
      </w:r>
    </w:p>
    <w:p w14:paraId="44F16A4B" w14:textId="77777777" w:rsidR="00020DA2" w:rsidRPr="00020DA2" w:rsidRDefault="00603852" w:rsidP="00603852">
      <w:pPr>
        <w:pStyle w:val="H1G"/>
      </w:pPr>
      <w:r>
        <w:tab/>
      </w:r>
      <w:r w:rsidR="00020DA2" w:rsidRPr="00020DA2">
        <w:t>3.</w:t>
      </w:r>
      <w:r w:rsidR="00020DA2" w:rsidRPr="00020DA2">
        <w:tab/>
        <w:t>Questions relatives à la communication des dangers</w:t>
      </w:r>
    </w:p>
    <w:p w14:paraId="7C87A36C" w14:textId="77777777" w:rsidR="00020DA2" w:rsidRPr="00020DA2" w:rsidRDefault="00603852" w:rsidP="00603852">
      <w:pPr>
        <w:pStyle w:val="H23G"/>
      </w:pPr>
      <w:r>
        <w:tab/>
      </w:r>
      <w:r w:rsidR="00020DA2" w:rsidRPr="00020DA2">
        <w:t>a)</w:t>
      </w:r>
      <w:r w:rsidR="00020DA2" w:rsidRPr="00020DA2">
        <w:tab/>
        <w:t>Questions pratiques d</w:t>
      </w:r>
      <w:r w:rsidR="000F6EE3">
        <w:t>’</w:t>
      </w:r>
      <w:r w:rsidR="00020DA2" w:rsidRPr="00020DA2">
        <w:t>étiquetage</w:t>
      </w:r>
    </w:p>
    <w:p w14:paraId="7A9560D0" w14:textId="77777777" w:rsidR="00020DA2" w:rsidRPr="00020DA2" w:rsidRDefault="00020DA2" w:rsidP="00603852">
      <w:pPr>
        <w:pStyle w:val="SingleTxtG"/>
        <w:rPr>
          <w:lang w:eastAsia="ja-JP"/>
        </w:rPr>
      </w:pPr>
      <w:r w:rsidRPr="00020DA2">
        <w:rPr>
          <w:lang w:eastAsia="ja-JP"/>
        </w:rPr>
        <w:t>Aucun document n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avait été soumis au titre de ce point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ordre du jour au moment de la rédaction du présent document.</w:t>
      </w:r>
    </w:p>
    <w:p w14:paraId="4FB0120F" w14:textId="77777777" w:rsidR="00020DA2" w:rsidRPr="00020DA2" w:rsidRDefault="00603852" w:rsidP="00183728">
      <w:pPr>
        <w:pStyle w:val="H23G"/>
      </w:pPr>
      <w:r>
        <w:lastRenderedPageBreak/>
        <w:tab/>
      </w:r>
      <w:r w:rsidR="00020DA2" w:rsidRPr="00020DA2">
        <w:t>b)</w:t>
      </w:r>
      <w:r w:rsidR="00020DA2" w:rsidRPr="00020DA2">
        <w:tab/>
        <w:t>Amélioration des annexes 1 à 3 et poursuite de la rationalisation des conseils</w:t>
      </w:r>
      <w:r w:rsidR="00020DA2" w:rsidRPr="00020DA2">
        <w:br/>
        <w:t>de prudence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251"/>
      </w:tblGrid>
      <w:tr w:rsidR="00020DA2" w:rsidRPr="00020DA2" w14:paraId="53AB515A" w14:textId="77777777" w:rsidTr="00442134">
        <w:trPr>
          <w:cantSplit/>
          <w:trHeight w:val="70"/>
        </w:trPr>
        <w:tc>
          <w:tcPr>
            <w:tcW w:w="3402" w:type="dxa"/>
            <w:shd w:val="clear" w:color="auto" w:fill="auto"/>
          </w:tcPr>
          <w:p w14:paraId="30B1A516" w14:textId="4F0939FC" w:rsidR="00020DA2" w:rsidRPr="00020DA2" w:rsidRDefault="00020DA2" w:rsidP="00183728">
            <w:pPr>
              <w:keepNext/>
              <w:keepLines/>
              <w:spacing w:before="40" w:after="120"/>
            </w:pPr>
            <w:r w:rsidRPr="00020DA2">
              <w:t>ST/SG/AC.10/C.4/2019/2</w:t>
            </w:r>
            <w:r w:rsidRPr="00020DA2">
              <w:br/>
              <w:t xml:space="preserve">(Royaume-Uni) et document </w:t>
            </w:r>
            <w:r w:rsidR="003F0B53">
              <w:br/>
            </w:r>
            <w:r w:rsidRPr="00020DA2">
              <w:t>informel INF.3</w:t>
            </w:r>
          </w:p>
        </w:tc>
        <w:tc>
          <w:tcPr>
            <w:tcW w:w="5103" w:type="dxa"/>
            <w:shd w:val="clear" w:color="auto" w:fill="auto"/>
          </w:tcPr>
          <w:p w14:paraId="2A171C74" w14:textId="18060816" w:rsidR="00020DA2" w:rsidRPr="00020DA2" w:rsidRDefault="00020DA2" w:rsidP="00183728">
            <w:pPr>
              <w:keepNext/>
              <w:keepLines/>
              <w:spacing w:before="40" w:after="120"/>
            </w:pPr>
            <w:r w:rsidRPr="00020DA2">
              <w:rPr>
                <w:rFonts w:eastAsia="MS Mincho"/>
                <w:lang w:eastAsia="ja-JP"/>
              </w:rPr>
              <w:t xml:space="preserve">Propositions de modifications à apporter </w:t>
            </w:r>
            <w:r w:rsidR="0060176D">
              <w:rPr>
                <w:rFonts w:eastAsia="MS Mincho"/>
                <w:lang w:eastAsia="ja-JP"/>
              </w:rPr>
              <w:br/>
            </w:r>
            <w:r w:rsidRPr="00020DA2">
              <w:rPr>
                <w:rFonts w:eastAsia="MS Mincho"/>
                <w:lang w:eastAsia="ja-JP"/>
              </w:rPr>
              <w:t>à l</w:t>
            </w:r>
            <w:r w:rsidR="000F6EE3">
              <w:rPr>
                <w:rFonts w:eastAsia="MS Mincho"/>
                <w:lang w:eastAsia="ja-JP"/>
              </w:rPr>
              <w:t>’</w:t>
            </w:r>
            <w:r w:rsidRPr="00020DA2">
              <w:rPr>
                <w:rFonts w:eastAsia="MS Mincho"/>
                <w:lang w:eastAsia="ja-JP"/>
              </w:rPr>
              <w:t>annexe 1</w:t>
            </w:r>
          </w:p>
        </w:tc>
      </w:tr>
      <w:tr w:rsidR="00020DA2" w:rsidRPr="00020DA2" w14:paraId="759CBE57" w14:textId="77777777" w:rsidTr="00442134">
        <w:trPr>
          <w:cantSplit/>
          <w:trHeight w:val="70"/>
        </w:trPr>
        <w:tc>
          <w:tcPr>
            <w:tcW w:w="3402" w:type="dxa"/>
            <w:shd w:val="clear" w:color="auto" w:fill="auto"/>
          </w:tcPr>
          <w:p w14:paraId="6E5CC0E9" w14:textId="3002468C" w:rsidR="00020DA2" w:rsidRPr="00020DA2" w:rsidRDefault="00020DA2" w:rsidP="00183728">
            <w:pPr>
              <w:keepNext/>
              <w:keepLines/>
              <w:spacing w:before="40" w:after="120"/>
            </w:pPr>
            <w:r w:rsidRPr="00020DA2">
              <w:t>ST/SG/AC.10/C.4/2019/3</w:t>
            </w:r>
            <w:r w:rsidR="00603852">
              <w:br/>
            </w:r>
            <w:r w:rsidRPr="00020DA2">
              <w:t>(Royaume</w:t>
            </w:r>
            <w:r w:rsidRPr="00020DA2">
              <w:noBreakHyphen/>
              <w:t xml:space="preserve">Uni) et document </w:t>
            </w:r>
            <w:r w:rsidR="003F0B53">
              <w:br/>
            </w:r>
            <w:r w:rsidRPr="00020DA2">
              <w:t>informel INF.4</w:t>
            </w:r>
          </w:p>
        </w:tc>
        <w:tc>
          <w:tcPr>
            <w:tcW w:w="5103" w:type="dxa"/>
            <w:shd w:val="clear" w:color="auto" w:fill="auto"/>
          </w:tcPr>
          <w:p w14:paraId="776194F7" w14:textId="3A70E3B9" w:rsidR="00020DA2" w:rsidRPr="00020DA2" w:rsidRDefault="00020DA2" w:rsidP="00183728">
            <w:pPr>
              <w:keepNext/>
              <w:keepLines/>
              <w:spacing w:before="40" w:after="120"/>
            </w:pPr>
            <w:r w:rsidRPr="00020DA2">
              <w:t xml:space="preserve">Propositions de modification de la présentation des catégories et sous-catégories de gaz inflammables </w:t>
            </w:r>
            <w:r w:rsidR="0060176D">
              <w:br/>
            </w:r>
            <w:r w:rsidRPr="00020DA2">
              <w:t>à l</w:t>
            </w:r>
            <w:r w:rsidR="000F6EE3">
              <w:t>’</w:t>
            </w:r>
            <w:r w:rsidRPr="00020DA2">
              <w:t>annexe 3</w:t>
            </w:r>
          </w:p>
        </w:tc>
      </w:tr>
    </w:tbl>
    <w:p w14:paraId="193EFE21" w14:textId="77777777" w:rsidR="00020DA2" w:rsidRPr="00020DA2" w:rsidRDefault="00603852" w:rsidP="00603852">
      <w:pPr>
        <w:pStyle w:val="H23G"/>
      </w:pPr>
      <w:r>
        <w:tab/>
      </w:r>
      <w:r w:rsidR="00020DA2" w:rsidRPr="00020DA2">
        <w:t>c)</w:t>
      </w:r>
      <w:r w:rsidR="00020DA2" w:rsidRPr="00020DA2">
        <w:tab/>
        <w:t>Révision de l</w:t>
      </w:r>
      <w:r w:rsidR="000F6EE3">
        <w:t>’</w:t>
      </w:r>
      <w:r w:rsidR="00020DA2" w:rsidRPr="00020DA2">
        <w:t>annexe 4, sous-section A4.3.3.2.3</w:t>
      </w:r>
    </w:p>
    <w:p w14:paraId="20A7E878" w14:textId="77777777" w:rsidR="00020DA2" w:rsidRPr="00020DA2" w:rsidRDefault="00020DA2" w:rsidP="00603852">
      <w:pPr>
        <w:pStyle w:val="SingleTxtG"/>
        <w:rPr>
          <w:lang w:eastAsia="ja-JP"/>
        </w:rPr>
      </w:pPr>
      <w:r w:rsidRPr="00020DA2">
        <w:rPr>
          <w:lang w:eastAsia="ja-JP"/>
        </w:rPr>
        <w:t>Aucun document n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avait été soumis au titre de ce point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ordre du jour au moment de la rédaction du présent document.</w:t>
      </w:r>
    </w:p>
    <w:p w14:paraId="648E0B13" w14:textId="77777777" w:rsidR="00020DA2" w:rsidRPr="00020DA2" w:rsidRDefault="00603852" w:rsidP="00603852">
      <w:pPr>
        <w:pStyle w:val="H23G"/>
      </w:pPr>
      <w:r>
        <w:tab/>
      </w:r>
      <w:r w:rsidR="00020DA2" w:rsidRPr="00020DA2">
        <w:t>d)</w:t>
      </w:r>
      <w:r w:rsidR="00020DA2" w:rsidRPr="00020DA2">
        <w:tab/>
        <w:t>Autres questions</w:t>
      </w:r>
    </w:p>
    <w:p w14:paraId="384BBCAF" w14:textId="77777777" w:rsidR="00020DA2" w:rsidRPr="00020DA2" w:rsidRDefault="00020DA2" w:rsidP="00603852">
      <w:pPr>
        <w:pStyle w:val="SingleTxtG"/>
        <w:rPr>
          <w:lang w:eastAsia="ja-JP"/>
        </w:rPr>
      </w:pPr>
      <w:r w:rsidRPr="00020DA2">
        <w:rPr>
          <w:lang w:eastAsia="ja-JP"/>
        </w:rPr>
        <w:t>Aucun document n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avait été soumis au titre de ce point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ordre du jour au moment de la rédaction du présent document.</w:t>
      </w:r>
    </w:p>
    <w:p w14:paraId="4C9244D0" w14:textId="77777777" w:rsidR="00020DA2" w:rsidRPr="00020DA2" w:rsidRDefault="00020DA2" w:rsidP="00603852">
      <w:pPr>
        <w:pStyle w:val="H1G"/>
      </w:pPr>
      <w:r w:rsidRPr="00020DA2">
        <w:tab/>
        <w:t>4.</w:t>
      </w:r>
      <w:r w:rsidRPr="00020DA2">
        <w:tab/>
        <w:t>Mise en œuvre du SGH</w:t>
      </w:r>
    </w:p>
    <w:p w14:paraId="2266C518" w14:textId="77777777" w:rsidR="00020DA2" w:rsidRPr="00020DA2" w:rsidRDefault="00603852" w:rsidP="00603852">
      <w:pPr>
        <w:pStyle w:val="H23G"/>
      </w:pPr>
      <w:r>
        <w:tab/>
      </w:r>
      <w:r w:rsidR="00020DA2" w:rsidRPr="00020DA2">
        <w:t>a)</w:t>
      </w:r>
      <w:r w:rsidR="00020DA2" w:rsidRPr="00020DA2">
        <w:tab/>
        <w:t>Possibilité d</w:t>
      </w:r>
      <w:r w:rsidR="000F6EE3">
        <w:t>’</w:t>
      </w:r>
      <w:r w:rsidR="00020DA2" w:rsidRPr="00020DA2">
        <w:t>élaboration d</w:t>
      </w:r>
      <w:r w:rsidR="000F6EE3">
        <w:t>’</w:t>
      </w:r>
      <w:r w:rsidR="00020DA2" w:rsidRPr="00020DA2">
        <w:t>une liste de produits chimiques classés conformément au SGH</w:t>
      </w: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4247"/>
      </w:tblGrid>
      <w:tr w:rsidR="00020DA2" w:rsidRPr="00020DA2" w14:paraId="696D323E" w14:textId="77777777" w:rsidTr="00183728">
        <w:trPr>
          <w:cantSplit/>
          <w:trHeight w:val="70"/>
        </w:trPr>
        <w:tc>
          <w:tcPr>
            <w:tcW w:w="3402" w:type="dxa"/>
            <w:shd w:val="clear" w:color="auto" w:fill="auto"/>
          </w:tcPr>
          <w:p w14:paraId="5BA3E1EA" w14:textId="77777777" w:rsidR="00020DA2" w:rsidRPr="00020DA2" w:rsidRDefault="00020DA2" w:rsidP="007900E1">
            <w:pPr>
              <w:spacing w:before="40" w:after="120"/>
            </w:pPr>
            <w:r w:rsidRPr="00020DA2">
              <w:t>ST/SG/AC.10/C.4/2019/6</w:t>
            </w:r>
            <w:r w:rsidRPr="00020DA2">
              <w:br/>
              <w:t>(États-Unis d</w:t>
            </w:r>
            <w:r w:rsidR="000F6EE3">
              <w:t>’</w:t>
            </w:r>
            <w:r w:rsidRPr="00020DA2">
              <w:t>Amérique et</w:t>
            </w:r>
            <w:r w:rsidR="000F6EE3">
              <w:t xml:space="preserve"> </w:t>
            </w:r>
            <w:r w:rsidRPr="00020DA2">
              <w:t xml:space="preserve">Canada) </w:t>
            </w:r>
          </w:p>
        </w:tc>
        <w:tc>
          <w:tcPr>
            <w:tcW w:w="5103" w:type="dxa"/>
            <w:shd w:val="clear" w:color="auto" w:fill="auto"/>
          </w:tcPr>
          <w:p w14:paraId="391EB0B0" w14:textId="77777777" w:rsidR="00020DA2" w:rsidRPr="00020DA2" w:rsidRDefault="00020DA2" w:rsidP="007900E1">
            <w:pPr>
              <w:spacing w:before="40" w:after="120"/>
            </w:pPr>
            <w:r w:rsidRPr="00020DA2">
              <w:rPr>
                <w:rFonts w:eastAsia="MS Mincho"/>
                <w:lang w:eastAsia="ja-JP"/>
              </w:rPr>
              <w:t>Informations actualisées sur le groupe de travail informel chargé de la liste globale</w:t>
            </w:r>
          </w:p>
        </w:tc>
      </w:tr>
    </w:tbl>
    <w:p w14:paraId="1D2D5A5A" w14:textId="77777777" w:rsidR="00020DA2" w:rsidRPr="00020DA2" w:rsidRDefault="00603852" w:rsidP="00603852">
      <w:pPr>
        <w:pStyle w:val="H23G"/>
      </w:pPr>
      <w:r>
        <w:tab/>
      </w:r>
      <w:r w:rsidR="00020DA2" w:rsidRPr="00020DA2">
        <w:t>b)</w:t>
      </w:r>
      <w:r w:rsidR="00020DA2" w:rsidRPr="00020DA2">
        <w:tab/>
        <w:t>Rapports relatifs à l</w:t>
      </w:r>
      <w:r w:rsidR="000F6EE3">
        <w:t>’</w:t>
      </w:r>
      <w:r w:rsidR="00020DA2" w:rsidRPr="00020DA2">
        <w:t>état de la mise en œuvre</w:t>
      </w:r>
    </w:p>
    <w:p w14:paraId="6FF002C3" w14:textId="77777777" w:rsidR="00020DA2" w:rsidRPr="00020DA2" w:rsidRDefault="00020DA2" w:rsidP="00603852">
      <w:pPr>
        <w:pStyle w:val="SingleTxtG"/>
      </w:pPr>
      <w:r w:rsidRPr="00020DA2">
        <w:rPr>
          <w:lang w:eastAsia="ja-JP"/>
        </w:rPr>
        <w:t>Les experts, observateurs et organisations internationales souhaiteront peut-être informer le Sous-Comité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état d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avancement de la mise en œuvre du SGH dans leurs pays ou domaines d</w:t>
      </w:r>
      <w:r w:rsidR="000F6EE3">
        <w:rPr>
          <w:lang w:eastAsia="ja-JP"/>
        </w:rPr>
        <w:t>’</w:t>
      </w:r>
      <w:r w:rsidRPr="00020DA2">
        <w:rPr>
          <w:lang w:eastAsia="ja-JP"/>
        </w:rPr>
        <w:t>activités respectifs.</w:t>
      </w:r>
    </w:p>
    <w:p w14:paraId="65A6EB66" w14:textId="77777777" w:rsidR="00020DA2" w:rsidRPr="00020DA2" w:rsidRDefault="00603852" w:rsidP="00603852">
      <w:pPr>
        <w:pStyle w:val="H23G"/>
      </w:pPr>
      <w:r>
        <w:tab/>
      </w:r>
      <w:r w:rsidR="00020DA2" w:rsidRPr="00020DA2">
        <w:t>c)</w:t>
      </w:r>
      <w:r w:rsidR="00020DA2" w:rsidRPr="00020DA2">
        <w:tab/>
        <w:t>Coopération avec d</w:t>
      </w:r>
      <w:r w:rsidR="000F6EE3">
        <w:t>’</w:t>
      </w:r>
      <w:r w:rsidR="00020DA2" w:rsidRPr="00020DA2">
        <w:t>autres organes ou organisations internationales</w:t>
      </w:r>
    </w:p>
    <w:p w14:paraId="4FA18BEF" w14:textId="77777777" w:rsidR="00020DA2" w:rsidRPr="00020DA2" w:rsidRDefault="00020DA2" w:rsidP="00603852">
      <w:pPr>
        <w:pStyle w:val="SingleTxtG"/>
      </w:pPr>
      <w:r w:rsidRPr="00020DA2">
        <w:rPr>
          <w:lang w:eastAsia="ja-JP"/>
        </w:rPr>
        <w:t>Aucun document n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avait été soumis au titre de ce point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ordre du jour au moment de la rédaction du présent document.</w:t>
      </w:r>
    </w:p>
    <w:p w14:paraId="03822E8A" w14:textId="77777777" w:rsidR="00020DA2" w:rsidRPr="00020DA2" w:rsidRDefault="00603852" w:rsidP="00603852">
      <w:pPr>
        <w:pStyle w:val="H23G"/>
      </w:pPr>
      <w:r>
        <w:tab/>
      </w:r>
      <w:r w:rsidR="00020DA2" w:rsidRPr="00020DA2">
        <w:t>d)</w:t>
      </w:r>
      <w:r w:rsidR="00020DA2" w:rsidRPr="00020DA2">
        <w:tab/>
        <w:t>Autres questions</w:t>
      </w:r>
    </w:p>
    <w:p w14:paraId="34400806" w14:textId="77777777" w:rsidR="00020DA2" w:rsidRPr="00020DA2" w:rsidRDefault="00020DA2" w:rsidP="00603852">
      <w:pPr>
        <w:pStyle w:val="SingleTxtG"/>
      </w:pPr>
      <w:r w:rsidRPr="00020DA2">
        <w:rPr>
          <w:lang w:eastAsia="ja-JP"/>
        </w:rPr>
        <w:t>Aucun document n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avait été soumis au titre de ce point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ordre du jour au moment de la rédaction du présent document.</w:t>
      </w:r>
    </w:p>
    <w:p w14:paraId="1780A83F" w14:textId="77777777" w:rsidR="00020DA2" w:rsidRPr="00020DA2" w:rsidRDefault="00020DA2" w:rsidP="00603852">
      <w:pPr>
        <w:pStyle w:val="H1G"/>
      </w:pPr>
      <w:r w:rsidRPr="00020DA2">
        <w:tab/>
        <w:t>5.</w:t>
      </w:r>
      <w:r w:rsidRPr="00020DA2">
        <w:tab/>
        <w:t>Mise au point de directives pour l</w:t>
      </w:r>
      <w:r w:rsidR="000F6EE3">
        <w:t>’</w:t>
      </w:r>
      <w:r w:rsidRPr="00020DA2">
        <w:t>application des critères du SGH</w:t>
      </w:r>
    </w:p>
    <w:p w14:paraId="3DC3391A" w14:textId="77777777" w:rsidR="00020DA2" w:rsidRPr="00020DA2" w:rsidRDefault="00020DA2" w:rsidP="00603852">
      <w:pPr>
        <w:pStyle w:val="SingleTxtG"/>
      </w:pPr>
      <w:r w:rsidRPr="00020DA2">
        <w:rPr>
          <w:lang w:eastAsia="ja-JP"/>
        </w:rPr>
        <w:t>Aucun document n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avait été soumis au titre de ce point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ordre du jour au moment de la rédaction du présent document.</w:t>
      </w:r>
    </w:p>
    <w:p w14:paraId="0572677A" w14:textId="77777777" w:rsidR="00020DA2" w:rsidRPr="00020DA2" w:rsidRDefault="00020DA2" w:rsidP="00603852">
      <w:pPr>
        <w:pStyle w:val="H1G"/>
      </w:pPr>
      <w:r w:rsidRPr="00020DA2">
        <w:tab/>
        <w:t>6.</w:t>
      </w:r>
      <w:r w:rsidRPr="00020DA2">
        <w:tab/>
        <w:t>Renforcement des capacités</w:t>
      </w:r>
    </w:p>
    <w:p w14:paraId="10F85C4F" w14:textId="77777777" w:rsidR="00020DA2" w:rsidRPr="00020DA2" w:rsidRDefault="00020DA2" w:rsidP="00603852">
      <w:pPr>
        <w:pStyle w:val="SingleTxtG"/>
        <w:rPr>
          <w:lang w:eastAsia="ja-JP"/>
        </w:rPr>
      </w:pPr>
      <w:r w:rsidRPr="00020DA2">
        <w:rPr>
          <w:lang w:eastAsia="ja-JP"/>
        </w:rPr>
        <w:t>Les experts, observateurs et organisations internationales souhaiteront peut-être informer le Sous-Comité d</w:t>
      </w:r>
      <w:r w:rsidR="000F6EE3">
        <w:rPr>
          <w:lang w:eastAsia="ja-JP"/>
        </w:rPr>
        <w:t>’</w:t>
      </w:r>
      <w:r w:rsidRPr="00020DA2">
        <w:rPr>
          <w:lang w:eastAsia="ja-JP"/>
        </w:rPr>
        <w:t>activités ou de projets de renforcement des capacités entrepris en relation avec le SGH.</w:t>
      </w:r>
    </w:p>
    <w:p w14:paraId="22FA03E4" w14:textId="77777777" w:rsidR="00020DA2" w:rsidRPr="00020DA2" w:rsidRDefault="00020DA2" w:rsidP="00603852">
      <w:pPr>
        <w:pStyle w:val="H1G"/>
      </w:pPr>
      <w:r w:rsidRPr="00020DA2">
        <w:lastRenderedPageBreak/>
        <w:tab/>
        <w:t>7.</w:t>
      </w:r>
      <w:r w:rsidRPr="00020DA2">
        <w:tab/>
        <w:t>Questions diverses</w:t>
      </w:r>
    </w:p>
    <w:p w14:paraId="6C73F65A" w14:textId="77777777" w:rsidR="00020DA2" w:rsidRPr="00020DA2" w:rsidRDefault="00020DA2" w:rsidP="00603852">
      <w:pPr>
        <w:pStyle w:val="SingleTxtG"/>
      </w:pPr>
      <w:r w:rsidRPr="00020DA2">
        <w:rPr>
          <w:lang w:eastAsia="ja-JP"/>
        </w:rPr>
        <w:t>Aucun document n</w:t>
      </w:r>
      <w:r w:rsidR="000F6EE3">
        <w:rPr>
          <w:lang w:eastAsia="ja-JP"/>
        </w:rPr>
        <w:t>’</w:t>
      </w:r>
      <w:r w:rsidRPr="00020DA2">
        <w:rPr>
          <w:lang w:eastAsia="ja-JP"/>
        </w:rPr>
        <w:t>avait été soumis au titre de ce point de l</w:t>
      </w:r>
      <w:r w:rsidR="000F6EE3">
        <w:rPr>
          <w:lang w:eastAsia="ja-JP"/>
        </w:rPr>
        <w:t>’</w:t>
      </w:r>
      <w:r w:rsidRPr="00020DA2">
        <w:rPr>
          <w:lang w:eastAsia="ja-JP"/>
        </w:rPr>
        <w:t>ordre du jour au moment de la rédaction du présent document.</w:t>
      </w:r>
    </w:p>
    <w:p w14:paraId="37BEC133" w14:textId="77777777" w:rsidR="00020DA2" w:rsidRPr="00020DA2" w:rsidRDefault="00020DA2" w:rsidP="00603852">
      <w:pPr>
        <w:pStyle w:val="H1G"/>
      </w:pPr>
      <w:r w:rsidRPr="00020DA2">
        <w:tab/>
        <w:t>8.</w:t>
      </w:r>
      <w:r w:rsidRPr="00020DA2">
        <w:tab/>
        <w:t>Adoption du rapport</w:t>
      </w:r>
    </w:p>
    <w:p w14:paraId="2C068796" w14:textId="77777777" w:rsidR="00446FE5" w:rsidRDefault="00020DA2" w:rsidP="00603852">
      <w:pPr>
        <w:pStyle w:val="SingleTxtG"/>
      </w:pPr>
      <w:r w:rsidRPr="00020DA2">
        <w:t>Conformément à l</w:t>
      </w:r>
      <w:r w:rsidR="000F6EE3">
        <w:t>’</w:t>
      </w:r>
      <w:r w:rsidRPr="00020DA2">
        <w:t>usage, le Sous-Comité souhaitera</w:t>
      </w:r>
      <w:r w:rsidR="000F6EE3">
        <w:t xml:space="preserve"> </w:t>
      </w:r>
      <w:r w:rsidRPr="00020DA2">
        <w:t>sans doute adopter le rapport de sa trente-septième session sur la base d</w:t>
      </w:r>
      <w:r w:rsidR="000F6EE3">
        <w:t>’</w:t>
      </w:r>
      <w:r w:rsidRPr="00020DA2">
        <w:t>un projet établi par le secrétariat.</w:t>
      </w:r>
    </w:p>
    <w:p w14:paraId="118C58F7" w14:textId="77777777" w:rsidR="00020DA2" w:rsidRPr="00020DA2" w:rsidRDefault="00020DA2" w:rsidP="00020DA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0DA2" w:rsidRPr="00020DA2" w:rsidSect="00020D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39BF" w14:textId="77777777" w:rsidR="007E421B" w:rsidRDefault="007E421B" w:rsidP="00F95C08">
      <w:pPr>
        <w:spacing w:line="240" w:lineRule="auto"/>
      </w:pPr>
    </w:p>
  </w:endnote>
  <w:endnote w:type="continuationSeparator" w:id="0">
    <w:p w14:paraId="4973A8E9" w14:textId="77777777" w:rsidR="007E421B" w:rsidRPr="00AC3823" w:rsidRDefault="007E421B" w:rsidP="00AC3823">
      <w:pPr>
        <w:pStyle w:val="Footer"/>
      </w:pPr>
    </w:p>
  </w:endnote>
  <w:endnote w:type="continuationNotice" w:id="1">
    <w:p w14:paraId="7C48619C" w14:textId="77777777" w:rsidR="007E421B" w:rsidRDefault="007E42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D15A" w14:textId="77777777" w:rsidR="00020DA2" w:rsidRPr="00020DA2" w:rsidRDefault="00020DA2" w:rsidP="00020DA2">
    <w:pPr>
      <w:pStyle w:val="Footer"/>
      <w:tabs>
        <w:tab w:val="right" w:pos="9638"/>
      </w:tabs>
    </w:pPr>
    <w:r w:rsidRPr="00020DA2">
      <w:rPr>
        <w:b/>
        <w:sz w:val="18"/>
      </w:rPr>
      <w:fldChar w:fldCharType="begin"/>
    </w:r>
    <w:r w:rsidRPr="00020DA2">
      <w:rPr>
        <w:b/>
        <w:sz w:val="18"/>
      </w:rPr>
      <w:instrText xml:space="preserve"> PAGE  \* MERGEFORMAT </w:instrText>
    </w:r>
    <w:r w:rsidRPr="00020DA2">
      <w:rPr>
        <w:b/>
        <w:sz w:val="18"/>
      </w:rPr>
      <w:fldChar w:fldCharType="separate"/>
    </w:r>
    <w:r w:rsidRPr="00020DA2">
      <w:rPr>
        <w:b/>
        <w:noProof/>
        <w:sz w:val="18"/>
      </w:rPr>
      <w:t>2</w:t>
    </w:r>
    <w:r w:rsidRPr="00020DA2">
      <w:rPr>
        <w:b/>
        <w:sz w:val="18"/>
      </w:rPr>
      <w:fldChar w:fldCharType="end"/>
    </w:r>
    <w:r>
      <w:rPr>
        <w:b/>
        <w:sz w:val="18"/>
      </w:rPr>
      <w:tab/>
    </w:r>
    <w:r>
      <w:t>GE.19-06914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0DBB" w14:textId="77777777" w:rsidR="00020DA2" w:rsidRPr="00020DA2" w:rsidRDefault="00020DA2" w:rsidP="00020DA2">
    <w:pPr>
      <w:pStyle w:val="Footer"/>
      <w:tabs>
        <w:tab w:val="right" w:pos="9638"/>
      </w:tabs>
      <w:rPr>
        <w:b/>
        <w:sz w:val="18"/>
      </w:rPr>
    </w:pPr>
    <w:r>
      <w:t>GE.19-06914</w:t>
    </w:r>
    <w:r>
      <w:tab/>
    </w:r>
    <w:r w:rsidRPr="00020DA2">
      <w:rPr>
        <w:b/>
        <w:sz w:val="18"/>
      </w:rPr>
      <w:fldChar w:fldCharType="begin"/>
    </w:r>
    <w:r w:rsidRPr="00020DA2">
      <w:rPr>
        <w:b/>
        <w:sz w:val="18"/>
      </w:rPr>
      <w:instrText xml:space="preserve"> PAGE  \* MERGEFORMAT </w:instrText>
    </w:r>
    <w:r w:rsidRPr="00020DA2">
      <w:rPr>
        <w:b/>
        <w:sz w:val="18"/>
      </w:rPr>
      <w:fldChar w:fldCharType="separate"/>
    </w:r>
    <w:r w:rsidRPr="00020DA2">
      <w:rPr>
        <w:b/>
        <w:noProof/>
        <w:sz w:val="18"/>
      </w:rPr>
      <w:t>3</w:t>
    </w:r>
    <w:r w:rsidRPr="00020D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2988" w14:textId="77777777" w:rsidR="0068456F" w:rsidRPr="00020DA2" w:rsidRDefault="00020DA2" w:rsidP="00020DA2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9221802" wp14:editId="3BFFF25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19-06914  (F)    100519    100519</w:t>
    </w:r>
    <w:r>
      <w:rPr>
        <w:sz w:val="20"/>
      </w:rPr>
      <w:br/>
    </w:r>
    <w:r w:rsidRPr="00020DA2">
      <w:rPr>
        <w:rFonts w:ascii="C39T30Lfz" w:hAnsi="C39T30Lfz"/>
        <w:sz w:val="56"/>
      </w:rPr>
      <w:t></w:t>
    </w:r>
    <w:r w:rsidRPr="00020DA2">
      <w:rPr>
        <w:rFonts w:ascii="C39T30Lfz" w:hAnsi="C39T30Lfz"/>
        <w:sz w:val="56"/>
      </w:rPr>
      <w:t></w:t>
    </w:r>
    <w:r w:rsidRPr="00020DA2">
      <w:rPr>
        <w:rFonts w:ascii="C39T30Lfz" w:hAnsi="C39T30Lfz"/>
        <w:sz w:val="56"/>
      </w:rPr>
      <w:t></w:t>
    </w:r>
    <w:r w:rsidRPr="00020DA2">
      <w:rPr>
        <w:rFonts w:ascii="C39T30Lfz" w:hAnsi="C39T30Lfz"/>
        <w:sz w:val="56"/>
      </w:rPr>
      <w:t></w:t>
    </w:r>
    <w:r w:rsidRPr="00020DA2">
      <w:rPr>
        <w:rFonts w:ascii="C39T30Lfz" w:hAnsi="C39T30Lfz"/>
        <w:sz w:val="56"/>
      </w:rPr>
      <w:t></w:t>
    </w:r>
    <w:r w:rsidRPr="00020DA2">
      <w:rPr>
        <w:rFonts w:ascii="C39T30Lfz" w:hAnsi="C39T30Lfz"/>
        <w:sz w:val="56"/>
      </w:rPr>
      <w:t></w:t>
    </w:r>
    <w:r w:rsidRPr="00020DA2">
      <w:rPr>
        <w:rFonts w:ascii="C39T30Lfz" w:hAnsi="C39T30Lfz"/>
        <w:sz w:val="56"/>
      </w:rPr>
      <w:t></w:t>
    </w:r>
    <w:r w:rsidRPr="00020DA2">
      <w:rPr>
        <w:rFonts w:ascii="C39T30Lfz" w:hAnsi="C39T30Lfz"/>
        <w:sz w:val="56"/>
      </w:rPr>
      <w:t></w:t>
    </w:r>
    <w:r w:rsidRPr="00020DA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3426F14" wp14:editId="56AC405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4/73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4/73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5999D" w14:textId="77777777" w:rsidR="007E421B" w:rsidRPr="00AC3823" w:rsidRDefault="007E42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FD7287" w14:textId="77777777" w:rsidR="007E421B" w:rsidRPr="00AC3823" w:rsidRDefault="007E42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2FF258" w14:textId="77777777" w:rsidR="007E421B" w:rsidRPr="00AC3823" w:rsidRDefault="007E421B">
      <w:pPr>
        <w:spacing w:line="240" w:lineRule="auto"/>
        <w:rPr>
          <w:sz w:val="2"/>
          <w:szCs w:val="2"/>
        </w:rPr>
      </w:pPr>
    </w:p>
  </w:footnote>
  <w:footnote w:id="2">
    <w:p w14:paraId="292CF6A4" w14:textId="77777777" w:rsidR="00020DA2" w:rsidRPr="00DF6BF3" w:rsidRDefault="00020DA2" w:rsidP="00020DA2">
      <w:pPr>
        <w:pStyle w:val="FootnoteText"/>
      </w:pPr>
      <w:r>
        <w:tab/>
      </w:r>
      <w:r w:rsidRPr="00BB7971">
        <w:rPr>
          <w:rStyle w:val="FootnoteReference"/>
        </w:rPr>
        <w:footnoteRef/>
      </w:r>
      <w:r>
        <w:tab/>
      </w:r>
      <w:r w:rsidRPr="007444D6">
        <w:t>L</w:t>
      </w:r>
      <w:r w:rsidR="000F6EE3">
        <w:t>’</w:t>
      </w:r>
      <w:r w:rsidRPr="007444D6">
        <w:t>ordre du jour provisoire et ses annotations pour la cinquante-cinquième session du Sous-Comité TMD ont été publiés sous la cote ST/SG/AC.10/C.3/109 et Add.1 (</w:t>
      </w:r>
      <w:hyperlink r:id="rId1" w:history="1">
        <w:r w:rsidRPr="007444D6">
          <w:t>http://www.unece.org/trans/main/ dgdb/dgsubc3/c3age.html</w:t>
        </w:r>
      </w:hyperlink>
      <w:r w:rsidRPr="007444D6">
        <w:t>). Les documents officiels peuvent être consultés à l</w:t>
      </w:r>
      <w:r w:rsidR="000F6EE3">
        <w:t>’</w:t>
      </w:r>
      <w:r w:rsidRPr="007444D6">
        <w:t>adresse suivante : http://www.unece.org/trans/main/dgdb/dgsubc3/c32019.html.</w:t>
      </w:r>
    </w:p>
  </w:footnote>
  <w:footnote w:id="3">
    <w:p w14:paraId="3CFEAB6C" w14:textId="77777777" w:rsidR="00020DA2" w:rsidRDefault="007444D6" w:rsidP="007444D6">
      <w:pPr>
        <w:pStyle w:val="FootnoteText"/>
      </w:pPr>
      <w:r>
        <w:tab/>
      </w:r>
      <w:r w:rsidR="00020DA2" w:rsidRPr="00BB7971">
        <w:rPr>
          <w:rStyle w:val="FootnoteReference"/>
        </w:rPr>
        <w:footnoteRef/>
      </w:r>
      <w:r>
        <w:tab/>
      </w:r>
      <w:r w:rsidR="00020DA2" w:rsidRPr="004473B2">
        <w:t>http://www.unece.org/trans/main/dgdb/dgsubc3/c3inf</w:t>
      </w:r>
      <w:r w:rsidR="00020DA2">
        <w:t>55</w:t>
      </w:r>
      <w:r w:rsidR="00020DA2" w:rsidRPr="004473B2">
        <w:t>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0DBF" w14:textId="5C49C79B" w:rsidR="00020DA2" w:rsidRPr="00020DA2" w:rsidRDefault="00F00E6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ST/SG/AC.10/C.4/73/Add.1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2604" w14:textId="3ACCD1A8" w:rsidR="00020DA2" w:rsidRPr="00020DA2" w:rsidRDefault="00F00E6D" w:rsidP="00020DA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ST/SG/AC.10/C.4/73/Add.1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1B"/>
    <w:rsid w:val="00017F94"/>
    <w:rsid w:val="00020DA2"/>
    <w:rsid w:val="00023842"/>
    <w:rsid w:val="000305D3"/>
    <w:rsid w:val="000334F9"/>
    <w:rsid w:val="0007796D"/>
    <w:rsid w:val="000B7790"/>
    <w:rsid w:val="000F6EE3"/>
    <w:rsid w:val="0010670D"/>
    <w:rsid w:val="00111F2F"/>
    <w:rsid w:val="00127EFF"/>
    <w:rsid w:val="00132EA9"/>
    <w:rsid w:val="0014365E"/>
    <w:rsid w:val="00156FF9"/>
    <w:rsid w:val="00176178"/>
    <w:rsid w:val="00183728"/>
    <w:rsid w:val="001F525A"/>
    <w:rsid w:val="002006B4"/>
    <w:rsid w:val="00223272"/>
    <w:rsid w:val="0024779E"/>
    <w:rsid w:val="00283190"/>
    <w:rsid w:val="002832AC"/>
    <w:rsid w:val="002D7C93"/>
    <w:rsid w:val="002E799C"/>
    <w:rsid w:val="00366337"/>
    <w:rsid w:val="003F0B53"/>
    <w:rsid w:val="00441C3B"/>
    <w:rsid w:val="00442134"/>
    <w:rsid w:val="00446FE5"/>
    <w:rsid w:val="00452396"/>
    <w:rsid w:val="004E468C"/>
    <w:rsid w:val="005505B7"/>
    <w:rsid w:val="00573BE5"/>
    <w:rsid w:val="00584DC4"/>
    <w:rsid w:val="00586ED3"/>
    <w:rsid w:val="00596AA9"/>
    <w:rsid w:val="0060176D"/>
    <w:rsid w:val="00603852"/>
    <w:rsid w:val="0068456F"/>
    <w:rsid w:val="006C2E4A"/>
    <w:rsid w:val="0071601D"/>
    <w:rsid w:val="007444D6"/>
    <w:rsid w:val="00757437"/>
    <w:rsid w:val="007900E1"/>
    <w:rsid w:val="007A62E6"/>
    <w:rsid w:val="007E421B"/>
    <w:rsid w:val="0080684C"/>
    <w:rsid w:val="00871C75"/>
    <w:rsid w:val="008776DC"/>
    <w:rsid w:val="008B40CD"/>
    <w:rsid w:val="009705C8"/>
    <w:rsid w:val="009C1CF4"/>
    <w:rsid w:val="009E4996"/>
    <w:rsid w:val="00A10092"/>
    <w:rsid w:val="00A30353"/>
    <w:rsid w:val="00A30BD4"/>
    <w:rsid w:val="00AC2101"/>
    <w:rsid w:val="00AC3823"/>
    <w:rsid w:val="00AE323C"/>
    <w:rsid w:val="00B00181"/>
    <w:rsid w:val="00B00B0D"/>
    <w:rsid w:val="00B765F7"/>
    <w:rsid w:val="00BA0CA9"/>
    <w:rsid w:val="00C02897"/>
    <w:rsid w:val="00CF54E5"/>
    <w:rsid w:val="00D16792"/>
    <w:rsid w:val="00D3439C"/>
    <w:rsid w:val="00DB1831"/>
    <w:rsid w:val="00DD3BFD"/>
    <w:rsid w:val="00DF6678"/>
    <w:rsid w:val="00EF2E22"/>
    <w:rsid w:val="00F00E6D"/>
    <w:rsid w:val="00F01738"/>
    <w:rsid w:val="00F15CB4"/>
    <w:rsid w:val="00F660DF"/>
    <w:rsid w:val="00F730C8"/>
    <w:rsid w:val="00F95C08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500EF"/>
  <w15:docId w15:val="{BCA46C95-3666-47CF-864B-A10FF33F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dgdb/dgsubc3/c3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ST/SG/AC.10/C.4/73/Add.1</vt:lpstr>
      <vt:lpstr>ST/SG/AC.10/C.4/73/Add.1</vt:lpstr>
    </vt:vector>
  </TitlesOfParts>
  <Company>DCM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ST/SG/AC.10/C.4/73/Add.1</dc:title>
  <dc:subject/>
  <dc:creator>Valerie BERTIN</dc:creator>
  <cp:keywords/>
  <cp:lastModifiedBy>Laurence Berthet</cp:lastModifiedBy>
  <cp:revision>3</cp:revision>
  <cp:lastPrinted>2019-05-10T08:22:00Z</cp:lastPrinted>
  <dcterms:created xsi:type="dcterms:W3CDTF">2019-05-10T08:22:00Z</dcterms:created>
  <dcterms:modified xsi:type="dcterms:W3CDTF">2019-05-10T08:24:00Z</dcterms:modified>
</cp:coreProperties>
</file>