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087A787E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6324CEC" w14:textId="77777777" w:rsidR="00132EA9" w:rsidRPr="00DB58B5" w:rsidRDefault="00132EA9" w:rsidP="00C170E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2BDEAA8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ADFD851" w14:textId="77777777" w:rsidR="00132EA9" w:rsidRPr="00DB58B5" w:rsidRDefault="00C170E5" w:rsidP="00C170E5">
            <w:pPr>
              <w:jc w:val="right"/>
            </w:pPr>
            <w:r w:rsidRPr="00C170E5">
              <w:rPr>
                <w:sz w:val="40"/>
              </w:rPr>
              <w:t>ST</w:t>
            </w:r>
            <w:r>
              <w:t>/SG/AC.10/C.4/2019/7</w:t>
            </w:r>
          </w:p>
        </w:tc>
      </w:tr>
      <w:tr w:rsidR="00132EA9" w:rsidRPr="00DB58B5" w14:paraId="11B04319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D6D34D1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9589B5C" wp14:editId="674CF22F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19014DC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F7D1B15" w14:textId="77777777" w:rsidR="00132EA9" w:rsidRDefault="00C170E5" w:rsidP="00F01738">
            <w:pPr>
              <w:spacing w:before="240"/>
            </w:pPr>
            <w:r>
              <w:t xml:space="preserve">Distr. </w:t>
            </w:r>
            <w:proofErr w:type="gramStart"/>
            <w:r>
              <w:t>générale</w:t>
            </w:r>
            <w:proofErr w:type="gramEnd"/>
          </w:p>
          <w:p w14:paraId="0D84C255" w14:textId="77777777" w:rsidR="00C170E5" w:rsidRDefault="00C170E5" w:rsidP="00C170E5">
            <w:pPr>
              <w:spacing w:line="240" w:lineRule="exact"/>
            </w:pPr>
            <w:r>
              <w:t>16 avril 2019</w:t>
            </w:r>
          </w:p>
          <w:p w14:paraId="391FF838" w14:textId="77777777" w:rsidR="00C170E5" w:rsidRDefault="00C170E5" w:rsidP="00C170E5">
            <w:pPr>
              <w:spacing w:line="240" w:lineRule="exact"/>
            </w:pPr>
            <w:r>
              <w:t>Français</w:t>
            </w:r>
          </w:p>
          <w:p w14:paraId="1A823ECF" w14:textId="77777777" w:rsidR="00C170E5" w:rsidRPr="00DB58B5" w:rsidRDefault="00C170E5" w:rsidP="00C170E5">
            <w:pPr>
              <w:spacing w:line="240" w:lineRule="exact"/>
            </w:pPr>
            <w:r>
              <w:t>Original : anglais</w:t>
            </w:r>
          </w:p>
        </w:tc>
      </w:tr>
    </w:tbl>
    <w:p w14:paraId="320ADCE4" w14:textId="77777777" w:rsidR="00F06D8A" w:rsidRPr="00CA0680" w:rsidRDefault="00F06D8A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65C8E341" w14:textId="77777777" w:rsidR="00F06D8A" w:rsidRPr="00CA0680" w:rsidRDefault="00F06D8A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 xml:space="preserve">du Système général harmonisé </w:t>
      </w:r>
      <w:r>
        <w:rPr>
          <w:b/>
        </w:rPr>
        <w:br/>
        <w:t>de classification et d’étiquetage des produits chimiques</w:t>
      </w:r>
    </w:p>
    <w:p w14:paraId="66C318F1" w14:textId="77777777" w:rsidR="00F06D8A" w:rsidRDefault="00F06D8A" w:rsidP="000305D3">
      <w:pPr>
        <w:spacing w:before="120"/>
        <w:rPr>
          <w:b/>
        </w:rPr>
      </w:pPr>
      <w:r>
        <w:rPr>
          <w:b/>
        </w:rPr>
        <w:t>Trente-septième</w:t>
      </w:r>
      <w:r w:rsidRPr="00CA0680">
        <w:rPr>
          <w:b/>
        </w:rPr>
        <w:t xml:space="preserve"> session</w:t>
      </w:r>
    </w:p>
    <w:p w14:paraId="65A0B7B4" w14:textId="77777777" w:rsidR="00F06D8A" w:rsidRDefault="00F06D8A" w:rsidP="000305D3">
      <w:r>
        <w:t>Genève, 8-10 juillet 2019</w:t>
      </w:r>
    </w:p>
    <w:p w14:paraId="61B472A5" w14:textId="77777777" w:rsidR="00F06D8A" w:rsidRDefault="00F06D8A" w:rsidP="000305D3">
      <w:r>
        <w:t>Point 2 b) de l’ordre du jour provisoire</w:t>
      </w:r>
    </w:p>
    <w:p w14:paraId="629F0040" w14:textId="77777777" w:rsidR="00C170E5" w:rsidRPr="00F06D8A" w:rsidRDefault="00F06D8A" w:rsidP="00F06D8A">
      <w:pPr>
        <w:rPr>
          <w:b/>
        </w:rPr>
      </w:pPr>
      <w:r w:rsidRPr="00F06D8A">
        <w:rPr>
          <w:b/>
          <w:lang w:val="fr-FR"/>
        </w:rPr>
        <w:t xml:space="preserve">Critères de classification et communication des dangers y relatifs : </w:t>
      </w:r>
      <w:r>
        <w:rPr>
          <w:b/>
          <w:lang w:val="fr-FR"/>
        </w:rPr>
        <w:br/>
      </w:r>
      <w:r w:rsidRPr="00F06D8A">
        <w:rPr>
          <w:b/>
          <w:lang w:val="fr-FR"/>
        </w:rPr>
        <w:t>Révision du chapitre 2.1</w:t>
      </w:r>
    </w:p>
    <w:p w14:paraId="08D98F10" w14:textId="77777777" w:rsidR="00F06D8A" w:rsidRPr="00F06D8A" w:rsidRDefault="00F06D8A" w:rsidP="00F06D8A">
      <w:pPr>
        <w:pStyle w:val="HChG"/>
      </w:pPr>
      <w:r w:rsidRPr="00210164">
        <w:rPr>
          <w:lang w:val="fr-FR"/>
        </w:rPr>
        <w:tab/>
      </w:r>
      <w:r w:rsidRPr="00210164">
        <w:rPr>
          <w:lang w:val="fr-FR"/>
        </w:rPr>
        <w:tab/>
        <w:t xml:space="preserve">Précisions sur </w:t>
      </w:r>
      <w:r w:rsidRPr="00F06D8A">
        <w:rPr>
          <w:lang w:val="fr-FR"/>
        </w:rPr>
        <w:t xml:space="preserve">le contenu de la classe des matières </w:t>
      </w:r>
      <w:r>
        <w:rPr>
          <w:lang w:val="fr-FR"/>
        </w:rPr>
        <w:br/>
      </w:r>
      <w:proofErr w:type="gramStart"/>
      <w:r w:rsidRPr="00F06D8A">
        <w:rPr>
          <w:lang w:val="fr-FR"/>
        </w:rPr>
        <w:t>et</w:t>
      </w:r>
      <w:proofErr w:type="gramEnd"/>
      <w:r w:rsidRPr="00F06D8A">
        <w:rPr>
          <w:lang w:val="fr-FR"/>
        </w:rPr>
        <w:t xml:space="preserve"> objets explosibles</w:t>
      </w:r>
    </w:p>
    <w:p w14:paraId="1D521D4D" w14:textId="77777777" w:rsidR="00F06D8A" w:rsidRPr="00F06D8A" w:rsidRDefault="00F06D8A" w:rsidP="00F06D8A">
      <w:pPr>
        <w:pStyle w:val="H1G"/>
        <w:rPr>
          <w:b w:val="0"/>
          <w:lang w:val="en-US"/>
        </w:rPr>
      </w:pPr>
      <w:r w:rsidRPr="00F06D8A">
        <w:rPr>
          <w:lang w:val="fr-FR"/>
        </w:rPr>
        <w:tab/>
      </w:r>
      <w:r w:rsidRPr="00F06D8A">
        <w:rPr>
          <w:lang w:val="fr-FR"/>
        </w:rPr>
        <w:tab/>
      </w:r>
      <w:r w:rsidRPr="00F06D8A">
        <w:rPr>
          <w:lang w:val="en-US"/>
        </w:rPr>
        <w:t>Communication du Sporting Arms and Ammunition Manufacturers’ Institute (SAAMI)</w:t>
      </w:r>
      <w:r w:rsidRPr="00F06D8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723AC732" w14:textId="77777777" w:rsidR="00F06D8A" w:rsidRPr="00F06D8A" w:rsidRDefault="00F06D8A" w:rsidP="00F06D8A">
      <w:pPr>
        <w:pStyle w:val="HChG"/>
      </w:pPr>
      <w:r w:rsidRPr="00F06D8A">
        <w:rPr>
          <w:lang w:val="en-US"/>
        </w:rPr>
        <w:tab/>
      </w:r>
      <w:r w:rsidRPr="00F06D8A">
        <w:rPr>
          <w:lang w:val="en-US"/>
        </w:rPr>
        <w:tab/>
      </w:r>
      <w:r w:rsidRPr="00F06D8A">
        <w:rPr>
          <w:lang w:val="fr-FR"/>
        </w:rPr>
        <w:t>Contexte</w:t>
      </w:r>
    </w:p>
    <w:p w14:paraId="53F8BA28" w14:textId="77777777" w:rsidR="00F06D8A" w:rsidRPr="00F06D8A" w:rsidRDefault="00F06D8A" w:rsidP="00F06D8A">
      <w:pPr>
        <w:pStyle w:val="SingleTxtG"/>
      </w:pPr>
      <w:r w:rsidRPr="00F06D8A">
        <w:rPr>
          <w:lang w:val="fr-FR"/>
        </w:rPr>
        <w:t>1.</w:t>
      </w:r>
      <w:r w:rsidRPr="00F06D8A">
        <w:rPr>
          <w:lang w:val="fr-FR"/>
        </w:rPr>
        <w:tab/>
        <w:t>Au cours des travaux de révision du chapitre</w:t>
      </w:r>
      <w:r>
        <w:rPr>
          <w:lang w:val="fr-FR"/>
        </w:rPr>
        <w:t> </w:t>
      </w:r>
      <w:r w:rsidRPr="00F06D8A">
        <w:rPr>
          <w:lang w:val="fr-FR"/>
        </w:rPr>
        <w:t>2.1 du SGH, qui porte sur la classe des matières et objets explosibles, le SAAMI a remarqué qu’il pourrait être utile de préciser, au</w:t>
      </w:r>
      <w:r>
        <w:rPr>
          <w:lang w:val="fr-FR"/>
        </w:rPr>
        <w:t> </w:t>
      </w:r>
      <w:r w:rsidRPr="00F06D8A">
        <w:rPr>
          <w:lang w:val="fr-FR"/>
        </w:rPr>
        <w:t>paragraphe</w:t>
      </w:r>
      <w:r>
        <w:rPr>
          <w:lang w:val="fr-FR"/>
        </w:rPr>
        <w:t> </w:t>
      </w:r>
      <w:r w:rsidRPr="00F06D8A">
        <w:rPr>
          <w:lang w:val="fr-FR"/>
        </w:rPr>
        <w:t>2.1.1.2 du SGH, ce que comprend la classe des matières et objets explosibles. Ce texte étant très proche de celui du paragraphe</w:t>
      </w:r>
      <w:r>
        <w:rPr>
          <w:lang w:val="fr-FR"/>
        </w:rPr>
        <w:t> </w:t>
      </w:r>
      <w:r w:rsidRPr="00F06D8A">
        <w:rPr>
          <w:lang w:val="fr-FR"/>
        </w:rPr>
        <w:t>2.1.1.1 du Règlement type qui délimite la classe</w:t>
      </w:r>
      <w:r>
        <w:rPr>
          <w:lang w:val="fr-FR"/>
        </w:rPr>
        <w:t> </w:t>
      </w:r>
      <w:r w:rsidRPr="00F06D8A">
        <w:rPr>
          <w:lang w:val="fr-FR"/>
        </w:rPr>
        <w:t>1, toute modification nécessiterait également un examen du Règlement type en vue d’amendements corollaires. C’est pourquoi le SAAMI soumet une proposition distincte à partir des travaux de révision du chapitre</w:t>
      </w:r>
      <w:r>
        <w:rPr>
          <w:lang w:val="fr-FR"/>
        </w:rPr>
        <w:t> </w:t>
      </w:r>
      <w:r w:rsidRPr="00F06D8A">
        <w:rPr>
          <w:lang w:val="fr-FR"/>
        </w:rPr>
        <w:t>2.1.</w:t>
      </w:r>
    </w:p>
    <w:p w14:paraId="080A6714" w14:textId="77777777" w:rsidR="00F06D8A" w:rsidRPr="00210164" w:rsidRDefault="00F06D8A" w:rsidP="00F06D8A">
      <w:pPr>
        <w:pStyle w:val="SingleTxtG"/>
      </w:pPr>
      <w:r w:rsidRPr="00F06D8A">
        <w:rPr>
          <w:lang w:val="fr-FR"/>
        </w:rPr>
        <w:t>2.</w:t>
      </w:r>
      <w:r w:rsidRPr="00F06D8A">
        <w:rPr>
          <w:lang w:val="fr-FR"/>
        </w:rPr>
        <w:tab/>
        <w:t>Le SAAMI estime que le texte synthétique du 2.1.1 du SGH (qui délimite la classe et définit ses éléments) ne cadre pas exactement avec la logique présidant à la classification détaillée figurant au 2.1.2 du SGH. Il ne cadre pas non plus avec la case</w:t>
      </w:r>
      <w:r>
        <w:rPr>
          <w:lang w:val="fr-FR"/>
        </w:rPr>
        <w:t> </w:t>
      </w:r>
      <w:r w:rsidRPr="00F06D8A">
        <w:rPr>
          <w:lang w:val="fr-FR"/>
        </w:rPr>
        <w:t>2 de</w:t>
      </w:r>
      <w:r w:rsidRPr="00210164">
        <w:rPr>
          <w:lang w:val="fr-FR"/>
        </w:rPr>
        <w:t xml:space="preserve"> la figure</w:t>
      </w:r>
      <w:r>
        <w:rPr>
          <w:lang w:val="fr-FR"/>
        </w:rPr>
        <w:t> </w:t>
      </w:r>
      <w:r w:rsidRPr="00210164">
        <w:rPr>
          <w:lang w:val="fr-FR"/>
        </w:rPr>
        <w:t>10.2 du Manuel d</w:t>
      </w:r>
      <w:r>
        <w:rPr>
          <w:lang w:val="fr-FR"/>
        </w:rPr>
        <w:t>’</w:t>
      </w:r>
      <w:r w:rsidRPr="00210164">
        <w:rPr>
          <w:lang w:val="fr-FR"/>
        </w:rPr>
        <w:t xml:space="preserve">épreuves et de critères. </w:t>
      </w:r>
      <w:r w:rsidRPr="00642BAF">
        <w:rPr>
          <w:lang w:val="fr-FR"/>
        </w:rPr>
        <w:t xml:space="preserve">Une application littérale de ce texte </w:t>
      </w:r>
      <w:r w:rsidRPr="004C3CFC">
        <w:rPr>
          <w:lang w:val="fr-FR"/>
        </w:rPr>
        <w:t>de haut niveau</w:t>
      </w:r>
      <w:r w:rsidRPr="00642BAF">
        <w:rPr>
          <w:lang w:val="fr-FR"/>
        </w:rPr>
        <w:t xml:space="preserve"> pourrait entraîner une extension involontaire de cette classe, puisqu</w:t>
      </w:r>
      <w:r>
        <w:rPr>
          <w:lang w:val="fr-FR"/>
        </w:rPr>
        <w:t>e</w:t>
      </w:r>
      <w:r w:rsidRPr="00642BAF">
        <w:rPr>
          <w:lang w:val="fr-FR"/>
        </w:rPr>
        <w:t xml:space="preserve"> des combustibles qui sont rangés dans</w:t>
      </w:r>
      <w:r>
        <w:rPr>
          <w:lang w:val="fr-FR"/>
        </w:rPr>
        <w:t xml:space="preserve"> </w:t>
      </w:r>
      <w:r w:rsidRPr="00210164">
        <w:rPr>
          <w:lang w:val="fr-FR"/>
        </w:rPr>
        <w:t>d</w:t>
      </w:r>
      <w:r>
        <w:rPr>
          <w:lang w:val="fr-FR"/>
        </w:rPr>
        <w:t>’</w:t>
      </w:r>
      <w:r w:rsidRPr="00210164">
        <w:rPr>
          <w:lang w:val="fr-FR"/>
        </w:rPr>
        <w:t>autres classes</w:t>
      </w:r>
      <w:r>
        <w:rPr>
          <w:lang w:val="fr-FR"/>
        </w:rPr>
        <w:t xml:space="preserve"> pourraient s’y trouver inclus</w:t>
      </w:r>
      <w:r w:rsidRPr="00210164">
        <w:rPr>
          <w:lang w:val="fr-FR"/>
        </w:rPr>
        <w:t xml:space="preserve">. </w:t>
      </w:r>
    </w:p>
    <w:p w14:paraId="122115E1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3.</w:t>
      </w:r>
      <w:r w:rsidRPr="00210164">
        <w:rPr>
          <w:lang w:val="fr-FR"/>
        </w:rPr>
        <w:tab/>
        <w:t>Des observations pertinentes ont également été faites par la Suède</w:t>
      </w:r>
      <w:r>
        <w:rPr>
          <w:lang w:val="fr-FR"/>
        </w:rPr>
        <w:t>. L</w:t>
      </w:r>
      <w:r w:rsidRPr="00210164">
        <w:rPr>
          <w:lang w:val="fr-FR"/>
        </w:rPr>
        <w:t>es plus récentes figurent dans le document ST/SG/AC.10/C.3/2018/81-ST/SG/AC.10/C.4/2018/19. Il s</w:t>
      </w:r>
      <w:r>
        <w:rPr>
          <w:lang w:val="fr-FR"/>
        </w:rPr>
        <w:t>’</w:t>
      </w:r>
      <w:r w:rsidRPr="00210164">
        <w:rPr>
          <w:lang w:val="fr-FR"/>
        </w:rPr>
        <w:t>agit là d</w:t>
      </w:r>
      <w:r>
        <w:rPr>
          <w:lang w:val="fr-FR"/>
        </w:rPr>
        <w:t>’</w:t>
      </w:r>
      <w:r w:rsidRPr="00210164">
        <w:rPr>
          <w:lang w:val="fr-FR"/>
        </w:rPr>
        <w:t>une préoccupation constante tant dans le SGH que dans le Règlement type.</w:t>
      </w:r>
    </w:p>
    <w:p w14:paraId="1A510147" w14:textId="77777777" w:rsidR="00F06D8A" w:rsidRPr="00210164" w:rsidRDefault="00F06D8A" w:rsidP="00464935">
      <w:pPr>
        <w:pStyle w:val="HChG"/>
      </w:pPr>
      <w:r w:rsidRPr="00210164">
        <w:rPr>
          <w:lang w:val="fr-FR"/>
        </w:rPr>
        <w:lastRenderedPageBreak/>
        <w:tab/>
      </w:r>
      <w:r w:rsidRPr="00210164">
        <w:rPr>
          <w:lang w:val="fr-FR"/>
        </w:rPr>
        <w:tab/>
        <w:t>Exposé du problème</w:t>
      </w:r>
    </w:p>
    <w:p w14:paraId="30AABE89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4.</w:t>
      </w:r>
      <w:r w:rsidRPr="00210164">
        <w:rPr>
          <w:lang w:val="fr-FR"/>
        </w:rPr>
        <w:tab/>
        <w:t>Dans le SGH, l</w:t>
      </w:r>
      <w:r>
        <w:rPr>
          <w:lang w:val="fr-FR"/>
        </w:rPr>
        <w:t>e</w:t>
      </w:r>
      <w:r w:rsidRPr="00210164">
        <w:rPr>
          <w:lang w:val="fr-FR"/>
        </w:rPr>
        <w:t xml:space="preserve"> 2.1.1.2 et </w:t>
      </w:r>
      <w:r>
        <w:rPr>
          <w:lang w:val="fr-FR"/>
        </w:rPr>
        <w:t>la</w:t>
      </w:r>
      <w:r w:rsidRPr="00210164">
        <w:rPr>
          <w:lang w:val="fr-FR"/>
        </w:rPr>
        <w:t xml:space="preserve"> définition d</w:t>
      </w:r>
      <w:r>
        <w:rPr>
          <w:lang w:val="fr-FR"/>
        </w:rPr>
        <w:t>’</w:t>
      </w:r>
      <w:r w:rsidRPr="00210164">
        <w:rPr>
          <w:lang w:val="fr-FR"/>
        </w:rPr>
        <w:t xml:space="preserve">une matière explosive </w:t>
      </w:r>
      <w:r>
        <w:rPr>
          <w:lang w:val="fr-FR"/>
        </w:rPr>
        <w:t xml:space="preserve">énoncée </w:t>
      </w:r>
      <w:r w:rsidRPr="00210164">
        <w:rPr>
          <w:lang w:val="fr-FR"/>
        </w:rPr>
        <w:t xml:space="preserve">au 2.1.1.1 </w:t>
      </w:r>
      <w:r>
        <w:rPr>
          <w:lang w:val="fr-FR"/>
        </w:rPr>
        <w:t>se lisent respectivement comme suit</w:t>
      </w:r>
      <w:r w:rsidR="00464935">
        <w:rPr>
          <w:lang w:val="fr-FR"/>
        </w:rPr>
        <w:t> </w:t>
      </w:r>
      <w:r w:rsidRPr="00210164">
        <w:rPr>
          <w:lang w:val="fr-FR"/>
        </w:rPr>
        <w:t>:</w:t>
      </w:r>
    </w:p>
    <w:p w14:paraId="215C5B06" w14:textId="77777777" w:rsidR="00F06D8A" w:rsidRPr="00210164" w:rsidRDefault="00F06D8A" w:rsidP="00464935">
      <w:pPr>
        <w:pStyle w:val="SingleTxtG"/>
        <w:ind w:left="1701"/>
      </w:pPr>
      <w:r w:rsidRPr="00210164">
        <w:rPr>
          <w:lang w:val="fr-FR"/>
        </w:rPr>
        <w:t>«</w:t>
      </w:r>
      <w:r w:rsidR="00464935">
        <w:rPr>
          <w:lang w:val="fr-FR"/>
        </w:rPr>
        <w:t> </w:t>
      </w:r>
      <w:r w:rsidRPr="00210164">
        <w:rPr>
          <w:lang w:val="fr-FR"/>
        </w:rPr>
        <w:t>2.1.1.2</w:t>
      </w:r>
      <w:r>
        <w:rPr>
          <w:lang w:val="fr-FR"/>
        </w:rPr>
        <w:tab/>
      </w:r>
      <w:r w:rsidRPr="00210164">
        <w:rPr>
          <w:lang w:val="fr-FR"/>
        </w:rPr>
        <w:t>La classe des matières et objets explosibles comprend</w:t>
      </w:r>
      <w:r w:rsidR="00464935">
        <w:rPr>
          <w:lang w:val="fr-FR"/>
        </w:rPr>
        <w:t> </w:t>
      </w:r>
      <w:r w:rsidRPr="00210164">
        <w:rPr>
          <w:lang w:val="fr-FR"/>
        </w:rPr>
        <w:t>:</w:t>
      </w:r>
    </w:p>
    <w:p w14:paraId="6F1CB311" w14:textId="77777777" w:rsidR="00464935" w:rsidRDefault="00F06D8A" w:rsidP="00B8044C">
      <w:pPr>
        <w:pStyle w:val="SingleTxtG"/>
        <w:ind w:left="1701"/>
        <w:rPr>
          <w:lang w:val="fr-FR"/>
        </w:rPr>
      </w:pPr>
      <w:r w:rsidRPr="00210164">
        <w:rPr>
          <w:lang w:val="fr-FR"/>
        </w:rPr>
        <w:t>a)</w:t>
      </w:r>
      <w:r w:rsidRPr="00210164">
        <w:rPr>
          <w:lang w:val="fr-FR"/>
        </w:rPr>
        <w:tab/>
        <w:t>Les matières explosibles</w:t>
      </w:r>
      <w:r w:rsidR="00464935">
        <w:rPr>
          <w:lang w:val="fr-FR"/>
        </w:rPr>
        <w:t> </w:t>
      </w:r>
      <w:r w:rsidRPr="00210164">
        <w:rPr>
          <w:lang w:val="fr-FR"/>
        </w:rPr>
        <w:t>;</w:t>
      </w:r>
    </w:p>
    <w:p w14:paraId="3B0E94BA" w14:textId="77777777" w:rsidR="00464935" w:rsidRDefault="00F06D8A" w:rsidP="00B8044C">
      <w:pPr>
        <w:pStyle w:val="SingleTxtG"/>
        <w:ind w:left="1701"/>
        <w:rPr>
          <w:lang w:val="fr-FR"/>
        </w:rPr>
      </w:pPr>
      <w:r w:rsidRPr="00210164">
        <w:rPr>
          <w:lang w:val="fr-FR"/>
        </w:rPr>
        <w:t>b)</w:t>
      </w:r>
      <w:r w:rsidRPr="00210164">
        <w:rPr>
          <w:lang w:val="fr-FR"/>
        </w:rPr>
        <w:tab/>
      </w:r>
      <w:r w:rsidRPr="00B3441A">
        <w:rPr>
          <w:lang w:val="fr-FR"/>
        </w:rPr>
        <w:t>Les objets explosibles, à l</w:t>
      </w:r>
      <w:r>
        <w:rPr>
          <w:lang w:val="fr-FR"/>
        </w:rPr>
        <w:t>’</w:t>
      </w:r>
      <w:r w:rsidRPr="00B3441A">
        <w:rPr>
          <w:lang w:val="fr-FR"/>
        </w:rPr>
        <w:t>exception des engins contenant des matières explosibles en quantité ou d</w:t>
      </w:r>
      <w:r>
        <w:rPr>
          <w:lang w:val="fr-FR"/>
        </w:rPr>
        <w:t>’</w:t>
      </w:r>
      <w:r w:rsidRPr="00B3441A">
        <w:rPr>
          <w:lang w:val="fr-FR"/>
        </w:rPr>
        <w:t>une nature telle que leur allumage ou leur amorçage involontaire ou</w:t>
      </w:r>
      <w:r w:rsidR="00464935">
        <w:rPr>
          <w:lang w:val="fr-FR"/>
        </w:rPr>
        <w:t xml:space="preserve"> </w:t>
      </w:r>
      <w:r w:rsidRPr="00B3441A">
        <w:rPr>
          <w:lang w:val="fr-FR"/>
        </w:rPr>
        <w:t>accidentel ne cause aucun effet de projection, incendiaire, fumigène ou calorifique ou sonore intense extérieur à l</w:t>
      </w:r>
      <w:r>
        <w:rPr>
          <w:lang w:val="fr-FR"/>
        </w:rPr>
        <w:t>’</w:t>
      </w:r>
      <w:r w:rsidRPr="00B3441A">
        <w:rPr>
          <w:lang w:val="fr-FR"/>
        </w:rPr>
        <w:t>engin</w:t>
      </w:r>
      <w:r w:rsidR="00464935">
        <w:rPr>
          <w:lang w:val="fr-FR"/>
        </w:rPr>
        <w:t> </w:t>
      </w:r>
      <w:r w:rsidRPr="00210164">
        <w:rPr>
          <w:lang w:val="fr-FR"/>
        </w:rPr>
        <w:t>;</w:t>
      </w:r>
    </w:p>
    <w:p w14:paraId="396C7FA8" w14:textId="77777777" w:rsidR="00F06D8A" w:rsidRPr="00210164" w:rsidRDefault="00F06D8A" w:rsidP="00B8044C">
      <w:pPr>
        <w:pStyle w:val="SingleTxtG"/>
        <w:ind w:left="1701"/>
      </w:pPr>
      <w:r w:rsidRPr="00210164">
        <w:rPr>
          <w:lang w:val="fr-FR"/>
        </w:rPr>
        <w:t>c)</w:t>
      </w:r>
      <w:r w:rsidRPr="00210164">
        <w:rPr>
          <w:lang w:val="fr-FR"/>
        </w:rPr>
        <w:tab/>
        <w:t>Les matières et objets non mentionnés sous a) et b) ci-dessus qui sont fabriqués pour produire un effet pratique explosible ou pyrotechnique.</w:t>
      </w:r>
      <w:r w:rsidR="00464935">
        <w:rPr>
          <w:lang w:val="fr-FR"/>
        </w:rPr>
        <w:t> </w:t>
      </w:r>
      <w:r w:rsidRPr="00210164">
        <w:rPr>
          <w:lang w:val="fr-FR"/>
        </w:rPr>
        <w:t>».</w:t>
      </w:r>
    </w:p>
    <w:p w14:paraId="126A32F1" w14:textId="77777777" w:rsidR="00F06D8A" w:rsidRDefault="00F06D8A" w:rsidP="00464935">
      <w:pPr>
        <w:pStyle w:val="SingleTxtG"/>
        <w:ind w:left="1701"/>
      </w:pPr>
      <w:r w:rsidRPr="00210164">
        <w:t>«</w:t>
      </w:r>
      <w:r w:rsidR="00464935">
        <w:t> </w:t>
      </w:r>
      <w:r w:rsidRPr="00210164">
        <w:rPr>
          <w:lang w:val="fr-FR"/>
        </w:rPr>
        <w:t>2.1.1.1</w:t>
      </w:r>
      <w:r>
        <w:rPr>
          <w:lang w:val="fr-FR"/>
        </w:rPr>
        <w:tab/>
      </w:r>
      <w:r w:rsidRPr="00B3441A">
        <w:rPr>
          <w:lang w:val="fr-FR"/>
        </w:rPr>
        <w:t xml:space="preserve">Par </w:t>
      </w:r>
      <w:r w:rsidRPr="00B3441A">
        <w:rPr>
          <w:i/>
          <w:iCs/>
          <w:lang w:val="fr-FR"/>
        </w:rPr>
        <w:t>matière explosible</w:t>
      </w:r>
      <w:r w:rsidRPr="00B3441A">
        <w:rPr>
          <w:lang w:val="fr-FR"/>
        </w:rPr>
        <w:t xml:space="preserve">, on entend une substance ou un mélange de substances solides ou liquides qui est en soi susceptible, par réaction chimique, de dégager des gaz à une température, une pression </w:t>
      </w:r>
      <w:r>
        <w:rPr>
          <w:lang w:val="fr-FR"/>
        </w:rPr>
        <w:t>ou</w:t>
      </w:r>
      <w:r w:rsidRPr="00B3441A">
        <w:rPr>
          <w:lang w:val="fr-FR"/>
        </w:rPr>
        <w:t xml:space="preserve"> une vitesse telle qu</w:t>
      </w:r>
      <w:r>
        <w:rPr>
          <w:lang w:val="fr-FR"/>
        </w:rPr>
        <w:t>’</w:t>
      </w:r>
      <w:r w:rsidRPr="00B3441A">
        <w:rPr>
          <w:lang w:val="fr-FR"/>
        </w:rPr>
        <w:t>il en résulte des dégâts dans la zone environnante. Les matières pyrotechniques sont incluses dans cette définition même si elles ne dégagent pas de gaz</w:t>
      </w:r>
      <w:r w:rsidR="00DD2B29">
        <w:rPr>
          <w:lang w:val="fr-FR"/>
        </w:rPr>
        <w:t>.</w:t>
      </w:r>
      <w:r w:rsidR="00464935">
        <w:rPr>
          <w:lang w:val="fr-FR"/>
        </w:rPr>
        <w:t> </w:t>
      </w:r>
      <w:r w:rsidRPr="00210164">
        <w:rPr>
          <w:lang w:val="fr-FR"/>
        </w:rPr>
        <w:t>».</w:t>
      </w:r>
    </w:p>
    <w:p w14:paraId="0F30F20A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5.</w:t>
      </w:r>
      <w:r w:rsidRPr="00210164">
        <w:rPr>
          <w:lang w:val="fr-FR"/>
        </w:rPr>
        <w:tab/>
        <w:t xml:space="preserve">Le SAAMI </w:t>
      </w:r>
      <w:r>
        <w:rPr>
          <w:lang w:val="fr-FR"/>
        </w:rPr>
        <w:t>s’interroge sur le sens du</w:t>
      </w:r>
      <w:r w:rsidRPr="00210164">
        <w:rPr>
          <w:lang w:val="fr-FR"/>
        </w:rPr>
        <w:t xml:space="preserve"> 2.1.1.2</w:t>
      </w:r>
      <w:r w:rsidR="00464935">
        <w:rPr>
          <w:lang w:val="fr-FR"/>
        </w:rPr>
        <w:t> </w:t>
      </w:r>
      <w:r w:rsidRPr="00210164">
        <w:rPr>
          <w:lang w:val="fr-FR"/>
        </w:rPr>
        <w:t>c)</w:t>
      </w:r>
      <w:r>
        <w:rPr>
          <w:lang w:val="fr-FR"/>
        </w:rPr>
        <w:t>. Il se demande en effet ce que sont</w:t>
      </w:r>
      <w:r w:rsidR="00A24BBB">
        <w:rPr>
          <w:lang w:val="fr-FR"/>
        </w:rPr>
        <w:t xml:space="preserve"> </w:t>
      </w:r>
      <w:r w:rsidRPr="00210164">
        <w:rPr>
          <w:lang w:val="fr-FR"/>
        </w:rPr>
        <w:t>les matières et objets explosibles non mentionnés au</w:t>
      </w:r>
      <w:r>
        <w:rPr>
          <w:lang w:val="fr-FR"/>
        </w:rPr>
        <w:t>x alinéas</w:t>
      </w:r>
      <w:r w:rsidR="00464935">
        <w:rPr>
          <w:lang w:val="fr-FR"/>
        </w:rPr>
        <w:t> </w:t>
      </w:r>
      <w:r>
        <w:rPr>
          <w:lang w:val="fr-FR"/>
        </w:rPr>
        <w:t>a) et b) du</w:t>
      </w:r>
      <w:r w:rsidRPr="00210164">
        <w:rPr>
          <w:lang w:val="fr-FR"/>
        </w:rPr>
        <w:t xml:space="preserve"> 2.1.1.2</w:t>
      </w:r>
      <w:r>
        <w:rPr>
          <w:lang w:val="fr-FR"/>
        </w:rPr>
        <w:t>.</w:t>
      </w:r>
      <w:r w:rsidRPr="00361AD2">
        <w:rPr>
          <w:lang w:val="fr-FR"/>
        </w:rPr>
        <w:t xml:space="preserve"> Dans ces deux alinéas, il est question des matières explosibles,</w:t>
      </w:r>
      <w:r>
        <w:rPr>
          <w:lang w:val="fr-FR"/>
        </w:rPr>
        <w:t xml:space="preserve"> </w:t>
      </w:r>
      <w:r w:rsidRPr="00361AD2">
        <w:rPr>
          <w:lang w:val="fr-FR"/>
        </w:rPr>
        <w:t>c</w:t>
      </w:r>
      <w:r>
        <w:rPr>
          <w:lang w:val="fr-FR"/>
        </w:rPr>
        <w:t>’</w:t>
      </w:r>
      <w:r w:rsidRPr="00361AD2">
        <w:rPr>
          <w:lang w:val="fr-FR"/>
        </w:rPr>
        <w:t>est-à-dire des matières ou mélanges de matières solides ou liquides susceptibles, par réaction chimique, de dégager des gaz à</w:t>
      </w:r>
      <w:r w:rsidR="00464935">
        <w:rPr>
          <w:lang w:val="fr-FR"/>
        </w:rPr>
        <w:t> </w:t>
      </w:r>
      <w:r w:rsidRPr="00361AD2">
        <w:rPr>
          <w:lang w:val="fr-FR"/>
        </w:rPr>
        <w:t xml:space="preserve">une température, une pression </w:t>
      </w:r>
      <w:r>
        <w:rPr>
          <w:lang w:val="fr-FR"/>
        </w:rPr>
        <w:t>ou</w:t>
      </w:r>
      <w:r w:rsidRPr="00361AD2">
        <w:rPr>
          <w:lang w:val="fr-FR"/>
        </w:rPr>
        <w:t xml:space="preserve"> une vitesse telle qu</w:t>
      </w:r>
      <w:r>
        <w:rPr>
          <w:lang w:val="fr-FR"/>
        </w:rPr>
        <w:t>’</w:t>
      </w:r>
      <w:r w:rsidRPr="00361AD2">
        <w:rPr>
          <w:lang w:val="fr-FR"/>
        </w:rPr>
        <w:t>il en résulte des dégâts dans la zone environnante</w:t>
      </w:r>
      <w:r w:rsidRPr="00210164">
        <w:rPr>
          <w:lang w:val="fr-FR"/>
        </w:rPr>
        <w:t xml:space="preserve">. Cela comprend les explosifs intentionnels et occasionnels. </w:t>
      </w:r>
      <w:r w:rsidRPr="00096D23">
        <w:rPr>
          <w:lang w:val="fr-FR"/>
        </w:rPr>
        <w:t>Lu littéralement, l</w:t>
      </w:r>
      <w:r>
        <w:rPr>
          <w:lang w:val="fr-FR"/>
        </w:rPr>
        <w:t>’</w:t>
      </w:r>
      <w:r w:rsidRPr="00096D23">
        <w:rPr>
          <w:lang w:val="fr-FR"/>
        </w:rPr>
        <w:t>alinéa</w:t>
      </w:r>
      <w:r w:rsidR="00464935">
        <w:rPr>
          <w:lang w:val="fr-FR"/>
        </w:rPr>
        <w:t> </w:t>
      </w:r>
      <w:r w:rsidRPr="00096D23">
        <w:rPr>
          <w:lang w:val="fr-FR"/>
        </w:rPr>
        <w:t>c) pourrait s</w:t>
      </w:r>
      <w:r>
        <w:rPr>
          <w:lang w:val="fr-FR"/>
        </w:rPr>
        <w:t>’</w:t>
      </w:r>
      <w:r w:rsidRPr="00096D23">
        <w:rPr>
          <w:lang w:val="fr-FR"/>
        </w:rPr>
        <w:t>appliquer à n</w:t>
      </w:r>
      <w:r>
        <w:rPr>
          <w:lang w:val="fr-FR"/>
        </w:rPr>
        <w:t>’</w:t>
      </w:r>
      <w:r w:rsidRPr="00096D23">
        <w:rPr>
          <w:lang w:val="fr-FR"/>
        </w:rPr>
        <w:t>importe quel</w:t>
      </w:r>
      <w:r w:rsidRPr="00210164">
        <w:rPr>
          <w:lang w:val="fr-FR"/>
        </w:rPr>
        <w:t xml:space="preserve"> type de combustible, d</w:t>
      </w:r>
      <w:r>
        <w:rPr>
          <w:lang w:val="fr-FR"/>
        </w:rPr>
        <w:t>’</w:t>
      </w:r>
      <w:r w:rsidRPr="00210164">
        <w:rPr>
          <w:lang w:val="fr-FR"/>
        </w:rPr>
        <w:t xml:space="preserve">autant plus que les explosifs sont exclus. </w:t>
      </w:r>
      <w:r>
        <w:rPr>
          <w:lang w:val="fr-FR"/>
        </w:rPr>
        <w:t>En brûlant,</w:t>
      </w:r>
      <w:r w:rsidRPr="00210164">
        <w:rPr>
          <w:lang w:val="fr-FR"/>
        </w:rPr>
        <w:t xml:space="preserve"> </w:t>
      </w:r>
      <w:r>
        <w:rPr>
          <w:lang w:val="fr-FR"/>
        </w:rPr>
        <w:t xml:space="preserve">un combustible </w:t>
      </w:r>
      <w:r w:rsidRPr="00210164">
        <w:rPr>
          <w:lang w:val="fr-FR"/>
        </w:rPr>
        <w:t xml:space="preserve">produit de la chaleur, de la lumière, de la fumée et des gaz, </w:t>
      </w:r>
      <w:r w:rsidRPr="00096D23">
        <w:rPr>
          <w:lang w:val="fr-FR"/>
        </w:rPr>
        <w:t>chacun de ces phénomènes</w:t>
      </w:r>
      <w:r>
        <w:rPr>
          <w:lang w:val="fr-FR"/>
        </w:rPr>
        <w:t xml:space="preserve"> </w:t>
      </w:r>
      <w:r w:rsidRPr="00096D23">
        <w:rPr>
          <w:lang w:val="fr-FR"/>
        </w:rPr>
        <w:t>p</w:t>
      </w:r>
      <w:r>
        <w:rPr>
          <w:lang w:val="fr-FR"/>
        </w:rPr>
        <w:t>ouvant</w:t>
      </w:r>
      <w:r w:rsidRPr="00096D23">
        <w:rPr>
          <w:lang w:val="fr-FR"/>
        </w:rPr>
        <w:t xml:space="preserve"> être qualifié d</w:t>
      </w:r>
      <w:proofErr w:type="gramStart"/>
      <w:r>
        <w:rPr>
          <w:lang w:val="fr-FR"/>
        </w:rPr>
        <w:t>’</w:t>
      </w:r>
      <w:r w:rsidRPr="00210164">
        <w:rPr>
          <w:lang w:val="fr-FR"/>
        </w:rPr>
        <w:t>«</w:t>
      </w:r>
      <w:proofErr w:type="gramEnd"/>
      <w:r w:rsidR="00464935">
        <w:rPr>
          <w:lang w:val="fr-FR"/>
        </w:rPr>
        <w:t> </w:t>
      </w:r>
      <w:r w:rsidRPr="00210164">
        <w:rPr>
          <w:lang w:val="fr-FR"/>
        </w:rPr>
        <w:t>effet pratique explosif ou pyrotechnique</w:t>
      </w:r>
      <w:r w:rsidR="00464935">
        <w:rPr>
          <w:lang w:val="fr-FR"/>
        </w:rPr>
        <w:t> </w:t>
      </w:r>
      <w:r w:rsidRPr="00210164">
        <w:rPr>
          <w:lang w:val="fr-FR"/>
        </w:rPr>
        <w:t>». S</w:t>
      </w:r>
      <w:r>
        <w:rPr>
          <w:lang w:val="fr-FR"/>
        </w:rPr>
        <w:t>i l’on suit</w:t>
      </w:r>
      <w:r w:rsidRPr="00210164">
        <w:rPr>
          <w:lang w:val="fr-FR"/>
        </w:rPr>
        <w:t xml:space="preserve"> cette logique, tous les combustibles pourraient </w:t>
      </w:r>
      <w:r>
        <w:rPr>
          <w:lang w:val="fr-FR"/>
        </w:rPr>
        <w:t>être rangés</w:t>
      </w:r>
      <w:r w:rsidRPr="00210164">
        <w:rPr>
          <w:lang w:val="fr-FR"/>
        </w:rPr>
        <w:t xml:space="preserve"> dans la catégorie des explosifs, ce qui n</w:t>
      </w:r>
      <w:r>
        <w:rPr>
          <w:lang w:val="fr-FR"/>
        </w:rPr>
        <w:t>’</w:t>
      </w:r>
      <w:r w:rsidRPr="00210164">
        <w:rPr>
          <w:lang w:val="fr-FR"/>
        </w:rPr>
        <w:t>est pas l</w:t>
      </w:r>
      <w:r>
        <w:rPr>
          <w:lang w:val="fr-FR"/>
        </w:rPr>
        <w:t>e propos</w:t>
      </w:r>
      <w:r w:rsidRPr="00210164">
        <w:rPr>
          <w:lang w:val="fr-FR"/>
        </w:rPr>
        <w:t xml:space="preserve"> du SGH.</w:t>
      </w:r>
    </w:p>
    <w:p w14:paraId="63C21CBB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6.</w:t>
      </w:r>
      <w:r w:rsidRPr="00210164">
        <w:rPr>
          <w:lang w:val="fr-FR"/>
        </w:rPr>
        <w:tab/>
      </w:r>
      <w:r w:rsidRPr="00641682">
        <w:rPr>
          <w:lang w:val="fr-FR"/>
        </w:rPr>
        <w:t>Le</w:t>
      </w:r>
      <w:r>
        <w:rPr>
          <w:lang w:val="fr-FR"/>
        </w:rPr>
        <w:t>s limites du champ de</w:t>
      </w:r>
      <w:r w:rsidRPr="00641682">
        <w:rPr>
          <w:lang w:val="fr-FR"/>
        </w:rPr>
        <w:t xml:space="preserve"> la classe </w:t>
      </w:r>
      <w:r>
        <w:rPr>
          <w:lang w:val="fr-FR"/>
        </w:rPr>
        <w:t>sont</w:t>
      </w:r>
      <w:r w:rsidRPr="00641682">
        <w:rPr>
          <w:lang w:val="fr-FR"/>
        </w:rPr>
        <w:t xml:space="preserve"> à rapprocher du diagramme de décision correspondant, qui constitue la figure</w:t>
      </w:r>
      <w:r w:rsidR="00464935">
        <w:rPr>
          <w:lang w:val="fr-FR"/>
        </w:rPr>
        <w:t> </w:t>
      </w:r>
      <w:r w:rsidRPr="00641682">
        <w:rPr>
          <w:lang w:val="fr-FR"/>
        </w:rPr>
        <w:t>10.2 du Manuel d</w:t>
      </w:r>
      <w:r>
        <w:rPr>
          <w:lang w:val="fr-FR"/>
        </w:rPr>
        <w:t>’</w:t>
      </w:r>
      <w:r w:rsidRPr="00641682">
        <w:rPr>
          <w:lang w:val="fr-FR"/>
        </w:rPr>
        <w:t>épreuves et de critères (ci-après le</w:t>
      </w:r>
      <w:r w:rsidR="00464935">
        <w:rPr>
          <w:lang w:val="fr-FR"/>
        </w:rPr>
        <w:t> </w:t>
      </w:r>
      <w:r w:rsidRPr="00641682">
        <w:rPr>
          <w:lang w:val="fr-FR"/>
        </w:rPr>
        <w:t>Manuel). La case</w:t>
      </w:r>
      <w:r w:rsidR="00464935">
        <w:rPr>
          <w:lang w:val="fr-FR"/>
        </w:rPr>
        <w:t> </w:t>
      </w:r>
      <w:r w:rsidRPr="00641682">
        <w:rPr>
          <w:lang w:val="fr-FR"/>
        </w:rPr>
        <w:t>2 de ce diagramme contient la question suivante</w:t>
      </w:r>
      <w:r w:rsidR="00464935">
        <w:rPr>
          <w:lang w:val="fr-FR"/>
        </w:rPr>
        <w:t> </w:t>
      </w:r>
      <w:r w:rsidRPr="00641682">
        <w:rPr>
          <w:lang w:val="fr-FR"/>
        </w:rPr>
        <w:t>: «</w:t>
      </w:r>
      <w:r w:rsidR="00464935">
        <w:rPr>
          <w:lang w:val="fr-FR"/>
        </w:rPr>
        <w:t> </w:t>
      </w:r>
      <w:r w:rsidRPr="00641682">
        <w:rPr>
          <w:lang w:val="fr-FR"/>
        </w:rPr>
        <w:t>S</w:t>
      </w:r>
      <w:r>
        <w:rPr>
          <w:lang w:val="fr-FR"/>
        </w:rPr>
        <w:t>’</w:t>
      </w:r>
      <w:r w:rsidRPr="00641682">
        <w:rPr>
          <w:lang w:val="fr-FR"/>
        </w:rPr>
        <w:t>agit-il d</w:t>
      </w:r>
      <w:r>
        <w:rPr>
          <w:lang w:val="fr-FR"/>
        </w:rPr>
        <w:t>’</w:t>
      </w:r>
      <w:r w:rsidRPr="00641682">
        <w:rPr>
          <w:lang w:val="fr-FR"/>
        </w:rPr>
        <w:t>une matière produite pour son effet explosif ou pyrotechnique</w:t>
      </w:r>
      <w:r w:rsidR="00464935">
        <w:rPr>
          <w:lang w:val="fr-FR"/>
        </w:rPr>
        <w:t> </w:t>
      </w:r>
      <w:r w:rsidRPr="00641682">
        <w:rPr>
          <w:lang w:val="fr-FR"/>
        </w:rPr>
        <w:t>?</w:t>
      </w:r>
      <w:r w:rsidR="00464935">
        <w:rPr>
          <w:lang w:val="fr-FR"/>
        </w:rPr>
        <w:t> </w:t>
      </w:r>
      <w:r w:rsidRPr="00641682">
        <w:rPr>
          <w:lang w:val="fr-FR"/>
        </w:rPr>
        <w:t xml:space="preserve">». Le lecteur a le choix entre deux options : si la réponse est non, </w:t>
      </w:r>
      <w:r>
        <w:rPr>
          <w:lang w:val="fr-FR"/>
        </w:rPr>
        <w:t>le diagramme renvoie vers l</w:t>
      </w:r>
      <w:r w:rsidRPr="00641682">
        <w:rPr>
          <w:lang w:val="fr-FR"/>
        </w:rPr>
        <w:t>es épreuves de la série</w:t>
      </w:r>
      <w:r w:rsidR="00464935">
        <w:rPr>
          <w:lang w:val="fr-FR"/>
        </w:rPr>
        <w:t> </w:t>
      </w:r>
      <w:r w:rsidRPr="00641682">
        <w:rPr>
          <w:lang w:val="fr-FR"/>
        </w:rPr>
        <w:t>1, de la série</w:t>
      </w:r>
      <w:r w:rsidR="00464935">
        <w:rPr>
          <w:lang w:val="fr-FR"/>
        </w:rPr>
        <w:t> </w:t>
      </w:r>
      <w:r w:rsidRPr="00641682">
        <w:rPr>
          <w:lang w:val="fr-FR"/>
        </w:rPr>
        <w:t>2 ou de la série</w:t>
      </w:r>
      <w:r w:rsidR="00464935">
        <w:rPr>
          <w:lang w:val="fr-FR"/>
        </w:rPr>
        <w:t> </w:t>
      </w:r>
      <w:r w:rsidRPr="00641682">
        <w:rPr>
          <w:lang w:val="fr-FR"/>
        </w:rPr>
        <w:t>8 s</w:t>
      </w:r>
      <w:r>
        <w:rPr>
          <w:lang w:val="fr-FR"/>
        </w:rPr>
        <w:t>’</w:t>
      </w:r>
      <w:r w:rsidRPr="00641682">
        <w:rPr>
          <w:lang w:val="fr-FR"/>
        </w:rPr>
        <w:t>il y a lieu</w:t>
      </w:r>
      <w:r>
        <w:rPr>
          <w:lang w:val="fr-FR"/>
        </w:rPr>
        <w:t xml:space="preserve"> </w:t>
      </w:r>
      <w:r w:rsidRPr="00210164">
        <w:rPr>
          <w:lang w:val="fr-FR"/>
        </w:rPr>
        <w:t>pour vérifier l</w:t>
      </w:r>
      <w:r>
        <w:rPr>
          <w:lang w:val="fr-FR"/>
        </w:rPr>
        <w:t>’</w:t>
      </w:r>
      <w:r w:rsidRPr="00210164">
        <w:rPr>
          <w:lang w:val="fr-FR"/>
        </w:rPr>
        <w:t>exclusion de la classe</w:t>
      </w:r>
      <w:r>
        <w:rPr>
          <w:lang w:val="fr-FR"/>
        </w:rPr>
        <w:t>,</w:t>
      </w:r>
      <w:r w:rsidRPr="00210164">
        <w:rPr>
          <w:lang w:val="fr-FR"/>
        </w:rPr>
        <w:t xml:space="preserve"> ou, si la réponse est oui, </w:t>
      </w:r>
      <w:r>
        <w:rPr>
          <w:lang w:val="fr-FR"/>
        </w:rPr>
        <w:t xml:space="preserve">vers </w:t>
      </w:r>
      <w:r w:rsidRPr="00210164">
        <w:rPr>
          <w:lang w:val="fr-FR"/>
        </w:rPr>
        <w:t xml:space="preserve">les </w:t>
      </w:r>
      <w:r>
        <w:rPr>
          <w:lang w:val="fr-FR"/>
        </w:rPr>
        <w:t>séries d’</w:t>
      </w:r>
      <w:r w:rsidRPr="00210164">
        <w:rPr>
          <w:lang w:val="fr-FR"/>
        </w:rPr>
        <w:t>épreuves applicables pour la détermination d</w:t>
      </w:r>
      <w:r>
        <w:rPr>
          <w:lang w:val="fr-FR"/>
        </w:rPr>
        <w:t>’</w:t>
      </w:r>
      <w:r w:rsidRPr="00210164">
        <w:rPr>
          <w:lang w:val="fr-FR"/>
        </w:rPr>
        <w:t>une division. Le texte du 2.1.1.2 du SGH ne correspond pas à cette étape de classification du Manuel.</w:t>
      </w:r>
    </w:p>
    <w:p w14:paraId="28D52D7E" w14:textId="77777777" w:rsidR="00F06D8A" w:rsidRPr="00210164" w:rsidRDefault="00464935" w:rsidP="00464935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F06D8A" w:rsidRPr="00210164">
        <w:rPr>
          <w:lang w:val="fr-FR"/>
        </w:rPr>
        <w:t>Solution possible dans le SGH</w:t>
      </w:r>
    </w:p>
    <w:p w14:paraId="153F0268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7.</w:t>
      </w:r>
      <w:r w:rsidRPr="00210164">
        <w:rPr>
          <w:lang w:val="fr-FR"/>
        </w:rPr>
        <w:tab/>
        <w:t>Les représentants d</w:t>
      </w:r>
      <w:r>
        <w:rPr>
          <w:lang w:val="fr-FR"/>
        </w:rPr>
        <w:t xml:space="preserve">u </w:t>
      </w:r>
      <w:r w:rsidRPr="00641682">
        <w:rPr>
          <w:lang w:val="fr-FR"/>
        </w:rPr>
        <w:t>groupe d</w:t>
      </w:r>
      <w:r>
        <w:rPr>
          <w:lang w:val="fr-FR"/>
        </w:rPr>
        <w:t>’</w:t>
      </w:r>
      <w:r w:rsidRPr="00641682">
        <w:rPr>
          <w:lang w:val="fr-FR"/>
        </w:rPr>
        <w:t>experts</w:t>
      </w:r>
      <w:r w:rsidRPr="00210164">
        <w:rPr>
          <w:lang w:val="fr-FR"/>
        </w:rPr>
        <w:t xml:space="preserve"> des États-Unis d</w:t>
      </w:r>
      <w:r>
        <w:rPr>
          <w:lang w:val="fr-FR"/>
        </w:rPr>
        <w:t>’</w:t>
      </w:r>
      <w:r w:rsidRPr="00210164">
        <w:rPr>
          <w:lang w:val="fr-FR"/>
        </w:rPr>
        <w:t xml:space="preserve">Amérique ont </w:t>
      </w:r>
      <w:r>
        <w:rPr>
          <w:lang w:val="fr-FR"/>
        </w:rPr>
        <w:t>proposé l</w:t>
      </w:r>
      <w:r w:rsidRPr="00210164">
        <w:rPr>
          <w:lang w:val="fr-FR"/>
        </w:rPr>
        <w:t xml:space="preserve">es modifications suivantes lors de la récente réunion du </w:t>
      </w:r>
      <w:r w:rsidRPr="008758E8">
        <w:rPr>
          <w:lang w:val="fr-FR"/>
        </w:rPr>
        <w:t>groupe de travail des explosifs, de la poudre et des compositions pyrotechniques (EPP) qui relève du Groupe d</w:t>
      </w:r>
      <w:r>
        <w:rPr>
          <w:lang w:val="fr-FR"/>
        </w:rPr>
        <w:t>’</w:t>
      </w:r>
      <w:r w:rsidRPr="008758E8">
        <w:rPr>
          <w:lang w:val="fr-FR"/>
        </w:rPr>
        <w:t>experts international sur les risques d</w:t>
      </w:r>
      <w:r>
        <w:rPr>
          <w:lang w:val="fr-FR"/>
        </w:rPr>
        <w:t>’</w:t>
      </w:r>
      <w:r w:rsidRPr="008758E8">
        <w:rPr>
          <w:lang w:val="fr-FR"/>
        </w:rPr>
        <w:t xml:space="preserve">explosion des matières instables (IGUS) </w:t>
      </w:r>
      <w:r w:rsidRPr="00210164">
        <w:rPr>
          <w:lang w:val="fr-FR"/>
        </w:rPr>
        <w:t>(</w:t>
      </w:r>
      <w:r w:rsidRPr="008758E8">
        <w:rPr>
          <w:lang w:val="fr-FR"/>
        </w:rPr>
        <w:t>EPP</w:t>
      </w:r>
      <w:r>
        <w:rPr>
          <w:lang w:val="fr-FR"/>
        </w:rPr>
        <w:t>-</w:t>
      </w:r>
      <w:r w:rsidRPr="00210164">
        <w:rPr>
          <w:lang w:val="fr-FR"/>
        </w:rPr>
        <w:t>IGUS)</w:t>
      </w:r>
      <w:r w:rsidR="00464935">
        <w:rPr>
          <w:lang w:val="fr-FR"/>
        </w:rPr>
        <w:t> </w:t>
      </w:r>
      <w:r w:rsidRPr="00210164">
        <w:rPr>
          <w:lang w:val="fr-FR"/>
        </w:rPr>
        <w:t>:</w:t>
      </w:r>
    </w:p>
    <w:p w14:paraId="2D4C1C22" w14:textId="77777777" w:rsidR="00FC3C58" w:rsidRDefault="00F06D8A" w:rsidP="00FC3C58">
      <w:pPr>
        <w:pStyle w:val="SingleTxtG"/>
        <w:ind w:firstLine="567"/>
        <w:rPr>
          <w:lang w:val="fr-FR"/>
        </w:rPr>
      </w:pPr>
      <w:r w:rsidRPr="00210164">
        <w:rPr>
          <w:lang w:val="fr-FR"/>
        </w:rPr>
        <w:t>a)</w:t>
      </w:r>
      <w:r w:rsidRPr="00210164">
        <w:rPr>
          <w:lang w:val="fr-FR"/>
        </w:rPr>
        <w:tab/>
        <w:t xml:space="preserve">Les </w:t>
      </w:r>
      <w:r w:rsidRPr="00FC3C58">
        <w:rPr>
          <w:lang w:val="fr-FR"/>
        </w:rPr>
        <w:t>matières ou mélanges explosibles</w:t>
      </w:r>
      <w:r w:rsidRPr="00210164">
        <w:rPr>
          <w:lang w:val="fr-FR"/>
        </w:rPr>
        <w:t xml:space="preserve"> </w:t>
      </w:r>
      <w:r w:rsidRPr="00210164">
        <w:rPr>
          <w:u w:val="single"/>
          <w:lang w:val="fr-FR"/>
        </w:rPr>
        <w:t>produits pour leur effet explosif ou pyrotechnique</w:t>
      </w:r>
      <w:r w:rsidR="00FC3C58">
        <w:rPr>
          <w:lang w:val="fr-FR"/>
        </w:rPr>
        <w:t> </w:t>
      </w:r>
      <w:r w:rsidRPr="00210164">
        <w:rPr>
          <w:lang w:val="fr-FR"/>
        </w:rPr>
        <w:t>;</w:t>
      </w:r>
    </w:p>
    <w:p w14:paraId="5BE021B6" w14:textId="77777777" w:rsidR="00FC3C58" w:rsidRDefault="00F06D8A" w:rsidP="00FC3C58">
      <w:pPr>
        <w:pStyle w:val="SingleTxtG"/>
        <w:ind w:firstLine="567"/>
        <w:rPr>
          <w:lang w:val="fr-FR"/>
        </w:rPr>
      </w:pPr>
      <w:r w:rsidRPr="00210164">
        <w:rPr>
          <w:lang w:val="fr-FR"/>
        </w:rPr>
        <w:t>b)</w:t>
      </w:r>
      <w:r w:rsidRPr="00210164">
        <w:rPr>
          <w:lang w:val="fr-FR"/>
        </w:rPr>
        <w:tab/>
        <w:t xml:space="preserve">Les objets explosibles </w:t>
      </w:r>
      <w:r w:rsidRPr="00210164">
        <w:rPr>
          <w:u w:val="single"/>
          <w:lang w:val="fr-FR"/>
        </w:rPr>
        <w:t>produits pour leur effet explosif ou pyrotechnique</w:t>
      </w:r>
      <w:r w:rsidRPr="00210164">
        <w:rPr>
          <w:lang w:val="fr-FR"/>
        </w:rPr>
        <w:t xml:space="preserve">, </w:t>
      </w:r>
      <w:r w:rsidRPr="003F7F7D">
        <w:rPr>
          <w:lang w:val="fr-FR"/>
        </w:rPr>
        <w:t>à</w:t>
      </w:r>
      <w:r w:rsidR="00FC3C58">
        <w:rPr>
          <w:lang w:val="fr-FR"/>
        </w:rPr>
        <w:t> </w:t>
      </w:r>
      <w:r w:rsidRPr="003F7F7D">
        <w:rPr>
          <w:lang w:val="fr-FR"/>
        </w:rPr>
        <w:t>l</w:t>
      </w:r>
      <w:r>
        <w:rPr>
          <w:lang w:val="fr-FR"/>
        </w:rPr>
        <w:t>’</w:t>
      </w:r>
      <w:r w:rsidRPr="003F7F7D">
        <w:rPr>
          <w:lang w:val="fr-FR"/>
        </w:rPr>
        <w:t>exception des engins contenant des matières explosibles en quantité ou d</w:t>
      </w:r>
      <w:r>
        <w:rPr>
          <w:lang w:val="fr-FR"/>
        </w:rPr>
        <w:t>’</w:t>
      </w:r>
      <w:r w:rsidRPr="003F7F7D">
        <w:rPr>
          <w:lang w:val="fr-FR"/>
        </w:rPr>
        <w:t>une nature telle que leur allumage ou leur amorçage involontaire ou accidentel ne cause aucun effet de projection, incendiaire, fumigène ou calorifique ou sonore intense extérieur à l</w:t>
      </w:r>
      <w:r>
        <w:rPr>
          <w:lang w:val="fr-FR"/>
        </w:rPr>
        <w:t>’</w:t>
      </w:r>
      <w:r w:rsidRPr="003F7F7D">
        <w:rPr>
          <w:lang w:val="fr-FR"/>
        </w:rPr>
        <w:t>engin</w:t>
      </w:r>
      <w:r>
        <w:rPr>
          <w:lang w:val="fr-FR"/>
        </w:rPr>
        <w:t> </w:t>
      </w:r>
      <w:r w:rsidRPr="00210164">
        <w:rPr>
          <w:lang w:val="fr-FR"/>
        </w:rPr>
        <w:t>;</w:t>
      </w:r>
    </w:p>
    <w:p w14:paraId="407A2965" w14:textId="77777777" w:rsidR="00F06D8A" w:rsidRPr="00210164" w:rsidRDefault="00F06D8A" w:rsidP="00FC3C58">
      <w:pPr>
        <w:pStyle w:val="SingleTxtG"/>
        <w:ind w:firstLine="567"/>
      </w:pPr>
      <w:r w:rsidRPr="00210164">
        <w:rPr>
          <w:lang w:val="fr-FR"/>
        </w:rPr>
        <w:t>c)</w:t>
      </w:r>
      <w:r w:rsidRPr="00210164">
        <w:rPr>
          <w:lang w:val="fr-FR"/>
        </w:rPr>
        <w:tab/>
        <w:t xml:space="preserve">Les matières </w:t>
      </w:r>
      <w:r w:rsidRPr="00210164">
        <w:rPr>
          <w:strike/>
          <w:lang w:val="fr-FR"/>
        </w:rPr>
        <w:t>et objets</w:t>
      </w:r>
      <w:r w:rsidRPr="00210164">
        <w:rPr>
          <w:lang w:val="fr-FR"/>
        </w:rPr>
        <w:t xml:space="preserve"> non mentionnées sous a) et b) ci-dessus qui </w:t>
      </w:r>
      <w:r w:rsidRPr="00210164">
        <w:rPr>
          <w:strike/>
          <w:lang w:val="fr-FR"/>
        </w:rPr>
        <w:t>sont produits pour</w:t>
      </w:r>
      <w:r w:rsidR="00A24BBB">
        <w:rPr>
          <w:strike/>
          <w:lang w:val="fr-FR"/>
        </w:rPr>
        <w:t xml:space="preserve"> </w:t>
      </w:r>
      <w:r w:rsidRPr="00210164">
        <w:rPr>
          <w:strike/>
          <w:lang w:val="fr-FR"/>
        </w:rPr>
        <w:t>leur effet pratique explosif ou pyrotechnique</w:t>
      </w:r>
      <w:r w:rsidRPr="00210164">
        <w:rPr>
          <w:lang w:val="fr-FR"/>
        </w:rPr>
        <w:t xml:space="preserve"> ont des propriétés explosives </w:t>
      </w:r>
      <w:r w:rsidRPr="00BB00A0">
        <w:rPr>
          <w:u w:val="single"/>
          <w:lang w:val="fr-FR"/>
        </w:rPr>
        <w:t>au</w:t>
      </w:r>
      <w:r w:rsidR="00FC3C58">
        <w:rPr>
          <w:u w:val="single"/>
          <w:lang w:val="fr-FR"/>
        </w:rPr>
        <w:t> </w:t>
      </w:r>
      <w:r w:rsidRPr="00BB00A0">
        <w:rPr>
          <w:u w:val="single"/>
          <w:lang w:val="fr-FR"/>
        </w:rPr>
        <w:t>sens de la réglement</w:t>
      </w:r>
      <w:r>
        <w:rPr>
          <w:u w:val="single"/>
          <w:lang w:val="fr-FR"/>
        </w:rPr>
        <w:t>ation</w:t>
      </w:r>
      <w:r w:rsidRPr="00BB00A0" w:rsidDel="00BB00A0">
        <w:rPr>
          <w:lang w:val="fr-FR"/>
        </w:rPr>
        <w:t xml:space="preserve"> </w:t>
      </w:r>
      <w:r w:rsidRPr="00210164">
        <w:rPr>
          <w:lang w:val="fr-FR"/>
        </w:rPr>
        <w:t>(</w:t>
      </w:r>
      <w:r w:rsidRPr="007C2C9A">
        <w:rPr>
          <w:lang w:val="fr-FR"/>
        </w:rPr>
        <w:t xml:space="preserve">par exemple, elles </w:t>
      </w:r>
      <w:r w:rsidRPr="007C2C9A">
        <w:rPr>
          <w:u w:val="single"/>
          <w:lang w:val="fr-FR"/>
        </w:rPr>
        <w:t>obtiennent un résultat négati</w:t>
      </w:r>
      <w:r>
        <w:rPr>
          <w:u w:val="single"/>
          <w:lang w:val="fr-FR"/>
        </w:rPr>
        <w:t>f</w:t>
      </w:r>
      <w:r w:rsidRPr="00210164">
        <w:rPr>
          <w:lang w:val="fr-FR"/>
        </w:rPr>
        <w:t xml:space="preserve"> aux épreuves de la série</w:t>
      </w:r>
      <w:r w:rsidR="00FC3C58">
        <w:rPr>
          <w:lang w:val="fr-FR"/>
        </w:rPr>
        <w:t> </w:t>
      </w:r>
      <w:r w:rsidRPr="00210164">
        <w:rPr>
          <w:lang w:val="fr-FR"/>
        </w:rPr>
        <w:t>2 du Manuel d</w:t>
      </w:r>
      <w:r>
        <w:rPr>
          <w:lang w:val="fr-FR"/>
        </w:rPr>
        <w:t>’</w:t>
      </w:r>
      <w:r w:rsidRPr="00210164">
        <w:rPr>
          <w:lang w:val="fr-FR"/>
        </w:rPr>
        <w:t>épreuves et de critères).</w:t>
      </w:r>
    </w:p>
    <w:p w14:paraId="2992DF36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lastRenderedPageBreak/>
        <w:t>8.</w:t>
      </w:r>
      <w:r w:rsidRPr="00210164">
        <w:rPr>
          <w:lang w:val="fr-FR"/>
        </w:rPr>
        <w:tab/>
        <w:t>Depuis la réunion de l</w:t>
      </w:r>
      <w:r>
        <w:rPr>
          <w:lang w:val="fr-FR"/>
        </w:rPr>
        <w:t>’</w:t>
      </w:r>
      <w:r w:rsidRPr="00210164">
        <w:rPr>
          <w:lang w:val="fr-FR"/>
        </w:rPr>
        <w:t xml:space="preserve">IGUS, </w:t>
      </w:r>
      <w:r>
        <w:rPr>
          <w:lang w:val="fr-FR"/>
        </w:rPr>
        <w:t xml:space="preserve">le </w:t>
      </w:r>
      <w:r w:rsidRPr="00410CE0">
        <w:rPr>
          <w:lang w:val="fr-FR"/>
        </w:rPr>
        <w:t xml:space="preserve">SAAMI </w:t>
      </w:r>
      <w:r>
        <w:rPr>
          <w:lang w:val="fr-FR"/>
        </w:rPr>
        <w:t>a</w:t>
      </w:r>
      <w:r w:rsidRPr="00210164">
        <w:rPr>
          <w:lang w:val="fr-FR"/>
        </w:rPr>
        <w:t xml:space="preserve"> poursuivi la réflexion sur ce texte et </w:t>
      </w:r>
      <w:r w:rsidRPr="003142F2">
        <w:rPr>
          <w:lang w:val="fr-FR"/>
        </w:rPr>
        <w:t>la formulation suivante est proposé en remplacement de</w:t>
      </w:r>
      <w:r w:rsidRPr="00210164">
        <w:rPr>
          <w:lang w:val="fr-FR"/>
        </w:rPr>
        <w:t>s paragraphes 2.1.1.2</w:t>
      </w:r>
      <w:r w:rsidR="00F675CE">
        <w:rPr>
          <w:lang w:val="fr-FR"/>
        </w:rPr>
        <w:t> </w:t>
      </w:r>
      <w:r w:rsidRPr="00210164">
        <w:rPr>
          <w:lang w:val="fr-FR"/>
        </w:rPr>
        <w:t>a) à c) existants</w:t>
      </w:r>
      <w:r w:rsidR="00F675CE">
        <w:rPr>
          <w:lang w:val="fr-FR"/>
        </w:rPr>
        <w:t> </w:t>
      </w:r>
      <w:r w:rsidRPr="00210164">
        <w:rPr>
          <w:lang w:val="fr-FR"/>
        </w:rPr>
        <w:t>:</w:t>
      </w:r>
    </w:p>
    <w:p w14:paraId="0289D417" w14:textId="77777777" w:rsidR="00F06D8A" w:rsidRPr="00210164" w:rsidRDefault="00F06D8A" w:rsidP="00F675CE">
      <w:pPr>
        <w:pStyle w:val="SingleTxtG"/>
        <w:ind w:left="1701"/>
        <w:rPr>
          <w:u w:val="single"/>
        </w:rPr>
      </w:pPr>
      <w:r w:rsidRPr="00210164">
        <w:rPr>
          <w:lang w:val="fr-FR"/>
        </w:rPr>
        <w:t>«</w:t>
      </w:r>
      <w:r w:rsidR="00F675CE">
        <w:rPr>
          <w:lang w:val="fr-FR"/>
        </w:rPr>
        <w:t> </w:t>
      </w:r>
      <w:r w:rsidRPr="00210164">
        <w:rPr>
          <w:u w:val="single"/>
          <w:lang w:val="fr-FR"/>
        </w:rPr>
        <w:t>2.1.1.2.1</w:t>
      </w:r>
      <w:r w:rsidRPr="00210164">
        <w:rPr>
          <w:lang w:val="fr-FR"/>
        </w:rPr>
        <w:tab/>
      </w:r>
      <w:r w:rsidRPr="00210164">
        <w:rPr>
          <w:u w:val="single"/>
          <w:lang w:val="fr-FR"/>
        </w:rPr>
        <w:t xml:space="preserve">Les </w:t>
      </w:r>
      <w:r w:rsidRPr="00F675CE">
        <w:rPr>
          <w:u w:val="single"/>
          <w:lang w:val="fr-FR"/>
        </w:rPr>
        <w:t>matières et mélanges explosibles</w:t>
      </w:r>
      <w:r>
        <w:rPr>
          <w:u w:val="single"/>
          <w:lang w:val="fr-FR"/>
        </w:rPr>
        <w:t> </w:t>
      </w:r>
      <w:r w:rsidRPr="00210164">
        <w:rPr>
          <w:u w:val="single"/>
          <w:lang w:val="fr-FR"/>
        </w:rPr>
        <w:t>:</w:t>
      </w:r>
    </w:p>
    <w:p w14:paraId="7C9A360B" w14:textId="77777777" w:rsidR="00F675CE" w:rsidRDefault="00F06D8A" w:rsidP="00B8044C">
      <w:pPr>
        <w:pStyle w:val="SingleTxtG"/>
        <w:ind w:left="1701"/>
        <w:rPr>
          <w:u w:val="single"/>
          <w:lang w:val="fr-FR"/>
        </w:rPr>
      </w:pPr>
      <w:r w:rsidRPr="00DD2B29">
        <w:rPr>
          <w:u w:val="single"/>
          <w:lang w:val="fr-FR"/>
        </w:rPr>
        <w:t>a)</w:t>
      </w:r>
      <w:r w:rsidRPr="00DD2B29">
        <w:rPr>
          <w:u w:val="single"/>
          <w:lang w:val="fr-FR"/>
        </w:rPr>
        <w:tab/>
      </w:r>
      <w:r w:rsidR="00DD2B29" w:rsidRPr="00DD2B29">
        <w:rPr>
          <w:u w:val="single"/>
          <w:lang w:val="fr-FR"/>
        </w:rPr>
        <w:t>P</w:t>
      </w:r>
      <w:r w:rsidRPr="00DD2B29">
        <w:rPr>
          <w:u w:val="single"/>
          <w:lang w:val="fr-FR"/>
        </w:rPr>
        <w:t>roduits</w:t>
      </w:r>
      <w:r w:rsidRPr="00210164">
        <w:rPr>
          <w:u w:val="single"/>
          <w:lang w:val="fr-FR"/>
        </w:rPr>
        <w:t xml:space="preserve"> pour leur effet explosif ou pyrotechnique</w:t>
      </w:r>
      <w:r w:rsidR="00F675CE">
        <w:rPr>
          <w:u w:val="single"/>
          <w:lang w:val="fr-FR"/>
        </w:rPr>
        <w:t> </w:t>
      </w:r>
      <w:r w:rsidRPr="00210164">
        <w:rPr>
          <w:u w:val="single"/>
          <w:lang w:val="fr-FR"/>
        </w:rPr>
        <w:t>;</w:t>
      </w:r>
      <w:r w:rsidRPr="00210164">
        <w:rPr>
          <w:lang w:val="fr-FR"/>
        </w:rPr>
        <w:t xml:space="preserve"> </w:t>
      </w:r>
      <w:proofErr w:type="gramStart"/>
      <w:r w:rsidRPr="00210164">
        <w:rPr>
          <w:u w:val="single"/>
          <w:lang w:val="fr-FR"/>
        </w:rPr>
        <w:t>ou</w:t>
      </w:r>
      <w:proofErr w:type="gramEnd"/>
    </w:p>
    <w:p w14:paraId="43182CF9" w14:textId="77777777" w:rsidR="00F06D8A" w:rsidRPr="00210164" w:rsidRDefault="00F06D8A" w:rsidP="00B8044C">
      <w:pPr>
        <w:pStyle w:val="SingleTxtG"/>
        <w:ind w:left="1701"/>
        <w:rPr>
          <w:u w:val="single"/>
        </w:rPr>
      </w:pPr>
      <w:r w:rsidRPr="00210164">
        <w:rPr>
          <w:u w:val="single"/>
          <w:lang w:val="fr-FR"/>
        </w:rPr>
        <w:t>b</w:t>
      </w:r>
      <w:r w:rsidRPr="00DD2B29">
        <w:rPr>
          <w:u w:val="single"/>
          <w:lang w:val="fr-FR"/>
        </w:rPr>
        <w:t>)</w:t>
      </w:r>
      <w:r w:rsidRPr="00DD2B29">
        <w:rPr>
          <w:u w:val="single"/>
          <w:lang w:val="fr-FR"/>
        </w:rPr>
        <w:tab/>
      </w:r>
      <w:r w:rsidR="00DD2B29" w:rsidRPr="00DD2B29">
        <w:rPr>
          <w:u w:val="single"/>
          <w:lang w:val="fr-FR"/>
        </w:rPr>
        <w:t>Q</w:t>
      </w:r>
      <w:r w:rsidRPr="00DD2B29">
        <w:rPr>
          <w:u w:val="single"/>
          <w:lang w:val="fr-FR"/>
        </w:rPr>
        <w:t>ui ont</w:t>
      </w:r>
      <w:r w:rsidRPr="00BB00A0">
        <w:rPr>
          <w:u w:val="single"/>
          <w:lang w:val="fr-FR"/>
        </w:rPr>
        <w:t xml:space="preserve"> des propriétés explosives au sens de la réglementation</w:t>
      </w:r>
      <w:r w:rsidRPr="00BB00A0" w:rsidDel="00BB00A0">
        <w:rPr>
          <w:u w:val="single"/>
          <w:lang w:val="fr-FR"/>
        </w:rPr>
        <w:t xml:space="preserve"> </w:t>
      </w:r>
      <w:r w:rsidRPr="00BB00A0">
        <w:rPr>
          <w:u w:val="single"/>
          <w:lang w:val="fr-FR"/>
        </w:rPr>
        <w:t>(par exemple, elles obtiennent un résultat négatif aux épreuves de la série</w:t>
      </w:r>
      <w:r w:rsidR="00F675CE">
        <w:rPr>
          <w:u w:val="single"/>
          <w:lang w:val="fr-FR"/>
        </w:rPr>
        <w:t> </w:t>
      </w:r>
      <w:r w:rsidRPr="00BB00A0">
        <w:rPr>
          <w:u w:val="single"/>
          <w:lang w:val="fr-FR"/>
        </w:rPr>
        <w:t>1</w:t>
      </w:r>
      <w:r w:rsidRPr="00210164">
        <w:rPr>
          <w:u w:val="single"/>
          <w:lang w:val="fr-FR"/>
        </w:rPr>
        <w:t xml:space="preserve"> du Manuel d</w:t>
      </w:r>
      <w:r>
        <w:rPr>
          <w:u w:val="single"/>
          <w:lang w:val="fr-FR"/>
        </w:rPr>
        <w:t>’</w:t>
      </w:r>
      <w:r w:rsidRPr="00210164">
        <w:rPr>
          <w:u w:val="single"/>
          <w:lang w:val="fr-FR"/>
        </w:rPr>
        <w:t>épreuves et de critères).</w:t>
      </w:r>
    </w:p>
    <w:p w14:paraId="1182294C" w14:textId="77777777" w:rsidR="00F06D8A" w:rsidRPr="00210164" w:rsidRDefault="00F06D8A" w:rsidP="00F675CE">
      <w:pPr>
        <w:pStyle w:val="SingleTxtG"/>
        <w:ind w:left="1701"/>
        <w:rPr>
          <w:u w:val="single"/>
        </w:rPr>
      </w:pPr>
      <w:r w:rsidRPr="00DD2B29">
        <w:rPr>
          <w:u w:val="single"/>
          <w:lang w:val="fr-FR"/>
        </w:rPr>
        <w:t>2.1.1.2.2</w:t>
      </w:r>
      <w:r w:rsidRPr="00DD2B29">
        <w:rPr>
          <w:u w:val="single"/>
          <w:lang w:val="fr-FR"/>
        </w:rPr>
        <w:tab/>
      </w:r>
      <w:r w:rsidRPr="00210164">
        <w:rPr>
          <w:u w:val="single"/>
          <w:lang w:val="fr-FR"/>
        </w:rPr>
        <w:t>Les objets explosibles, à l</w:t>
      </w:r>
      <w:r>
        <w:rPr>
          <w:u w:val="single"/>
          <w:lang w:val="fr-FR"/>
        </w:rPr>
        <w:t>’</w:t>
      </w:r>
      <w:r w:rsidRPr="00210164">
        <w:rPr>
          <w:u w:val="single"/>
          <w:lang w:val="fr-FR"/>
        </w:rPr>
        <w:t>exception des engins contenant des matières explosibles en quantité ou d</w:t>
      </w:r>
      <w:r>
        <w:rPr>
          <w:u w:val="single"/>
          <w:lang w:val="fr-FR"/>
        </w:rPr>
        <w:t>’</w:t>
      </w:r>
      <w:r w:rsidRPr="00210164">
        <w:rPr>
          <w:u w:val="single"/>
          <w:lang w:val="fr-FR"/>
        </w:rPr>
        <w:t>une nature telle que leur allumage ou leur amorçage involontaire ou accidentel ne cause aucun effet de projection, incendiaire, fumigène ou calorifique ou sonore intense extérieur à l</w:t>
      </w:r>
      <w:r>
        <w:rPr>
          <w:u w:val="single"/>
          <w:lang w:val="fr-FR"/>
        </w:rPr>
        <w:t>’</w:t>
      </w:r>
      <w:r w:rsidRPr="00210164">
        <w:rPr>
          <w:u w:val="single"/>
          <w:lang w:val="fr-FR"/>
        </w:rPr>
        <w:t>engin</w:t>
      </w:r>
      <w:r w:rsidR="00F675CE" w:rsidRPr="00F675CE">
        <w:rPr>
          <w:u w:val="single"/>
          <w:lang w:val="fr-FR"/>
        </w:rPr>
        <w:t> </w:t>
      </w:r>
      <w:r w:rsidRPr="00F675CE">
        <w:rPr>
          <w:lang w:val="fr-FR"/>
        </w:rPr>
        <w:t>;</w:t>
      </w:r>
      <w:r w:rsidR="00F675CE" w:rsidRPr="00F675CE">
        <w:rPr>
          <w:lang w:val="fr-FR"/>
        </w:rPr>
        <w:t> »</w:t>
      </w:r>
      <w:r w:rsidRPr="00F675CE">
        <w:rPr>
          <w:lang w:val="fr-FR"/>
        </w:rPr>
        <w:t>.</w:t>
      </w:r>
    </w:p>
    <w:p w14:paraId="4976FE1C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9.</w:t>
      </w:r>
      <w:r w:rsidRPr="00210164">
        <w:rPr>
          <w:lang w:val="fr-FR"/>
        </w:rPr>
        <w:tab/>
      </w:r>
      <w:r>
        <w:rPr>
          <w:lang w:val="fr-FR"/>
        </w:rPr>
        <w:t>La nouvelle numérotation utilisée dans ce texte reprend le modèle utilisé dans le</w:t>
      </w:r>
      <w:r w:rsidR="00F675CE">
        <w:rPr>
          <w:lang w:val="fr-FR"/>
        </w:rPr>
        <w:t> </w:t>
      </w:r>
      <w:r w:rsidRPr="00210164">
        <w:rPr>
          <w:lang w:val="fr-FR"/>
        </w:rPr>
        <w:t>SGH</w:t>
      </w:r>
      <w:r>
        <w:rPr>
          <w:lang w:val="fr-FR"/>
        </w:rPr>
        <w:t xml:space="preserve"> pour </w:t>
      </w:r>
      <w:proofErr w:type="gramStart"/>
      <w:r>
        <w:rPr>
          <w:lang w:val="fr-FR"/>
        </w:rPr>
        <w:t xml:space="preserve">les </w:t>
      </w:r>
      <w:r w:rsidRPr="00063BB1">
        <w:rPr>
          <w:lang w:val="fr-FR"/>
        </w:rPr>
        <w:t>cinquième</w:t>
      </w:r>
      <w:proofErr w:type="gramEnd"/>
      <w:r w:rsidRPr="00063BB1">
        <w:rPr>
          <w:lang w:val="fr-FR"/>
        </w:rPr>
        <w:t xml:space="preserve"> et sixième niveaux</w:t>
      </w:r>
      <w:r>
        <w:rPr>
          <w:lang w:val="fr-FR"/>
        </w:rPr>
        <w:t>. P</w:t>
      </w:r>
      <w:r w:rsidRPr="00210164">
        <w:rPr>
          <w:lang w:val="fr-FR"/>
        </w:rPr>
        <w:t>ar exemple</w:t>
      </w:r>
      <w:r>
        <w:rPr>
          <w:lang w:val="fr-FR"/>
        </w:rPr>
        <w:t xml:space="preserve">, en ce qui concerne le </w:t>
      </w:r>
      <w:r w:rsidRPr="00063BB1">
        <w:rPr>
          <w:lang w:val="fr-FR"/>
        </w:rPr>
        <w:t>cinquième niveau</w:t>
      </w:r>
      <w:r>
        <w:rPr>
          <w:lang w:val="fr-FR"/>
        </w:rPr>
        <w:t>, le</w:t>
      </w:r>
      <w:r w:rsidRPr="00210164">
        <w:rPr>
          <w:lang w:val="fr-FR"/>
        </w:rPr>
        <w:t xml:space="preserve"> 2.1.1.2</w:t>
      </w:r>
      <w:r w:rsidR="00F675CE">
        <w:rPr>
          <w:lang w:val="fr-FR"/>
        </w:rPr>
        <w:t> </w:t>
      </w:r>
      <w:r w:rsidRPr="00210164">
        <w:rPr>
          <w:lang w:val="fr-FR"/>
        </w:rPr>
        <w:t>a) devient</w:t>
      </w:r>
      <w:r>
        <w:rPr>
          <w:lang w:val="fr-FR"/>
        </w:rPr>
        <w:t xml:space="preserve"> le</w:t>
      </w:r>
      <w:r w:rsidRPr="00210164">
        <w:rPr>
          <w:lang w:val="fr-FR"/>
        </w:rPr>
        <w:t xml:space="preserve"> 2.1.1.2.1</w:t>
      </w:r>
      <w:r>
        <w:rPr>
          <w:lang w:val="fr-FR"/>
        </w:rPr>
        <w:t>,</w:t>
      </w:r>
      <w:r w:rsidRPr="00210164">
        <w:rPr>
          <w:lang w:val="fr-FR"/>
        </w:rPr>
        <w:t xml:space="preserve"> le sixième niveau dev</w:t>
      </w:r>
      <w:r>
        <w:rPr>
          <w:lang w:val="fr-FR"/>
        </w:rPr>
        <w:t>enant le</w:t>
      </w:r>
      <w:r w:rsidRPr="00210164">
        <w:rPr>
          <w:lang w:val="fr-FR"/>
        </w:rPr>
        <w:t xml:space="preserve"> 2.1.1.2.1</w:t>
      </w:r>
      <w:r w:rsidR="00F675CE">
        <w:rPr>
          <w:lang w:val="fr-FR"/>
        </w:rPr>
        <w:t> </w:t>
      </w:r>
      <w:r w:rsidRPr="00210164">
        <w:rPr>
          <w:lang w:val="fr-FR"/>
        </w:rPr>
        <w:t>a). Les alinéas</w:t>
      </w:r>
      <w:r w:rsidR="00F675CE">
        <w:rPr>
          <w:lang w:val="fr-FR"/>
        </w:rPr>
        <w:t> </w:t>
      </w:r>
      <w:proofErr w:type="gramStart"/>
      <w:r w:rsidRPr="00210164">
        <w:rPr>
          <w:lang w:val="fr-FR"/>
        </w:rPr>
        <w:t>a</w:t>
      </w:r>
      <w:proofErr w:type="gramEnd"/>
      <w:r w:rsidRPr="00210164">
        <w:rPr>
          <w:lang w:val="fr-FR"/>
        </w:rPr>
        <w:t xml:space="preserve">) et c) existants sont regroupés </w:t>
      </w:r>
      <w:r>
        <w:rPr>
          <w:lang w:val="fr-FR"/>
        </w:rPr>
        <w:t>dans le</w:t>
      </w:r>
      <w:r w:rsidRPr="00210164">
        <w:rPr>
          <w:lang w:val="fr-FR"/>
        </w:rPr>
        <w:t xml:space="preserve"> 2.1.1.2.1 en</w:t>
      </w:r>
      <w:r>
        <w:rPr>
          <w:lang w:val="fr-FR"/>
        </w:rPr>
        <w:t xml:space="preserve"> tant qu’alinéas</w:t>
      </w:r>
      <w:r w:rsidR="00F675CE">
        <w:rPr>
          <w:lang w:val="fr-FR"/>
        </w:rPr>
        <w:t> </w:t>
      </w:r>
      <w:r w:rsidRPr="00210164">
        <w:rPr>
          <w:lang w:val="fr-FR"/>
        </w:rPr>
        <w:t>a) et b), car ils concernent tous deux des matières</w:t>
      </w:r>
      <w:r>
        <w:rPr>
          <w:lang w:val="fr-FR"/>
        </w:rPr>
        <w:t xml:space="preserve"> et des mélanges</w:t>
      </w:r>
      <w:r w:rsidRPr="00210164">
        <w:rPr>
          <w:lang w:val="fr-FR"/>
        </w:rPr>
        <w:t>, plutôt que des objets. L</w:t>
      </w:r>
      <w:r>
        <w:rPr>
          <w:lang w:val="fr-FR"/>
        </w:rPr>
        <w:t>’</w:t>
      </w:r>
      <w:r w:rsidRPr="00210164">
        <w:rPr>
          <w:lang w:val="fr-FR"/>
        </w:rPr>
        <w:t>alinéa</w:t>
      </w:r>
      <w:r w:rsidR="00F675CE">
        <w:rPr>
          <w:lang w:val="fr-FR"/>
        </w:rPr>
        <w:t> </w:t>
      </w:r>
      <w:r w:rsidRPr="00210164">
        <w:rPr>
          <w:lang w:val="fr-FR"/>
        </w:rPr>
        <w:t xml:space="preserve">b) actuel devient </w:t>
      </w:r>
      <w:r>
        <w:rPr>
          <w:lang w:val="fr-FR"/>
        </w:rPr>
        <w:t xml:space="preserve">le </w:t>
      </w:r>
      <w:r w:rsidRPr="00210164">
        <w:rPr>
          <w:lang w:val="fr-FR"/>
        </w:rPr>
        <w:t>2.1.1.2.2.</w:t>
      </w:r>
    </w:p>
    <w:p w14:paraId="74FF462B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10.</w:t>
      </w:r>
      <w:r w:rsidRPr="00210164">
        <w:rPr>
          <w:lang w:val="fr-FR"/>
        </w:rPr>
        <w:tab/>
      </w:r>
      <w:r>
        <w:rPr>
          <w:lang w:val="fr-FR"/>
        </w:rPr>
        <w:t>L</w:t>
      </w:r>
      <w:r w:rsidRPr="00210164">
        <w:rPr>
          <w:lang w:val="fr-FR"/>
        </w:rPr>
        <w:t>e nouveau 2.1.1.2.1, trait</w:t>
      </w:r>
      <w:r>
        <w:rPr>
          <w:lang w:val="fr-FR"/>
        </w:rPr>
        <w:t>e</w:t>
      </w:r>
      <w:r w:rsidRPr="00210164">
        <w:rPr>
          <w:lang w:val="fr-FR"/>
        </w:rPr>
        <w:t xml:space="preserve"> de la question de savoir </w:t>
      </w:r>
      <w:r>
        <w:rPr>
          <w:lang w:val="fr-FR"/>
        </w:rPr>
        <w:t>si l</w:t>
      </w:r>
      <w:r w:rsidRPr="00210164">
        <w:rPr>
          <w:lang w:val="fr-FR"/>
        </w:rPr>
        <w:t xml:space="preserve">es effets explosifs </w:t>
      </w:r>
      <w:r>
        <w:rPr>
          <w:lang w:val="fr-FR"/>
        </w:rPr>
        <w:t xml:space="preserve">sont </w:t>
      </w:r>
      <w:r w:rsidRPr="00210164">
        <w:rPr>
          <w:lang w:val="fr-FR"/>
        </w:rPr>
        <w:t xml:space="preserve">intentionnels ou non, et </w:t>
      </w:r>
      <w:r>
        <w:rPr>
          <w:lang w:val="fr-FR"/>
        </w:rPr>
        <w:t>établit pour cela la</w:t>
      </w:r>
      <w:r w:rsidRPr="00210164">
        <w:rPr>
          <w:lang w:val="fr-FR"/>
        </w:rPr>
        <w:t xml:space="preserve"> </w:t>
      </w:r>
      <w:r>
        <w:rPr>
          <w:lang w:val="fr-FR"/>
        </w:rPr>
        <w:t>distinction</w:t>
      </w:r>
      <w:r w:rsidRPr="00210164">
        <w:rPr>
          <w:lang w:val="fr-FR"/>
        </w:rPr>
        <w:t xml:space="preserve"> en</w:t>
      </w:r>
      <w:r>
        <w:rPr>
          <w:lang w:val="fr-FR"/>
        </w:rPr>
        <w:t>tre</w:t>
      </w:r>
      <w:r w:rsidRPr="00210164">
        <w:rPr>
          <w:lang w:val="fr-FR"/>
        </w:rPr>
        <w:t xml:space="preserve"> a) et b</w:t>
      </w:r>
      <w:r w:rsidRPr="00F675CE">
        <w:rPr>
          <w:lang w:val="fr-FR"/>
        </w:rPr>
        <w:t>). Le présent document n’étant qu’une ébauche, les épreuves de la série</w:t>
      </w:r>
      <w:r w:rsidR="00F675CE">
        <w:rPr>
          <w:lang w:val="fr-FR"/>
        </w:rPr>
        <w:t> </w:t>
      </w:r>
      <w:r w:rsidRPr="00F675CE">
        <w:rPr>
          <w:lang w:val="fr-FR"/>
        </w:rPr>
        <w:t>1 sont proposées</w:t>
      </w:r>
      <w:r w:rsidRPr="00210164">
        <w:rPr>
          <w:lang w:val="fr-FR"/>
        </w:rPr>
        <w:t xml:space="preserve"> au 2.1.1.2.1</w:t>
      </w:r>
      <w:r w:rsidR="00F675CE">
        <w:rPr>
          <w:lang w:val="fr-FR"/>
        </w:rPr>
        <w:t> </w:t>
      </w:r>
      <w:r w:rsidRPr="00210164">
        <w:rPr>
          <w:lang w:val="fr-FR"/>
        </w:rPr>
        <w:t xml:space="preserve">b) </w:t>
      </w:r>
      <w:r>
        <w:rPr>
          <w:lang w:val="fr-FR"/>
        </w:rPr>
        <w:t>à titre d’</w:t>
      </w:r>
      <w:r w:rsidRPr="00210164">
        <w:rPr>
          <w:lang w:val="fr-FR"/>
        </w:rPr>
        <w:t>exemple</w:t>
      </w:r>
      <w:r>
        <w:rPr>
          <w:lang w:val="fr-FR"/>
        </w:rPr>
        <w:t>. Cela</w:t>
      </w:r>
      <w:r w:rsidRPr="00210164">
        <w:rPr>
          <w:lang w:val="fr-FR"/>
        </w:rPr>
        <w:t xml:space="preserve"> pourrait constituer un nouveau seuil approprié pour la catégorie 1 dans le cadre des travaux sur la révision du chapitre</w:t>
      </w:r>
      <w:r w:rsidR="00F675CE">
        <w:rPr>
          <w:lang w:val="fr-FR"/>
        </w:rPr>
        <w:t> </w:t>
      </w:r>
      <w:r w:rsidRPr="00210164">
        <w:rPr>
          <w:lang w:val="fr-FR"/>
        </w:rPr>
        <w:t>2.1 du SGH. La catégorie</w:t>
      </w:r>
      <w:r w:rsidR="00F675CE">
        <w:rPr>
          <w:lang w:val="fr-FR"/>
        </w:rPr>
        <w:t> </w:t>
      </w:r>
      <w:r w:rsidRPr="00210164">
        <w:rPr>
          <w:lang w:val="fr-FR"/>
        </w:rPr>
        <w:t xml:space="preserve">2 conserverait </w:t>
      </w:r>
      <w:r>
        <w:rPr>
          <w:lang w:val="fr-FR"/>
        </w:rPr>
        <w:t>en tant que</w:t>
      </w:r>
      <w:r w:rsidRPr="00210164">
        <w:rPr>
          <w:lang w:val="fr-FR"/>
        </w:rPr>
        <w:t xml:space="preserve"> seuil la série d</w:t>
      </w:r>
      <w:r>
        <w:rPr>
          <w:lang w:val="fr-FR"/>
        </w:rPr>
        <w:t>’</w:t>
      </w:r>
      <w:r w:rsidRPr="00210164">
        <w:rPr>
          <w:lang w:val="fr-FR"/>
        </w:rPr>
        <w:t>épreuves</w:t>
      </w:r>
      <w:r w:rsidR="00F675CE">
        <w:rPr>
          <w:lang w:val="fr-FR"/>
        </w:rPr>
        <w:t> </w:t>
      </w:r>
      <w:r w:rsidRPr="00210164">
        <w:rPr>
          <w:lang w:val="fr-FR"/>
        </w:rPr>
        <w:t>2.</w:t>
      </w:r>
    </w:p>
    <w:p w14:paraId="0033E333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11.</w:t>
      </w:r>
      <w:r w:rsidRPr="00210164">
        <w:rPr>
          <w:lang w:val="fr-FR"/>
        </w:rPr>
        <w:tab/>
      </w:r>
      <w:r>
        <w:rPr>
          <w:lang w:val="fr-FR"/>
        </w:rPr>
        <w:t>Le</w:t>
      </w:r>
      <w:r w:rsidRPr="00210164">
        <w:rPr>
          <w:lang w:val="fr-FR"/>
        </w:rPr>
        <w:t xml:space="preserve"> 2.1.1.2.2, repren</w:t>
      </w:r>
      <w:r>
        <w:rPr>
          <w:lang w:val="fr-FR"/>
        </w:rPr>
        <w:t>d</w:t>
      </w:r>
      <w:r w:rsidRPr="00210164">
        <w:rPr>
          <w:lang w:val="fr-FR"/>
        </w:rPr>
        <w:t xml:space="preserve"> mot pour mot le texte existant du 2.1.1.2</w:t>
      </w:r>
      <w:r w:rsidR="00B8044C">
        <w:rPr>
          <w:lang w:val="fr-FR"/>
        </w:rPr>
        <w:t> </w:t>
      </w:r>
      <w:r w:rsidRPr="00210164">
        <w:rPr>
          <w:lang w:val="fr-FR"/>
        </w:rPr>
        <w:t>b). Cela a l</w:t>
      </w:r>
      <w:r>
        <w:rPr>
          <w:lang w:val="fr-FR"/>
        </w:rPr>
        <w:t>’</w:t>
      </w:r>
      <w:r w:rsidRPr="00210164">
        <w:rPr>
          <w:lang w:val="fr-FR"/>
        </w:rPr>
        <w:t>avantage d</w:t>
      </w:r>
      <w:r>
        <w:rPr>
          <w:lang w:val="fr-FR"/>
        </w:rPr>
        <w:t>’</w:t>
      </w:r>
      <w:r w:rsidRPr="00210164">
        <w:rPr>
          <w:lang w:val="fr-FR"/>
        </w:rPr>
        <w:t xml:space="preserve">éviter </w:t>
      </w:r>
      <w:r>
        <w:rPr>
          <w:lang w:val="fr-FR"/>
        </w:rPr>
        <w:t xml:space="preserve">la question de savoir s’il y a </w:t>
      </w:r>
      <w:r w:rsidRPr="00210164">
        <w:rPr>
          <w:lang w:val="fr-FR"/>
        </w:rPr>
        <w:t>un effet intentionnel. Les experts s</w:t>
      </w:r>
      <w:r>
        <w:rPr>
          <w:lang w:val="fr-FR"/>
        </w:rPr>
        <w:t>’</w:t>
      </w:r>
      <w:r w:rsidRPr="00210164">
        <w:rPr>
          <w:lang w:val="fr-FR"/>
        </w:rPr>
        <w:t>accordent généralement à dire qu</w:t>
      </w:r>
      <w:r>
        <w:rPr>
          <w:lang w:val="fr-FR"/>
        </w:rPr>
        <w:t>’</w:t>
      </w:r>
      <w:r w:rsidRPr="00210164">
        <w:rPr>
          <w:lang w:val="fr-FR"/>
        </w:rPr>
        <w:t>il n</w:t>
      </w:r>
      <w:r>
        <w:rPr>
          <w:lang w:val="fr-FR"/>
        </w:rPr>
        <w:t>’</w:t>
      </w:r>
      <w:r w:rsidRPr="00210164">
        <w:rPr>
          <w:lang w:val="fr-FR"/>
        </w:rPr>
        <w:t>y a pas d</w:t>
      </w:r>
      <w:r>
        <w:rPr>
          <w:lang w:val="fr-FR"/>
        </w:rPr>
        <w:t>’</w:t>
      </w:r>
      <w:r w:rsidRPr="00210164">
        <w:rPr>
          <w:lang w:val="fr-FR"/>
        </w:rPr>
        <w:t xml:space="preserve">objets </w:t>
      </w:r>
      <w:r w:rsidRPr="009405FF">
        <w:rPr>
          <w:lang w:val="fr-FR"/>
        </w:rPr>
        <w:t>involontaire</w:t>
      </w:r>
      <w:r>
        <w:rPr>
          <w:lang w:val="fr-FR"/>
        </w:rPr>
        <w:t>ment</w:t>
      </w:r>
      <w:r w:rsidRPr="009405FF">
        <w:rPr>
          <w:lang w:val="fr-FR"/>
        </w:rPr>
        <w:t xml:space="preserve"> </w:t>
      </w:r>
      <w:r w:rsidRPr="00210164">
        <w:rPr>
          <w:lang w:val="fr-FR"/>
        </w:rPr>
        <w:t>explosibles. Toutefois, en ce qui concerne l</w:t>
      </w:r>
      <w:r>
        <w:rPr>
          <w:lang w:val="fr-FR"/>
        </w:rPr>
        <w:t>’</w:t>
      </w:r>
      <w:r w:rsidRPr="00210164">
        <w:rPr>
          <w:lang w:val="fr-FR"/>
        </w:rPr>
        <w:t>exclusion des</w:t>
      </w:r>
      <w:r>
        <w:rPr>
          <w:lang w:val="fr-FR"/>
        </w:rPr>
        <w:t xml:space="preserve"> engins</w:t>
      </w:r>
      <w:r w:rsidRPr="00210164">
        <w:rPr>
          <w:lang w:val="fr-FR"/>
        </w:rPr>
        <w:t xml:space="preserve">, </w:t>
      </w:r>
      <w:r>
        <w:rPr>
          <w:lang w:val="fr-FR"/>
        </w:rPr>
        <w:t>on sait</w:t>
      </w:r>
      <w:r w:rsidRPr="00210164">
        <w:rPr>
          <w:lang w:val="fr-FR"/>
        </w:rPr>
        <w:t xml:space="preserve"> que, dans un </w:t>
      </w:r>
      <w:r>
        <w:rPr>
          <w:lang w:val="fr-FR"/>
        </w:rPr>
        <w:t>engin</w:t>
      </w:r>
      <w:r w:rsidRPr="00210164">
        <w:rPr>
          <w:lang w:val="fr-FR"/>
        </w:rPr>
        <w:t xml:space="preserve"> complexe, il peut y avoir confusion lorsqu</w:t>
      </w:r>
      <w:r>
        <w:rPr>
          <w:lang w:val="fr-FR"/>
        </w:rPr>
        <w:t>’</w:t>
      </w:r>
      <w:r w:rsidRPr="00210164">
        <w:rPr>
          <w:lang w:val="fr-FR"/>
        </w:rPr>
        <w:t xml:space="preserve">un objet explosible est </w:t>
      </w:r>
      <w:r>
        <w:rPr>
          <w:lang w:val="fr-FR"/>
        </w:rPr>
        <w:t>dominé</w:t>
      </w:r>
      <w:r w:rsidRPr="00210164">
        <w:rPr>
          <w:lang w:val="fr-FR"/>
        </w:rPr>
        <w:t xml:space="preserve"> par un dispositif inerte qui </w:t>
      </w:r>
      <w:r w:rsidRPr="00895F63">
        <w:rPr>
          <w:lang w:val="fr-FR"/>
        </w:rPr>
        <w:t>occulte</w:t>
      </w:r>
      <w:r w:rsidRPr="00895F63" w:rsidDel="00895F63">
        <w:rPr>
          <w:lang w:val="fr-FR"/>
        </w:rPr>
        <w:t xml:space="preserve"> </w:t>
      </w:r>
      <w:r w:rsidRPr="00210164">
        <w:rPr>
          <w:lang w:val="fr-FR"/>
        </w:rPr>
        <w:t>les effets de l</w:t>
      </w:r>
      <w:r>
        <w:rPr>
          <w:lang w:val="fr-FR"/>
        </w:rPr>
        <w:t>’</w:t>
      </w:r>
      <w:r w:rsidRPr="00210164">
        <w:rPr>
          <w:lang w:val="fr-FR"/>
        </w:rPr>
        <w:t>objet explosible, et ce texte évite les possibilités d</w:t>
      </w:r>
      <w:r>
        <w:rPr>
          <w:lang w:val="fr-FR"/>
        </w:rPr>
        <w:t>’</w:t>
      </w:r>
      <w:r w:rsidRPr="00210164">
        <w:rPr>
          <w:lang w:val="fr-FR"/>
        </w:rPr>
        <w:t>interprétation erronée.</w:t>
      </w:r>
    </w:p>
    <w:p w14:paraId="619FCD81" w14:textId="77777777" w:rsidR="00F06D8A" w:rsidRPr="00210164" w:rsidRDefault="00F06D8A" w:rsidP="00F06D8A">
      <w:pPr>
        <w:pStyle w:val="SingleTxtG"/>
      </w:pPr>
      <w:r w:rsidRPr="00210164">
        <w:rPr>
          <w:lang w:val="fr-FR"/>
        </w:rPr>
        <w:t>12.</w:t>
      </w:r>
      <w:r w:rsidRPr="00210164">
        <w:rPr>
          <w:lang w:val="fr-FR"/>
        </w:rPr>
        <w:tab/>
        <w:t>Ce texte est en corrélation directe avec la figure</w:t>
      </w:r>
      <w:r w:rsidR="00B8044C">
        <w:rPr>
          <w:lang w:val="fr-FR"/>
        </w:rPr>
        <w:t> </w:t>
      </w:r>
      <w:r w:rsidRPr="00210164">
        <w:rPr>
          <w:lang w:val="fr-FR"/>
        </w:rPr>
        <w:t>10.2 du Manuel (voir annexe). Le</w:t>
      </w:r>
      <w:r w:rsidR="00B8044C">
        <w:rPr>
          <w:lang w:val="fr-FR"/>
        </w:rPr>
        <w:t> </w:t>
      </w:r>
      <w:r w:rsidRPr="00210164">
        <w:rPr>
          <w:lang w:val="fr-FR"/>
        </w:rPr>
        <w:t>point 2.1.1.2.1</w:t>
      </w:r>
      <w:r w:rsidR="00B8044C">
        <w:rPr>
          <w:lang w:val="fr-FR"/>
        </w:rPr>
        <w:t> </w:t>
      </w:r>
      <w:r w:rsidRPr="00210164">
        <w:rPr>
          <w:lang w:val="fr-FR"/>
        </w:rPr>
        <w:t>a) permet de répondre «</w:t>
      </w:r>
      <w:r w:rsidR="00B8044C">
        <w:rPr>
          <w:lang w:val="fr-FR"/>
        </w:rPr>
        <w:t> </w:t>
      </w:r>
      <w:r w:rsidRPr="00210164">
        <w:rPr>
          <w:lang w:val="fr-FR"/>
        </w:rPr>
        <w:t>Oui</w:t>
      </w:r>
      <w:r w:rsidR="00B8044C">
        <w:rPr>
          <w:lang w:val="fr-FR"/>
        </w:rPr>
        <w:t> </w:t>
      </w:r>
      <w:r w:rsidRPr="00210164">
        <w:rPr>
          <w:lang w:val="fr-FR"/>
        </w:rPr>
        <w:t xml:space="preserve">» </w:t>
      </w:r>
      <w:r>
        <w:rPr>
          <w:lang w:val="fr-FR"/>
        </w:rPr>
        <w:t>après la case</w:t>
      </w:r>
      <w:r w:rsidR="00B8044C">
        <w:rPr>
          <w:lang w:val="fr-FR"/>
        </w:rPr>
        <w:t> </w:t>
      </w:r>
      <w:r w:rsidRPr="00210164">
        <w:rPr>
          <w:lang w:val="fr-FR"/>
        </w:rPr>
        <w:t>2. Le point 2.1.1.2.1</w:t>
      </w:r>
      <w:r w:rsidR="00B8044C">
        <w:rPr>
          <w:lang w:val="fr-FR"/>
        </w:rPr>
        <w:t> </w:t>
      </w:r>
      <w:r w:rsidRPr="00210164">
        <w:rPr>
          <w:lang w:val="fr-FR"/>
        </w:rPr>
        <w:t>b) suivant correspond à la réponse «</w:t>
      </w:r>
      <w:r w:rsidR="00B8044C">
        <w:rPr>
          <w:lang w:val="fr-FR"/>
        </w:rPr>
        <w:t> </w:t>
      </w:r>
      <w:r w:rsidRPr="00210164">
        <w:rPr>
          <w:lang w:val="fr-FR"/>
        </w:rPr>
        <w:t>Non</w:t>
      </w:r>
      <w:r w:rsidR="00B8044C">
        <w:rPr>
          <w:lang w:val="fr-FR"/>
        </w:rPr>
        <w:t> </w:t>
      </w:r>
      <w:r w:rsidRPr="00210164">
        <w:rPr>
          <w:lang w:val="fr-FR"/>
        </w:rPr>
        <w:t xml:space="preserve">». La section 2.1.1.2.2 </w:t>
      </w:r>
      <w:r>
        <w:rPr>
          <w:lang w:val="fr-FR"/>
        </w:rPr>
        <w:t>qui lui succède renvoie</w:t>
      </w:r>
      <w:r w:rsidRPr="00210164">
        <w:rPr>
          <w:lang w:val="fr-FR"/>
        </w:rPr>
        <w:t xml:space="preserve"> à l</w:t>
      </w:r>
      <w:r>
        <w:rPr>
          <w:lang w:val="fr-FR"/>
        </w:rPr>
        <w:t>a case</w:t>
      </w:r>
      <w:r w:rsidR="00B8044C">
        <w:rPr>
          <w:lang w:val="fr-FR"/>
        </w:rPr>
        <w:t> </w:t>
      </w:r>
      <w:r w:rsidRPr="00210164">
        <w:rPr>
          <w:lang w:val="fr-FR"/>
        </w:rPr>
        <w:t>18 pour la classification des objets explosibles.</w:t>
      </w:r>
    </w:p>
    <w:p w14:paraId="4A9BAD9F" w14:textId="77777777" w:rsidR="00F06D8A" w:rsidRPr="00210164" w:rsidRDefault="00F06D8A" w:rsidP="00B8044C">
      <w:pPr>
        <w:pStyle w:val="HChG"/>
      </w:pPr>
      <w:r w:rsidRPr="00210164">
        <w:rPr>
          <w:lang w:val="fr-FR"/>
        </w:rPr>
        <w:tab/>
      </w:r>
      <w:r w:rsidRPr="00210164">
        <w:rPr>
          <w:lang w:val="fr-FR"/>
        </w:rPr>
        <w:tab/>
        <w:t>Proposition</w:t>
      </w:r>
    </w:p>
    <w:p w14:paraId="51609A3B" w14:textId="77777777" w:rsidR="00F06D8A" w:rsidRDefault="00F06D8A" w:rsidP="00F06D8A">
      <w:pPr>
        <w:pStyle w:val="SingleTxtG"/>
        <w:rPr>
          <w:lang w:val="fr-FR"/>
        </w:rPr>
      </w:pPr>
      <w:r w:rsidRPr="00210164">
        <w:rPr>
          <w:lang w:val="fr-FR"/>
        </w:rPr>
        <w:t>13.</w:t>
      </w:r>
      <w:r w:rsidRPr="00210164">
        <w:rPr>
          <w:lang w:val="fr-FR"/>
        </w:rPr>
        <w:tab/>
      </w:r>
      <w:r>
        <w:rPr>
          <w:lang w:val="fr-FR"/>
        </w:rPr>
        <w:t>Le</w:t>
      </w:r>
      <w:r w:rsidRPr="00210164">
        <w:rPr>
          <w:lang w:val="fr-FR"/>
        </w:rPr>
        <w:t xml:space="preserve"> SAAMI </w:t>
      </w:r>
      <w:r>
        <w:rPr>
          <w:lang w:val="fr-FR"/>
        </w:rPr>
        <w:t xml:space="preserve">propose au </w:t>
      </w:r>
      <w:r w:rsidRPr="00B8044C">
        <w:rPr>
          <w:lang w:val="fr-FR"/>
        </w:rPr>
        <w:t>Groupe de travail des explosifs du</w:t>
      </w:r>
      <w:r w:rsidRPr="00210164">
        <w:rPr>
          <w:lang w:val="fr-FR"/>
        </w:rPr>
        <w:t xml:space="preserve"> Sous-Comité d</w:t>
      </w:r>
      <w:r>
        <w:rPr>
          <w:lang w:val="fr-FR"/>
        </w:rPr>
        <w:t>’</w:t>
      </w:r>
      <w:r w:rsidRPr="00210164">
        <w:rPr>
          <w:lang w:val="fr-FR"/>
        </w:rPr>
        <w:t xml:space="preserve">experts du transport des marchandises dangereuses, en </w:t>
      </w:r>
      <w:r>
        <w:rPr>
          <w:lang w:val="fr-FR"/>
        </w:rPr>
        <w:t>sa qualité de coordonnateur</w:t>
      </w:r>
      <w:r w:rsidRPr="00210164">
        <w:rPr>
          <w:lang w:val="fr-FR"/>
        </w:rPr>
        <w:t xml:space="preserve">, </w:t>
      </w:r>
      <w:r>
        <w:rPr>
          <w:lang w:val="fr-FR"/>
        </w:rPr>
        <w:t>d’</w:t>
      </w:r>
      <w:r w:rsidRPr="00210164">
        <w:rPr>
          <w:lang w:val="fr-FR"/>
        </w:rPr>
        <w:t>examine</w:t>
      </w:r>
      <w:r>
        <w:rPr>
          <w:lang w:val="fr-FR"/>
        </w:rPr>
        <w:t>r</w:t>
      </w:r>
      <w:r w:rsidRPr="00210164">
        <w:rPr>
          <w:lang w:val="fr-FR"/>
        </w:rPr>
        <w:t xml:space="preserve"> le texte proposé ci-dessus </w:t>
      </w:r>
      <w:r>
        <w:rPr>
          <w:lang w:val="fr-FR"/>
        </w:rPr>
        <w:t xml:space="preserve">à titre d’ébauche </w:t>
      </w:r>
      <w:r w:rsidRPr="00210164">
        <w:rPr>
          <w:lang w:val="fr-FR"/>
        </w:rPr>
        <w:t xml:space="preserve">et </w:t>
      </w:r>
      <w:r>
        <w:rPr>
          <w:lang w:val="fr-FR"/>
        </w:rPr>
        <w:t>de débattre</w:t>
      </w:r>
      <w:r w:rsidRPr="00210164">
        <w:rPr>
          <w:lang w:val="fr-FR"/>
        </w:rPr>
        <w:t xml:space="preserve"> des principes </w:t>
      </w:r>
      <w:r w:rsidRPr="00673B3D">
        <w:rPr>
          <w:lang w:val="fr-FR"/>
        </w:rPr>
        <w:t>pour l</w:t>
      </w:r>
      <w:r>
        <w:rPr>
          <w:lang w:val="fr-FR"/>
        </w:rPr>
        <w:t>’</w:t>
      </w:r>
      <w:r w:rsidRPr="00673B3D">
        <w:rPr>
          <w:lang w:val="fr-FR"/>
        </w:rPr>
        <w:t>intérêt intrinsèque qu</w:t>
      </w:r>
      <w:r>
        <w:rPr>
          <w:lang w:val="fr-FR"/>
        </w:rPr>
        <w:t>’</w:t>
      </w:r>
      <w:r w:rsidRPr="00673B3D">
        <w:rPr>
          <w:lang w:val="fr-FR"/>
        </w:rPr>
        <w:t>ils présentent</w:t>
      </w:r>
      <w:r w:rsidRPr="00210164">
        <w:rPr>
          <w:lang w:val="fr-FR"/>
        </w:rPr>
        <w:t xml:space="preserve"> au-delà des limites </w:t>
      </w:r>
      <w:r w:rsidRPr="00673B3D">
        <w:rPr>
          <w:lang w:val="fr-FR"/>
        </w:rPr>
        <w:t>du champ</w:t>
      </w:r>
      <w:r w:rsidRPr="00210164">
        <w:rPr>
          <w:lang w:val="fr-FR"/>
        </w:rPr>
        <w:t xml:space="preserve"> des travaux de révision du chapitre</w:t>
      </w:r>
      <w:r w:rsidR="00B8044C">
        <w:rPr>
          <w:lang w:val="fr-FR"/>
        </w:rPr>
        <w:t> </w:t>
      </w:r>
      <w:r w:rsidRPr="00210164">
        <w:rPr>
          <w:lang w:val="fr-FR"/>
        </w:rPr>
        <w:t>2.1 du SGH.</w:t>
      </w:r>
    </w:p>
    <w:p w14:paraId="0209B1BD" w14:textId="77777777" w:rsidR="00B8044C" w:rsidRDefault="00B8044C" w:rsidP="00A24BBB">
      <w:pPr>
        <w:pStyle w:val="HChG"/>
      </w:pPr>
      <w:r>
        <w:br w:type="page"/>
      </w:r>
      <w:r w:rsidRPr="00210164">
        <w:rPr>
          <w:lang w:val="fr-FR"/>
        </w:rPr>
        <w:lastRenderedPageBreak/>
        <w:t>Annexe</w:t>
      </w:r>
    </w:p>
    <w:p w14:paraId="48F44D24" w14:textId="77777777" w:rsidR="00B8044C" w:rsidRDefault="00F1030E" w:rsidP="00F1030E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B8044C" w:rsidRPr="00C344F8">
        <w:rPr>
          <w:b w:val="0"/>
          <w:sz w:val="20"/>
          <w:lang w:val="fr-FR"/>
        </w:rPr>
        <w:t>«</w:t>
      </w:r>
      <w:r w:rsidRPr="00C344F8">
        <w:rPr>
          <w:b w:val="0"/>
          <w:sz w:val="20"/>
          <w:lang w:val="fr-FR"/>
        </w:rPr>
        <w:t> </w:t>
      </w:r>
      <w:r w:rsidR="00B8044C" w:rsidRPr="00210164">
        <w:rPr>
          <w:lang w:val="fr-FR"/>
        </w:rPr>
        <w:t>Figure 10.2</w:t>
      </w:r>
      <w:r w:rsidR="00C344F8">
        <w:rPr>
          <w:lang w:val="fr-FR"/>
        </w:rPr>
        <w:t> </w:t>
      </w:r>
      <w:r w:rsidR="00B8044C" w:rsidRPr="00210164">
        <w:rPr>
          <w:lang w:val="fr-FR"/>
        </w:rPr>
        <w:t>: Procédure d</w:t>
      </w:r>
      <w:r w:rsidR="00B8044C">
        <w:rPr>
          <w:lang w:val="fr-FR"/>
        </w:rPr>
        <w:t>’</w:t>
      </w:r>
      <w:r w:rsidR="00B8044C" w:rsidRPr="00210164">
        <w:rPr>
          <w:lang w:val="fr-FR"/>
        </w:rPr>
        <w:t>acceptation temporaire d</w:t>
      </w:r>
      <w:r w:rsidR="00B8044C">
        <w:rPr>
          <w:lang w:val="fr-FR"/>
        </w:rPr>
        <w:t>’</w:t>
      </w:r>
      <w:r w:rsidR="00B8044C" w:rsidRPr="00210164">
        <w:rPr>
          <w:lang w:val="fr-FR"/>
        </w:rPr>
        <w:t>une matière ou d</w:t>
      </w:r>
      <w:r w:rsidR="00B8044C">
        <w:rPr>
          <w:lang w:val="fr-FR"/>
        </w:rPr>
        <w:t>’</w:t>
      </w:r>
      <w:r w:rsidR="00B8044C" w:rsidRPr="00210164">
        <w:rPr>
          <w:lang w:val="fr-FR"/>
        </w:rPr>
        <w:t>un objet dans la classe des matières et objets explosibles</w:t>
      </w:r>
    </w:p>
    <w:p w14:paraId="5F4041BC" w14:textId="77777777" w:rsidR="00A24BBB" w:rsidRPr="00DD2B29" w:rsidRDefault="00043EE3" w:rsidP="009156F0">
      <w:pPr>
        <w:pStyle w:val="SingleTxtG"/>
        <w:spacing w:before="240"/>
        <w:ind w:right="0"/>
        <w:jc w:val="right"/>
      </w:pPr>
      <w:r w:rsidRPr="00043EE3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258CCF0" wp14:editId="23BAD02E">
                <wp:simplePos x="0" y="0"/>
                <wp:positionH relativeFrom="column">
                  <wp:posOffset>3242310</wp:posOffset>
                </wp:positionH>
                <wp:positionV relativeFrom="paragraph">
                  <wp:posOffset>842010</wp:posOffset>
                </wp:positionV>
                <wp:extent cx="638175" cy="179705"/>
                <wp:effectExtent l="0" t="19050" r="47625" b="2984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97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047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55.3pt;margin-top:66.3pt;width:50.25pt;height:14.1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" adj="18559" fillcolor="#c00000" strokecolor="#c00000" strokeweight="2pt"/>
            </w:pict>
          </mc:Fallback>
        </mc:AlternateContent>
      </w:r>
      <w:r w:rsidRPr="00043EE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D14902" wp14:editId="07EAA979">
                <wp:simplePos x="0" y="0"/>
                <wp:positionH relativeFrom="column">
                  <wp:posOffset>4033520</wp:posOffset>
                </wp:positionH>
                <wp:positionV relativeFrom="paragraph">
                  <wp:posOffset>114935</wp:posOffset>
                </wp:positionV>
                <wp:extent cx="638175" cy="179705"/>
                <wp:effectExtent l="0" t="19050" r="47625" b="29845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797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D51C8" id="Arrow: Right 7" o:spid="_x0000_s1026" type="#_x0000_t13" style="position:absolute;margin-left:317.6pt;margin-top:9.05pt;width:50.25pt;height:1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" adj="18559" fillcolor="#c00000" strokecolor="#c00000" strokeweight="2pt"/>
            </w:pict>
          </mc:Fallback>
        </mc:AlternateContent>
      </w:r>
      <w:r w:rsidRPr="00043EE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742EF8" wp14:editId="143AB9C9">
                <wp:simplePos x="0" y="0"/>
                <wp:positionH relativeFrom="column">
                  <wp:posOffset>3228975</wp:posOffset>
                </wp:positionH>
                <wp:positionV relativeFrom="paragraph">
                  <wp:posOffset>53340</wp:posOffset>
                </wp:positionV>
                <wp:extent cx="805180" cy="276225"/>
                <wp:effectExtent l="0" t="0" r="698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18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3FF731" w14:textId="77777777" w:rsidR="00043EE3" w:rsidRDefault="00043EE3" w:rsidP="00043EE3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2.1.1.2.2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42EF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4.25pt;margin-top:4.2pt;width:63.4pt;height:21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" fillcolor="white [3201]" stroked="f" strokeweight=".5pt">
                <v:textbox>
                  <w:txbxContent>
                    <w:p w14:paraId="063FF731" w14:textId="77777777" w:rsidR="00043EE3" w:rsidRDefault="00043EE3" w:rsidP="00043EE3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2.1.1.2.2</w:t>
                      </w:r>
                    </w:p>
                  </w:txbxContent>
                </v:textbox>
              </v:shape>
            </w:pict>
          </mc:Fallback>
        </mc:AlternateContent>
      </w:r>
      <w:r w:rsidRPr="00043EE3">
        <w:rPr>
          <w:noProof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 wp14:anchorId="2BF617C2" wp14:editId="1AFA28BF">
                <wp:simplePos x="0" y="0"/>
                <wp:positionH relativeFrom="column">
                  <wp:posOffset>3010535</wp:posOffset>
                </wp:positionH>
                <wp:positionV relativeFrom="paragraph">
                  <wp:posOffset>514681</wp:posOffset>
                </wp:positionV>
                <wp:extent cx="1012190" cy="2762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21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0B770" w14:textId="77777777" w:rsidR="00043EE3" w:rsidRDefault="00043EE3" w:rsidP="00043EE3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2.1.1.2.1(a)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617C2" id="Text Box 4" o:spid="_x0000_s1027" type="#_x0000_t202" style="position:absolute;left:0;text-align:left;margin-left:237.05pt;margin-top:40.55pt;width:79.7pt;height:21.75pt;z-index:251557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" fillcolor="white [3201]" stroked="f" strokeweight=".5pt">
                <v:textbox>
                  <w:txbxContent>
                    <w:p w14:paraId="56A0B770" w14:textId="77777777" w:rsidR="00043EE3" w:rsidRDefault="00043EE3" w:rsidP="00043EE3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2.1.1.2.1(a)</w:t>
                      </w:r>
                    </w:p>
                  </w:txbxContent>
                </v:textbox>
              </v:shape>
            </w:pict>
          </mc:Fallback>
        </mc:AlternateContent>
      </w:r>
      <w:r w:rsidRPr="00043EE3">
        <w:rPr>
          <w:noProof/>
        </w:rPr>
        <mc:AlternateContent>
          <mc:Choice Requires="wps">
            <w:drawing>
              <wp:anchor distT="0" distB="0" distL="114300" distR="114300" simplePos="0" relativeHeight="251459584" behindDoc="0" locked="0" layoutInCell="1" allowOverlap="1" wp14:anchorId="09F9F4DE" wp14:editId="55339514">
                <wp:simplePos x="0" y="0"/>
                <wp:positionH relativeFrom="column">
                  <wp:posOffset>721360</wp:posOffset>
                </wp:positionH>
                <wp:positionV relativeFrom="paragraph">
                  <wp:posOffset>1775460</wp:posOffset>
                </wp:positionV>
                <wp:extent cx="1022350" cy="2762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3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38B5D9" w14:textId="77777777" w:rsidR="00043EE3" w:rsidRDefault="00043EE3" w:rsidP="00043EE3">
                            <w:pPr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>2.1.1.2.1(b)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F4DE" id="Text Box 5" o:spid="_x0000_s1028" type="#_x0000_t202" style="position:absolute;left:0;text-align:left;margin-left:56.8pt;margin-top:139.8pt;width:80.5pt;height:21.75pt;z-index:251459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" fillcolor="white [3201]" stroked="f" strokeweight=".5pt">
                <v:textbox>
                  <w:txbxContent>
                    <w:p w14:paraId="0F38B5D9" w14:textId="77777777" w:rsidR="00043EE3" w:rsidRDefault="00043EE3" w:rsidP="00043EE3">
                      <w:pPr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>2.1.1.2.1(b)</w:t>
                      </w:r>
                    </w:p>
                  </w:txbxContent>
                </v:textbox>
              </v:shape>
            </w:pict>
          </mc:Fallback>
        </mc:AlternateContent>
      </w:r>
      <w:r w:rsidRPr="00043EE3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6EB1574" wp14:editId="73A2E046">
                <wp:simplePos x="0" y="0"/>
                <wp:positionH relativeFrom="column">
                  <wp:posOffset>1565910</wp:posOffset>
                </wp:positionH>
                <wp:positionV relativeFrom="paragraph">
                  <wp:posOffset>1880566</wp:posOffset>
                </wp:positionV>
                <wp:extent cx="638175" cy="179705"/>
                <wp:effectExtent l="635" t="0" r="10160" b="29210"/>
                <wp:wrapNone/>
                <wp:docPr id="9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179705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0682" id="Arrow: Right 3" o:spid="_x0000_s1026" type="#_x0000_t13" style="position:absolute;margin-left:123.3pt;margin-top:148.1pt;width:50.25pt;height:14.15pt;rotation:90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" adj="18559" fillcolor="#c00000" strokecolor="#c00000" strokeweight="2pt"/>
            </w:pict>
          </mc:Fallback>
        </mc:AlternateContent>
      </w:r>
      <w:r w:rsidR="00FA3CE0">
        <w:object w:dxaOrig="8836" w:dyaOrig="11521" w14:anchorId="53DE02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8in" o:ole="">
            <v:imagedata r:id="rId8" o:title=""/>
          </v:shape>
          <o:OLEObject Type="Embed" ProgID="Visio.Drawing.15" ShapeID="_x0000_i1025" DrawAspect="Content" ObjectID="_1619416390" r:id="rId9"/>
        </w:object>
      </w:r>
      <w:r w:rsidR="00DD2B29">
        <w:t> ».</w:t>
      </w:r>
    </w:p>
    <w:p w14:paraId="3F26AA1B" w14:textId="77777777" w:rsidR="00C344F8" w:rsidRPr="00FA3CE0" w:rsidRDefault="00FA3CE0" w:rsidP="00FA3CE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4F8" w:rsidRPr="00FA3CE0" w:rsidSect="00C170E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26590" w14:textId="77777777" w:rsidR="00200A67" w:rsidRDefault="00200A67" w:rsidP="00F95C08">
      <w:pPr>
        <w:spacing w:line="240" w:lineRule="auto"/>
      </w:pPr>
    </w:p>
  </w:endnote>
  <w:endnote w:type="continuationSeparator" w:id="0">
    <w:p w14:paraId="751396ED" w14:textId="77777777" w:rsidR="00200A67" w:rsidRPr="00AC3823" w:rsidRDefault="00200A67" w:rsidP="00AC3823">
      <w:pPr>
        <w:pStyle w:val="Footer"/>
      </w:pPr>
    </w:p>
  </w:endnote>
  <w:endnote w:type="continuationNotice" w:id="1">
    <w:p w14:paraId="7AE7FBB8" w14:textId="77777777" w:rsidR="00200A67" w:rsidRDefault="00200A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1014" w14:textId="77777777" w:rsidR="00C170E5" w:rsidRPr="00C170E5" w:rsidRDefault="00C170E5" w:rsidP="00C170E5">
    <w:pPr>
      <w:pStyle w:val="Footer"/>
      <w:tabs>
        <w:tab w:val="right" w:pos="9638"/>
      </w:tabs>
    </w:pPr>
    <w:r w:rsidRPr="00C170E5">
      <w:rPr>
        <w:b/>
        <w:sz w:val="18"/>
      </w:rPr>
      <w:fldChar w:fldCharType="begin"/>
    </w:r>
    <w:r w:rsidRPr="00C170E5">
      <w:rPr>
        <w:b/>
        <w:sz w:val="18"/>
      </w:rPr>
      <w:instrText xml:space="preserve"> PAGE  \* MERGEFORMAT </w:instrText>
    </w:r>
    <w:r w:rsidRPr="00C170E5">
      <w:rPr>
        <w:b/>
        <w:sz w:val="18"/>
      </w:rPr>
      <w:fldChar w:fldCharType="separate"/>
    </w:r>
    <w:r w:rsidRPr="00C170E5">
      <w:rPr>
        <w:b/>
        <w:noProof/>
        <w:sz w:val="18"/>
      </w:rPr>
      <w:t>2</w:t>
    </w:r>
    <w:r w:rsidRPr="00C170E5">
      <w:rPr>
        <w:b/>
        <w:sz w:val="18"/>
      </w:rPr>
      <w:fldChar w:fldCharType="end"/>
    </w:r>
    <w:r>
      <w:rPr>
        <w:b/>
        <w:sz w:val="18"/>
      </w:rPr>
      <w:tab/>
    </w:r>
    <w:r>
      <w:t>GE.19-06394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5223D" w14:textId="77777777" w:rsidR="00C170E5" w:rsidRPr="00C170E5" w:rsidRDefault="00C170E5" w:rsidP="00C170E5">
    <w:pPr>
      <w:pStyle w:val="Footer"/>
      <w:tabs>
        <w:tab w:val="right" w:pos="9638"/>
      </w:tabs>
      <w:rPr>
        <w:b/>
        <w:sz w:val="18"/>
      </w:rPr>
    </w:pPr>
    <w:r>
      <w:t>GE.19-06394</w:t>
    </w:r>
    <w:r>
      <w:tab/>
    </w:r>
    <w:r w:rsidRPr="00C170E5">
      <w:rPr>
        <w:b/>
        <w:sz w:val="18"/>
      </w:rPr>
      <w:fldChar w:fldCharType="begin"/>
    </w:r>
    <w:r w:rsidRPr="00C170E5">
      <w:rPr>
        <w:b/>
        <w:sz w:val="18"/>
      </w:rPr>
      <w:instrText xml:space="preserve"> PAGE  \* MERGEFORMAT </w:instrText>
    </w:r>
    <w:r w:rsidRPr="00C170E5">
      <w:rPr>
        <w:b/>
        <w:sz w:val="18"/>
      </w:rPr>
      <w:fldChar w:fldCharType="separate"/>
    </w:r>
    <w:r w:rsidRPr="00C170E5">
      <w:rPr>
        <w:b/>
        <w:noProof/>
        <w:sz w:val="18"/>
      </w:rPr>
      <w:t>3</w:t>
    </w:r>
    <w:r w:rsidRPr="00C170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2D2A" w14:textId="77777777" w:rsidR="0068456F" w:rsidRPr="00C170E5" w:rsidRDefault="00C170E5" w:rsidP="00C170E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258456E8" wp14:editId="6106C98A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06394  (</w:t>
    </w:r>
    <w:proofErr w:type="gramEnd"/>
    <w:r>
      <w:rPr>
        <w:sz w:val="20"/>
      </w:rPr>
      <w:t>F)    140519    140519</w:t>
    </w:r>
    <w:r>
      <w:rPr>
        <w:sz w:val="20"/>
      </w:rPr>
      <w:br/>
    </w:r>
    <w:r w:rsidRPr="00C170E5">
      <w:rPr>
        <w:rFonts w:ascii="C39T30Lfz" w:hAnsi="C39T30Lfz"/>
        <w:sz w:val="56"/>
      </w:rPr>
      <w:t></w:t>
    </w:r>
    <w:r w:rsidRPr="00C170E5">
      <w:rPr>
        <w:rFonts w:ascii="C39T30Lfz" w:hAnsi="C39T30Lfz"/>
        <w:sz w:val="56"/>
      </w:rPr>
      <w:t></w:t>
    </w:r>
    <w:r w:rsidRPr="00C170E5">
      <w:rPr>
        <w:rFonts w:ascii="C39T30Lfz" w:hAnsi="C39T30Lfz"/>
        <w:sz w:val="56"/>
      </w:rPr>
      <w:t></w:t>
    </w:r>
    <w:r w:rsidRPr="00C170E5">
      <w:rPr>
        <w:rFonts w:ascii="C39T30Lfz" w:hAnsi="C39T30Lfz"/>
        <w:sz w:val="56"/>
      </w:rPr>
      <w:t></w:t>
    </w:r>
    <w:r w:rsidRPr="00C170E5">
      <w:rPr>
        <w:rFonts w:ascii="C39T30Lfz" w:hAnsi="C39T30Lfz"/>
        <w:sz w:val="56"/>
      </w:rPr>
      <w:t></w:t>
    </w:r>
    <w:r w:rsidRPr="00C170E5">
      <w:rPr>
        <w:rFonts w:ascii="C39T30Lfz" w:hAnsi="C39T30Lfz"/>
        <w:sz w:val="56"/>
      </w:rPr>
      <w:t></w:t>
    </w:r>
    <w:r w:rsidRPr="00C170E5">
      <w:rPr>
        <w:rFonts w:ascii="C39T30Lfz" w:hAnsi="C39T30Lfz"/>
        <w:sz w:val="56"/>
      </w:rPr>
      <w:t></w:t>
    </w:r>
    <w:r w:rsidRPr="00C170E5">
      <w:rPr>
        <w:rFonts w:ascii="C39T30Lfz" w:hAnsi="C39T30Lfz"/>
        <w:sz w:val="56"/>
      </w:rPr>
      <w:t></w:t>
    </w:r>
    <w:r w:rsidRPr="00C170E5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5C6E9A02" wp14:editId="1A1727A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ST/SG/AC.10/C.4/2019/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ST/SG/AC.10/C.4/2019/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8904A" w14:textId="77777777" w:rsidR="00200A67" w:rsidRPr="00AC3823" w:rsidRDefault="00200A6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458CA2" w14:textId="77777777" w:rsidR="00200A67" w:rsidRPr="00AC3823" w:rsidRDefault="00200A67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80424A" w14:textId="77777777" w:rsidR="00200A67" w:rsidRPr="00AC3823" w:rsidRDefault="00200A67">
      <w:pPr>
        <w:spacing w:line="240" w:lineRule="auto"/>
        <w:rPr>
          <w:sz w:val="2"/>
          <w:szCs w:val="2"/>
        </w:rPr>
      </w:pPr>
    </w:p>
  </w:footnote>
  <w:footnote w:id="2">
    <w:p w14:paraId="05580A5B" w14:textId="77777777" w:rsidR="00F06D8A" w:rsidRPr="00F06D8A" w:rsidRDefault="00F06D8A">
      <w:pPr>
        <w:pStyle w:val="FootnoteText"/>
      </w:pPr>
      <w:r>
        <w:rPr>
          <w:rStyle w:val="FootnoteReference"/>
        </w:rPr>
        <w:tab/>
      </w:r>
      <w:r w:rsidRPr="00F06D8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Sous-Comité des transports intérieurs pour la période 2019-2020, approuvé par le Comité à sa neuvième session (voir ST/SG/AC.10/C.3/108, par. 141, et ST/SG/AC.10/46, par. 14).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7B5BA" w14:textId="0E4304D1" w:rsidR="00C170E5" w:rsidRPr="00C170E5" w:rsidRDefault="009156F0">
    <w:pPr>
      <w:pStyle w:val="Header"/>
    </w:pPr>
    <w:fldSimple w:instr=" TITLE  \* MERGEFORMAT ">
      <w:r w:rsidR="00EA5DE0">
        <w:t>ST/SG/AC.10/C.4/2019/7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52D77" w14:textId="2D7B1E4C" w:rsidR="00C170E5" w:rsidRPr="00C170E5" w:rsidRDefault="009156F0" w:rsidP="00C170E5">
    <w:pPr>
      <w:pStyle w:val="Header"/>
      <w:jc w:val="right"/>
    </w:pPr>
    <w:fldSimple w:instr=" TITLE  \* MERGEFORMAT ">
      <w:r w:rsidR="00EA5DE0">
        <w:t>ST/SG/AC.10/C.4/2019/7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67"/>
    <w:rsid w:val="00017F94"/>
    <w:rsid w:val="00023842"/>
    <w:rsid w:val="000305D3"/>
    <w:rsid w:val="000334F9"/>
    <w:rsid w:val="00034F47"/>
    <w:rsid w:val="00043EE3"/>
    <w:rsid w:val="0007796D"/>
    <w:rsid w:val="000B7790"/>
    <w:rsid w:val="00111F2F"/>
    <w:rsid w:val="00132EA9"/>
    <w:rsid w:val="0014365E"/>
    <w:rsid w:val="00176178"/>
    <w:rsid w:val="001F525A"/>
    <w:rsid w:val="00200A67"/>
    <w:rsid w:val="00223272"/>
    <w:rsid w:val="0024779E"/>
    <w:rsid w:val="00283190"/>
    <w:rsid w:val="002832AC"/>
    <w:rsid w:val="002D7C93"/>
    <w:rsid w:val="00441C3B"/>
    <w:rsid w:val="00446FE5"/>
    <w:rsid w:val="00452396"/>
    <w:rsid w:val="00464935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7C4F9A"/>
    <w:rsid w:val="0080684C"/>
    <w:rsid w:val="00871C75"/>
    <w:rsid w:val="008776DC"/>
    <w:rsid w:val="008B40CD"/>
    <w:rsid w:val="009156F0"/>
    <w:rsid w:val="009705C8"/>
    <w:rsid w:val="00972CA0"/>
    <w:rsid w:val="009C1CF4"/>
    <w:rsid w:val="009F4AF6"/>
    <w:rsid w:val="00A24BBB"/>
    <w:rsid w:val="00A30353"/>
    <w:rsid w:val="00AC3823"/>
    <w:rsid w:val="00AE323C"/>
    <w:rsid w:val="00B00181"/>
    <w:rsid w:val="00B00B0D"/>
    <w:rsid w:val="00B765F7"/>
    <w:rsid w:val="00B8044C"/>
    <w:rsid w:val="00BA0CA9"/>
    <w:rsid w:val="00C02897"/>
    <w:rsid w:val="00C170E5"/>
    <w:rsid w:val="00C344F8"/>
    <w:rsid w:val="00D3439C"/>
    <w:rsid w:val="00DB1831"/>
    <w:rsid w:val="00DD2B29"/>
    <w:rsid w:val="00DD3BFD"/>
    <w:rsid w:val="00DF6678"/>
    <w:rsid w:val="00EA5DE0"/>
    <w:rsid w:val="00EF2E22"/>
    <w:rsid w:val="00F01738"/>
    <w:rsid w:val="00F01C4B"/>
    <w:rsid w:val="00F06D8A"/>
    <w:rsid w:val="00F1030E"/>
    <w:rsid w:val="00F660DF"/>
    <w:rsid w:val="00F675CE"/>
    <w:rsid w:val="00F730C8"/>
    <w:rsid w:val="00F95C08"/>
    <w:rsid w:val="00FA3CE0"/>
    <w:rsid w:val="00F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0C6BDB"/>
  <w15:docId w15:val="{435109BD-8493-487A-BB94-0C21F0E3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ST/SG/AC.10/C.4/2019/7</vt:lpstr>
      <vt:lpstr>ST/SG/AC.10/C.4/2019/7</vt:lpstr>
    </vt:vector>
  </TitlesOfParts>
  <Company>DCM</Company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ST/SG/AC.10/C.4/2019/7</dc:title>
  <dc:subject/>
  <dc:creator>xx</dc:creator>
  <cp:keywords/>
  <cp:lastModifiedBy>Laurence Berthet</cp:lastModifiedBy>
  <cp:revision>3</cp:revision>
  <cp:lastPrinted>2019-05-15T07:02:00Z</cp:lastPrinted>
  <dcterms:created xsi:type="dcterms:W3CDTF">2019-05-15T07:02:00Z</dcterms:created>
  <dcterms:modified xsi:type="dcterms:W3CDTF">2019-05-15T07:07:00Z</dcterms:modified>
</cp:coreProperties>
</file>