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3E7127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7423A4AF" w:rsidR="0095385C" w:rsidRPr="003E7127" w:rsidRDefault="0095385C" w:rsidP="00E86659">
            <w:pPr>
              <w:jc w:val="right"/>
              <w:rPr>
                <w:highlight w:val="yellow"/>
              </w:rPr>
            </w:pPr>
            <w:r w:rsidRPr="00D6238C">
              <w:rPr>
                <w:sz w:val="40"/>
              </w:rPr>
              <w:t>ST</w:t>
            </w:r>
            <w:r w:rsidRPr="00D6238C">
              <w:t>/SG/AC.10/C.4/</w:t>
            </w:r>
            <w:r w:rsidR="00145659" w:rsidRPr="00D6238C">
              <w:t>201</w:t>
            </w:r>
            <w:r w:rsidR="00145659">
              <w:t>9</w:t>
            </w:r>
            <w:r w:rsidRPr="00D6238C">
              <w:t>/</w:t>
            </w:r>
            <w:r w:rsidR="00BC639D">
              <w:t>2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5C7EB04C" w:rsidR="0095385C" w:rsidRPr="00BC639D" w:rsidRDefault="008C7A3A" w:rsidP="0095385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 April</w:t>
            </w:r>
            <w:r w:rsidR="00145659" w:rsidRPr="00BC639D">
              <w:rPr>
                <w:bCs/>
              </w:rPr>
              <w:t xml:space="preserve"> 2019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11C256AB" w14:textId="77777777" w:rsidR="00FC5E7C" w:rsidRPr="009F0F06" w:rsidRDefault="00FC5E7C" w:rsidP="00FC5E7C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678386F4" w14:textId="77777777" w:rsidR="00FC5E7C" w:rsidRPr="009F0F06" w:rsidRDefault="00FC5E7C" w:rsidP="00BA58F0">
      <w:pPr>
        <w:spacing w:before="120" w:after="24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tbl>
      <w:tblPr>
        <w:tblStyle w:val="TableGrid"/>
        <w:tblW w:w="1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4593"/>
        <w:gridCol w:w="5046"/>
      </w:tblGrid>
      <w:tr w:rsidR="00BA58F0" w14:paraId="57E194B1" w14:textId="77777777" w:rsidTr="003D4171">
        <w:tc>
          <w:tcPr>
            <w:tcW w:w="6521" w:type="dxa"/>
            <w:shd w:val="clear" w:color="auto" w:fill="auto"/>
          </w:tcPr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BA58F0" w:rsidRPr="003B5F49" w14:paraId="79DB38FC" w14:textId="77777777" w:rsidTr="00496937">
              <w:tc>
                <w:tcPr>
                  <w:tcW w:w="9639" w:type="dxa"/>
                </w:tcPr>
                <w:p w14:paraId="05DC920A" w14:textId="22897338" w:rsidR="00BA58F0" w:rsidRPr="003B5F49" w:rsidRDefault="00BA58F0" w:rsidP="00BA58F0">
                  <w:pPr>
                    <w:rPr>
                      <w:b/>
                    </w:rPr>
                  </w:pPr>
                  <w:r w:rsidRPr="003B5F49">
                    <w:rPr>
                      <w:b/>
                    </w:rPr>
                    <w:t>Thirty-</w:t>
                  </w:r>
                  <w:r w:rsidR="00241D30">
                    <w:rPr>
                      <w:b/>
                    </w:rPr>
                    <w:t>seventh</w:t>
                  </w:r>
                  <w:r w:rsidRPr="003B5F49">
                    <w:rPr>
                      <w:b/>
                    </w:rPr>
                    <w:t xml:space="preserve"> session</w:t>
                  </w:r>
                </w:p>
              </w:tc>
            </w:tr>
            <w:tr w:rsidR="00BA58F0" w:rsidRPr="003B5F49" w14:paraId="251F9B28" w14:textId="77777777" w:rsidTr="00496937">
              <w:trPr>
                <w:trHeight w:val="1016"/>
              </w:trPr>
              <w:tc>
                <w:tcPr>
                  <w:tcW w:w="9639" w:type="dxa"/>
                </w:tcPr>
                <w:p w14:paraId="6A2613F4" w14:textId="6C50A4D8" w:rsidR="00BA58F0" w:rsidRPr="003B5F49" w:rsidRDefault="00BA58F0" w:rsidP="00BA58F0">
                  <w:r w:rsidRPr="003B5F49">
                    <w:t>Geneva,</w:t>
                  </w:r>
                  <w:r w:rsidR="00241D30" w:rsidRPr="00283442">
                    <w:t xml:space="preserve"> </w:t>
                  </w:r>
                  <w:r w:rsidR="00241D30">
                    <w:t>8-10 July 2019</w:t>
                  </w:r>
                </w:p>
                <w:p w14:paraId="51D873F2" w14:textId="1B273231" w:rsidR="00BA58F0" w:rsidRPr="003B5F49" w:rsidRDefault="00BA58F0" w:rsidP="00BA58F0">
                  <w:r>
                    <w:t xml:space="preserve">Item </w:t>
                  </w:r>
                  <w:r w:rsidR="00B64BD7">
                    <w:t>3</w:t>
                  </w:r>
                  <w:r w:rsidR="00065034">
                    <w:t xml:space="preserve"> </w:t>
                  </w:r>
                  <w:r w:rsidR="00B64BD7">
                    <w:t>(b)</w:t>
                  </w:r>
                  <w:r w:rsidR="00B64BD7" w:rsidRPr="003B5F49">
                    <w:t xml:space="preserve"> </w:t>
                  </w:r>
                  <w:r w:rsidRPr="003B5F49">
                    <w:t>of the provisional agenda</w:t>
                  </w:r>
                </w:p>
                <w:p w14:paraId="77E4F1DD" w14:textId="6114F13B" w:rsidR="00BA58F0" w:rsidRPr="003B5F49" w:rsidRDefault="00BA58F0" w:rsidP="00BA58F0">
                  <w:pPr>
                    <w:rPr>
                      <w:b/>
                    </w:rPr>
                  </w:pPr>
                  <w:r w:rsidRPr="003B5F49">
                    <w:rPr>
                      <w:b/>
                    </w:rPr>
                    <w:t xml:space="preserve">Hazard communication: </w:t>
                  </w:r>
                  <w:r>
                    <w:rPr>
                      <w:b/>
                    </w:rPr>
                    <w:br/>
                    <w:t>improvement of annexes 1 to 3 and further</w:t>
                  </w:r>
                  <w:r>
                    <w:rPr>
                      <w:b/>
                    </w:rPr>
                    <w:br/>
                    <w:t>rationalization of precautionary statements</w:t>
                  </w:r>
                </w:p>
              </w:tc>
            </w:tr>
          </w:tbl>
          <w:p w14:paraId="2751A9ED" w14:textId="0F994444" w:rsidR="00BA58F0" w:rsidRPr="003D4171" w:rsidRDefault="00BA58F0" w:rsidP="00BA58F0">
            <w:pPr>
              <w:rPr>
                <w:b/>
                <w:bCs/>
              </w:rPr>
            </w:pPr>
          </w:p>
        </w:tc>
        <w:tc>
          <w:tcPr>
            <w:tcW w:w="2665" w:type="dxa"/>
            <w:shd w:val="clear" w:color="auto" w:fill="auto"/>
          </w:tcPr>
          <w:p w14:paraId="36FABBA4" w14:textId="7A6A1AE1" w:rsidR="00BA58F0" w:rsidRPr="00CA0680" w:rsidRDefault="00BA58F0" w:rsidP="00BA58F0">
            <w:pPr>
              <w:rPr>
                <w:b/>
              </w:rPr>
            </w:pPr>
          </w:p>
        </w:tc>
        <w:tc>
          <w:tcPr>
            <w:tcW w:w="4593" w:type="dxa"/>
            <w:shd w:val="clear" w:color="auto" w:fill="auto"/>
          </w:tcPr>
          <w:p w14:paraId="0AEB21A6" w14:textId="6C2A89F0" w:rsidR="00BA58F0" w:rsidRPr="00CA0680" w:rsidRDefault="00BA58F0" w:rsidP="00BA58F0">
            <w:pPr>
              <w:rPr>
                <w:b/>
              </w:rPr>
            </w:pPr>
          </w:p>
        </w:tc>
        <w:tc>
          <w:tcPr>
            <w:tcW w:w="5046" w:type="dxa"/>
            <w:tcBorders>
              <w:left w:val="nil"/>
            </w:tcBorders>
            <w:shd w:val="clear" w:color="auto" w:fill="auto"/>
          </w:tcPr>
          <w:p w14:paraId="7976A695" w14:textId="3AD01FC4" w:rsidR="00BA58F0" w:rsidRDefault="00BA58F0" w:rsidP="00BA58F0">
            <w:pPr>
              <w:rPr>
                <w:b/>
              </w:rPr>
            </w:pPr>
          </w:p>
        </w:tc>
      </w:tr>
      <w:tr w:rsidR="00C2261B" w14:paraId="50307753" w14:textId="77777777" w:rsidTr="00973B9A">
        <w:trPr>
          <w:trHeight w:val="216"/>
        </w:trPr>
        <w:tc>
          <w:tcPr>
            <w:tcW w:w="6521" w:type="dxa"/>
          </w:tcPr>
          <w:p w14:paraId="68C3EABF" w14:textId="687B0B36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2665" w:type="dxa"/>
          </w:tcPr>
          <w:p w14:paraId="51A7085A" w14:textId="53962884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4593" w:type="dxa"/>
          </w:tcPr>
          <w:p w14:paraId="61ED3C23" w14:textId="4BFD5B5E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5046" w:type="dxa"/>
          </w:tcPr>
          <w:p w14:paraId="477AE1AD" w14:textId="5D5F7692" w:rsidR="00C2261B" w:rsidRPr="006A7B01" w:rsidRDefault="00C2261B" w:rsidP="00974F0E">
            <w:pPr>
              <w:rPr>
                <w:b/>
              </w:rPr>
            </w:pPr>
          </w:p>
        </w:tc>
      </w:tr>
    </w:tbl>
    <w:p w14:paraId="7129BF96" w14:textId="6CC64B67" w:rsidR="001B56F0" w:rsidRPr="00F32E20" w:rsidRDefault="001B56F0" w:rsidP="00567BF8">
      <w:pPr>
        <w:pStyle w:val="HChG"/>
        <w:ind w:right="425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  <w:t xml:space="preserve">Proposed changes to </w:t>
      </w:r>
      <w:r w:rsidR="00145659">
        <w:rPr>
          <w:rFonts w:eastAsia="MS Mincho"/>
          <w:lang w:val="en-US" w:eastAsia="ja-JP"/>
        </w:rPr>
        <w:t xml:space="preserve">Annex </w:t>
      </w:r>
      <w:r w:rsidR="00E31A79">
        <w:rPr>
          <w:rFonts w:eastAsia="MS Mincho"/>
          <w:lang w:val="en-US" w:eastAsia="ja-JP"/>
        </w:rPr>
        <w:t>1</w:t>
      </w:r>
    </w:p>
    <w:p w14:paraId="69A7C411" w14:textId="37AC69A1" w:rsidR="001B56F0" w:rsidRPr="00F32E20" w:rsidRDefault="001B56F0" w:rsidP="00096B0F">
      <w:pPr>
        <w:pStyle w:val="H1G"/>
      </w:pPr>
      <w:r w:rsidRPr="00F32E20">
        <w:tab/>
      </w:r>
      <w:r w:rsidRPr="00F32E20">
        <w:tab/>
        <w:t xml:space="preserve">Transmitted by the expert from </w:t>
      </w:r>
      <w:r w:rsidRPr="00096B0F">
        <w:t>the</w:t>
      </w:r>
      <w:r w:rsidRPr="00F32E20">
        <w:t xml:space="preserve"> United Kingdom on behalf of the </w:t>
      </w:r>
      <w:r w:rsidR="008C7A3A">
        <w:t xml:space="preserve">informal </w:t>
      </w:r>
      <w:r>
        <w:t>working group on improving a</w:t>
      </w:r>
      <w:r w:rsidRPr="00F32E20">
        <w:t>nnexes 1, 2 and 3 of the GHS</w:t>
      </w:r>
      <w:r>
        <w:rPr>
          <w:rStyle w:val="FootnoteReference"/>
        </w:rPr>
        <w:footnoteReference w:customMarkFollows="1" w:id="2"/>
        <w:t>*</w:t>
      </w:r>
    </w:p>
    <w:p w14:paraId="6419B3A3" w14:textId="77777777" w:rsidR="001B56F0" w:rsidRPr="00F32E20" w:rsidRDefault="001B56F0" w:rsidP="001C2574">
      <w:pPr>
        <w:pStyle w:val="HChG"/>
        <w:ind w:right="283"/>
        <w:rPr>
          <w:rFonts w:eastAsia="MS Mincho"/>
          <w:sz w:val="20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  <w:t>Background</w:t>
      </w:r>
    </w:p>
    <w:p w14:paraId="490D70E5" w14:textId="6FA0321F" w:rsidR="001B56F0" w:rsidRPr="00F32E20" w:rsidRDefault="001B56F0" w:rsidP="00096B0F">
      <w:pPr>
        <w:pStyle w:val="SingleTxtG"/>
      </w:pPr>
      <w:r w:rsidRPr="00F32E20">
        <w:t>1.</w:t>
      </w:r>
      <w:r w:rsidRPr="00F32E20">
        <w:tab/>
        <w:t xml:space="preserve">In line with its mandate for the </w:t>
      </w:r>
      <w:r w:rsidR="00145659" w:rsidRPr="00F32E20">
        <w:t>201</w:t>
      </w:r>
      <w:r w:rsidR="00145659">
        <w:t>9</w:t>
      </w:r>
      <w:r>
        <w:t>-</w:t>
      </w:r>
      <w:r w:rsidR="00145659">
        <w:t xml:space="preserve">2020 </w:t>
      </w:r>
      <w:r>
        <w:t xml:space="preserve">biennium </w:t>
      </w:r>
      <w:r w:rsidRPr="00F32E20">
        <w:t xml:space="preserve">the </w:t>
      </w:r>
      <w:r>
        <w:t>informal working</w:t>
      </w:r>
      <w:r w:rsidRPr="00F32E20">
        <w:t xml:space="preserve"> group has taken for</w:t>
      </w:r>
      <w:r>
        <w:t xml:space="preserve">ward work under its </w:t>
      </w:r>
      <w:r w:rsidR="00145659">
        <w:t>focus area (</w:t>
      </w:r>
      <w:r w:rsidR="00E079FC">
        <w:t>a</w:t>
      </w:r>
      <w:r w:rsidR="00145659">
        <w:t>)</w:t>
      </w:r>
      <w:r w:rsidRPr="00F32E20">
        <w:t xml:space="preserve">: “to </w:t>
      </w:r>
      <w:r w:rsidR="00B04119" w:rsidRPr="003C761B">
        <w:rPr>
          <w:rFonts w:eastAsia="MS Mincho"/>
        </w:rPr>
        <w:t>develop proposals to rationalise and improve the</w:t>
      </w:r>
      <w:r w:rsidR="00B04119" w:rsidRPr="008F6E65">
        <w:rPr>
          <w:rFonts w:eastAsia="MS Mincho"/>
        </w:rPr>
        <w:t xml:space="preserve"> comprehensibility of hazard and precautionary statements for users, while taking into account usability for labelling practitioners</w:t>
      </w:r>
      <w:r w:rsidRPr="00F32E20">
        <w:t xml:space="preserve">.” </w:t>
      </w:r>
    </w:p>
    <w:p w14:paraId="23B0E4A0" w14:textId="2EE9A77F" w:rsidR="001B56F0" w:rsidRDefault="001B56F0" w:rsidP="00096B0F">
      <w:pPr>
        <w:pStyle w:val="SingleTxtG"/>
      </w:pPr>
      <w:r w:rsidRPr="00F32E20">
        <w:t>2.</w:t>
      </w:r>
      <w:r w:rsidRPr="00F32E20">
        <w:tab/>
        <w:t xml:space="preserve">This </w:t>
      </w:r>
      <w:r>
        <w:t>document</w:t>
      </w:r>
      <w:r w:rsidRPr="00F32E20">
        <w:t xml:space="preserve"> </w:t>
      </w:r>
      <w:r>
        <w:t xml:space="preserve">presents the outcome of work on item </w:t>
      </w:r>
      <w:r w:rsidR="00E31A79">
        <w:t xml:space="preserve">6 </w:t>
      </w:r>
      <w:r>
        <w:t xml:space="preserve">in the </w:t>
      </w:r>
      <w:r w:rsidR="00BC639D">
        <w:t>g</w:t>
      </w:r>
      <w:r>
        <w:t>roup’s workplan (informal document INF.</w:t>
      </w:r>
      <w:r w:rsidR="00145659">
        <w:t>25</w:t>
      </w:r>
      <w:r>
        <w:t>, thirty-</w:t>
      </w:r>
      <w:r w:rsidR="00145659">
        <w:t xml:space="preserve">sixth </w:t>
      </w:r>
      <w:r>
        <w:t>session) where the issue is: “</w:t>
      </w:r>
      <w:r w:rsidR="00145659">
        <w:t xml:space="preserve">review the </w:t>
      </w:r>
      <w:r w:rsidR="002025FC">
        <w:t xml:space="preserve">GHS and </w:t>
      </w:r>
      <w:r w:rsidR="002025FC" w:rsidRPr="00096B0F">
        <w:t>TDG</w:t>
      </w:r>
      <w:r w:rsidR="002025FC">
        <w:t xml:space="preserve"> pictograms and the use of notes in Annex 1 to ensure consistent and helpful presentation across the hazard classes and categories</w:t>
      </w:r>
      <w:r>
        <w:t>”.</w:t>
      </w:r>
    </w:p>
    <w:p w14:paraId="543F8306" w14:textId="7592356B" w:rsidR="001B56F0" w:rsidRPr="00F32E20" w:rsidRDefault="001B56F0" w:rsidP="00567BF8">
      <w:pPr>
        <w:pStyle w:val="HChG"/>
        <w:ind w:right="425"/>
        <w:rPr>
          <w:rFonts w:eastAsia="MS Mincho"/>
        </w:rPr>
      </w:pPr>
      <w:r w:rsidRPr="00F32E20">
        <w:rPr>
          <w:rFonts w:eastAsia="MS Mincho"/>
        </w:rPr>
        <w:lastRenderedPageBreak/>
        <w:tab/>
      </w:r>
      <w:r w:rsidRPr="00F32E20">
        <w:rPr>
          <w:rFonts w:eastAsia="MS Mincho"/>
        </w:rPr>
        <w:tab/>
      </w:r>
      <w:r>
        <w:rPr>
          <w:rFonts w:eastAsia="MS Mincho"/>
        </w:rPr>
        <w:t xml:space="preserve">Discussion </w:t>
      </w:r>
    </w:p>
    <w:p w14:paraId="5AA7A84F" w14:textId="5B25B0D4" w:rsidR="00E079FC" w:rsidRPr="000813F7" w:rsidRDefault="00154EF2" w:rsidP="00096B0F">
      <w:pPr>
        <w:pStyle w:val="SingleTxtG"/>
      </w:pPr>
      <w:r>
        <w:t>3</w:t>
      </w:r>
      <w:r w:rsidR="001B56F0" w:rsidRPr="00F32E20">
        <w:t>.</w:t>
      </w:r>
      <w:r w:rsidR="001B56F0" w:rsidRPr="00F32E20">
        <w:tab/>
      </w:r>
      <w:r w:rsidR="00944AAD">
        <w:t>T</w:t>
      </w:r>
      <w:r w:rsidR="00E079FC" w:rsidRPr="00E079FC">
        <w:t xml:space="preserve">he purpose of this </w:t>
      </w:r>
      <w:r w:rsidR="001F0249">
        <w:t xml:space="preserve">work item </w:t>
      </w:r>
      <w:r w:rsidR="00E079FC" w:rsidRPr="00E079FC">
        <w:t xml:space="preserve">was to review the pictograms </w:t>
      </w:r>
      <w:r w:rsidR="00E079FC">
        <w:t>and</w:t>
      </w:r>
      <w:r w:rsidR="00E079FC" w:rsidRPr="00E079FC">
        <w:t xml:space="preserve"> notes in Annex 1 to remove </w:t>
      </w:r>
      <w:r w:rsidR="00E079FC" w:rsidRPr="00096B0F">
        <w:t>inconsistencies</w:t>
      </w:r>
      <w:r w:rsidR="00E079FC" w:rsidRPr="00E079FC">
        <w:t xml:space="preserve">, provide greater clarity and improve the readability </w:t>
      </w:r>
      <w:r w:rsidR="00E079FC" w:rsidRPr="000813F7">
        <w:t>and presentation of the tables in Annex 1</w:t>
      </w:r>
      <w:r w:rsidR="00120F92">
        <w:t>.</w:t>
      </w:r>
    </w:p>
    <w:p w14:paraId="51072FC3" w14:textId="4FFD9752" w:rsidR="004A5E45" w:rsidRPr="000813F7" w:rsidRDefault="00DC177A" w:rsidP="00096B0F">
      <w:pPr>
        <w:pStyle w:val="SingleTxtG"/>
      </w:pPr>
      <w:r w:rsidRPr="000813F7">
        <w:t>4.</w:t>
      </w:r>
      <w:r w:rsidRPr="000813F7">
        <w:tab/>
      </w:r>
      <w:r w:rsidR="00743640">
        <w:t xml:space="preserve">The informal working group identified </w:t>
      </w:r>
      <w:proofErr w:type="gramStart"/>
      <w:r w:rsidR="002F1CED">
        <w:t>a number of</w:t>
      </w:r>
      <w:proofErr w:type="gramEnd"/>
      <w:r w:rsidR="002F1CED">
        <w:t xml:space="preserve"> </w:t>
      </w:r>
      <w:r w:rsidR="00743640">
        <w:t>errors and</w:t>
      </w:r>
      <w:r w:rsidR="004A5E45" w:rsidRPr="000813F7">
        <w:t xml:space="preserve"> inconsistencies in the </w:t>
      </w:r>
      <w:r w:rsidR="004A5E45" w:rsidRPr="00096B0F">
        <w:t>tables</w:t>
      </w:r>
      <w:r w:rsidR="004A5E45" w:rsidRPr="000813F7">
        <w:t xml:space="preserve"> </w:t>
      </w:r>
      <w:r w:rsidR="006203C6">
        <w:t xml:space="preserve">and notes </w:t>
      </w:r>
      <w:r w:rsidR="004A5E45" w:rsidRPr="000813F7">
        <w:t xml:space="preserve">in Annex 1, including: </w:t>
      </w:r>
    </w:p>
    <w:p w14:paraId="22EE9293" w14:textId="3E161C46" w:rsidR="00672A0D" w:rsidRDefault="00BC639D" w:rsidP="00BC639D">
      <w:pPr>
        <w:pStyle w:val="SingleTxtG"/>
        <w:ind w:firstLine="567"/>
      </w:pPr>
      <w:r>
        <w:t>(a)</w:t>
      </w:r>
      <w:r>
        <w:tab/>
      </w:r>
      <w:r w:rsidR="004A5E45" w:rsidRPr="00672A0D">
        <w:t xml:space="preserve">Table A1.1 (Explosives): </w:t>
      </w:r>
    </w:p>
    <w:p w14:paraId="0B6FE1EE" w14:textId="7BF728D4" w:rsidR="00C446CB" w:rsidRPr="00C446CB" w:rsidRDefault="00BC639D" w:rsidP="00BC639D">
      <w:pPr>
        <w:pStyle w:val="SingleTxtG"/>
        <w:ind w:left="2835" w:hanging="567"/>
      </w:pPr>
      <w:proofErr w:type="spellStart"/>
      <w:r>
        <w:t>i</w:t>
      </w:r>
      <w:proofErr w:type="spellEnd"/>
      <w:r w:rsidR="00096B0F">
        <w:t>.</w:t>
      </w:r>
      <w:r>
        <w:tab/>
      </w:r>
      <w:r w:rsidR="00672A0D" w:rsidRPr="00672A0D">
        <w:t xml:space="preserve">Table </w:t>
      </w:r>
      <w:r w:rsidR="00C43A95">
        <w:t xml:space="preserve">A1.1 </w:t>
      </w:r>
      <w:r w:rsidR="00672A0D" w:rsidRPr="00672A0D">
        <w:t>contains Model Regulations</w:t>
      </w:r>
      <w:r w:rsidR="008C7A3A">
        <w:t>’</w:t>
      </w:r>
      <w:r w:rsidR="00672A0D" w:rsidRPr="00672A0D">
        <w:t xml:space="preserve"> Divisions that currently do not appear in any of the other tables in Annex 1. However, for consistency and clarity it could be argued that Model Regulations </w:t>
      </w:r>
      <w:r w:rsidR="00C90FE6">
        <w:t>classification</w:t>
      </w:r>
      <w:r w:rsidR="00672A0D" w:rsidRPr="00672A0D">
        <w:t xml:space="preserve">, where applicable, should </w:t>
      </w:r>
      <w:r w:rsidR="00C90FE6">
        <w:t xml:space="preserve">also </w:t>
      </w:r>
      <w:r w:rsidR="00672A0D" w:rsidRPr="00672A0D">
        <w:t>be included in all the tables in Annex</w:t>
      </w:r>
      <w:r w:rsidR="00C02C89">
        <w:t xml:space="preserve"> 1</w:t>
      </w:r>
      <w:r w:rsidR="00C446CB">
        <w:t xml:space="preserve">. In addition, </w:t>
      </w:r>
      <w:r w:rsidR="00C446CB" w:rsidRPr="00E079FC">
        <w:t xml:space="preserve">GHS covers consumers, workplace </w:t>
      </w:r>
      <w:r w:rsidR="00C446CB">
        <w:t>and</w:t>
      </w:r>
      <w:r w:rsidR="00C446CB" w:rsidRPr="00E079FC">
        <w:t xml:space="preserve"> transport </w:t>
      </w:r>
      <w:r w:rsidR="00C446CB">
        <w:t>and</w:t>
      </w:r>
      <w:r w:rsidR="00C446CB" w:rsidRPr="00E079FC">
        <w:t xml:space="preserve"> </w:t>
      </w:r>
      <w:r w:rsidR="00C02C89">
        <w:t>since</w:t>
      </w:r>
      <w:r w:rsidR="00C02C89" w:rsidRPr="00E079FC">
        <w:t xml:space="preserve"> </w:t>
      </w:r>
      <w:r w:rsidR="00C446CB" w:rsidRPr="00E079FC">
        <w:t xml:space="preserve">the Model </w:t>
      </w:r>
      <w:r w:rsidR="00C446CB">
        <w:t xml:space="preserve">Regulations </w:t>
      </w:r>
      <w:r w:rsidR="00C446CB" w:rsidRPr="00E079FC">
        <w:t xml:space="preserve">pictograms are </w:t>
      </w:r>
      <w:r w:rsidR="00C446CB">
        <w:t xml:space="preserve">already </w:t>
      </w:r>
      <w:r w:rsidR="00C446CB" w:rsidRPr="00E079FC">
        <w:t>provided in the tables</w:t>
      </w:r>
      <w:r w:rsidR="00C02C89">
        <w:t>,</w:t>
      </w:r>
      <w:r w:rsidR="00C446CB" w:rsidRPr="00E079FC">
        <w:t xml:space="preserve"> it would also be consistent to provide the relevant Model </w:t>
      </w:r>
      <w:r w:rsidR="00C446CB">
        <w:t xml:space="preserve">Regulations </w:t>
      </w:r>
      <w:r w:rsidR="00C446CB" w:rsidRPr="00E079FC">
        <w:t>class</w:t>
      </w:r>
      <w:r w:rsidR="00120F92">
        <w:t xml:space="preserve">ification </w:t>
      </w:r>
      <w:r w:rsidR="00C446CB">
        <w:t>in the tables of Annex 1;</w:t>
      </w:r>
    </w:p>
    <w:p w14:paraId="51B3D80C" w14:textId="03503942" w:rsidR="00547827" w:rsidRDefault="00096B0F" w:rsidP="00096B0F">
      <w:pPr>
        <w:pStyle w:val="SingleTxtG"/>
        <w:ind w:left="2835" w:hanging="567"/>
      </w:pPr>
      <w:r>
        <w:t>ii.</w:t>
      </w:r>
      <w:r>
        <w:tab/>
      </w:r>
      <w:r w:rsidR="00672A0D" w:rsidRPr="000813F7">
        <w:t xml:space="preserve">The signal word for hazard categories </w:t>
      </w:r>
      <w:r>
        <w:t>“</w:t>
      </w:r>
      <w:r w:rsidR="00672A0D" w:rsidRPr="000813F7">
        <w:t>unstable explosives</w:t>
      </w:r>
      <w:r>
        <w:t>”</w:t>
      </w:r>
      <w:r w:rsidR="00672A0D" w:rsidRPr="000813F7">
        <w:t xml:space="preserve"> and </w:t>
      </w:r>
      <w:r>
        <w:t>“</w:t>
      </w:r>
      <w:r w:rsidR="00672A0D" w:rsidRPr="000813F7">
        <w:t>Divisions 1.1 to 1.3</w:t>
      </w:r>
      <w:r>
        <w:t>”</w:t>
      </w:r>
      <w:r w:rsidR="00672A0D" w:rsidRPr="000813F7">
        <w:t xml:space="preserve"> are the same and the individual signal word entries have been merged into one box containing the word </w:t>
      </w:r>
      <w:r>
        <w:t>“</w:t>
      </w:r>
      <w:r w:rsidR="00672A0D" w:rsidRPr="000813F7">
        <w:t>Danger</w:t>
      </w:r>
      <w:r>
        <w:t>”</w:t>
      </w:r>
      <w:r w:rsidR="00672A0D" w:rsidRPr="000813F7">
        <w:t xml:space="preserve">. This is inconsistent with the format of the other tables in Annex 1 which repeat identical text or pictogram entries in adjacent boxes. However, it illustrates how the information in the tables could be provided in a clearer, simpler and less cluttered </w:t>
      </w:r>
      <w:r w:rsidR="00251486">
        <w:t>format</w:t>
      </w:r>
      <w:r w:rsidR="00672A0D" w:rsidRPr="000813F7">
        <w:t>.</w:t>
      </w:r>
    </w:p>
    <w:p w14:paraId="2AE69111" w14:textId="217C2B34" w:rsidR="00547827" w:rsidRPr="000813F7" w:rsidRDefault="00096B0F" w:rsidP="00096B0F">
      <w:pPr>
        <w:pStyle w:val="SingleTxtG"/>
        <w:ind w:left="2835" w:hanging="567"/>
      </w:pPr>
      <w:r>
        <w:t>iii.</w:t>
      </w:r>
      <w:r>
        <w:tab/>
      </w:r>
      <w:r w:rsidR="00547827">
        <w:t>T</w:t>
      </w:r>
      <w:r w:rsidR="00547827" w:rsidRPr="002A6CAC">
        <w:t>he second sentence in the note beneath Table A1.1 starting</w:t>
      </w:r>
      <w:r w:rsidR="00506274">
        <w:t xml:space="preserve"> with</w:t>
      </w:r>
      <w:r w:rsidR="00547827" w:rsidRPr="002A6CAC">
        <w:t xml:space="preserve"> </w:t>
      </w:r>
      <w:r>
        <w:t>“</w:t>
      </w:r>
      <w:r w:rsidR="00547827" w:rsidRPr="002A6CAC">
        <w:t>The pictogram for Divisions…</w:t>
      </w:r>
      <w:r>
        <w:t>”</w:t>
      </w:r>
      <w:r w:rsidR="00547827" w:rsidRPr="002A6CAC">
        <w:t xml:space="preserve"> provide</w:t>
      </w:r>
      <w:r w:rsidR="00206043">
        <w:t xml:space="preserve">s unnecessary information </w:t>
      </w:r>
      <w:r w:rsidR="00C02C89">
        <w:t xml:space="preserve">that </w:t>
      </w:r>
      <w:r w:rsidR="00206043">
        <w:t>the informal working group consider</w:t>
      </w:r>
      <w:r w:rsidR="00C02C89">
        <w:t>ed</w:t>
      </w:r>
      <w:r w:rsidR="00206043">
        <w:t xml:space="preserve"> sh</w:t>
      </w:r>
      <w:r w:rsidR="00547827" w:rsidRPr="002A6CAC">
        <w:t>ould be deleted on the basis that the table notes do not normally referred to other tables w</w:t>
      </w:r>
      <w:r w:rsidR="00547827">
        <w:t>here the same or</w:t>
      </w:r>
      <w:r w:rsidR="00547827" w:rsidRPr="002A6CAC">
        <w:t xml:space="preserve"> similar pictograms are used</w:t>
      </w:r>
      <w:r w:rsidR="00547827">
        <w:t>.</w:t>
      </w:r>
    </w:p>
    <w:p w14:paraId="0D09C7CF" w14:textId="63043171" w:rsidR="00672A0D" w:rsidRDefault="00096B0F" w:rsidP="00096B0F">
      <w:pPr>
        <w:pStyle w:val="SingleTxtG"/>
        <w:ind w:left="1701" w:hanging="567"/>
      </w:pPr>
      <w:r>
        <w:tab/>
      </w:r>
      <w:r>
        <w:tab/>
        <w:t>(b)</w:t>
      </w:r>
      <w:r>
        <w:tab/>
      </w:r>
      <w:r w:rsidR="00672A0D" w:rsidRPr="00672A0D">
        <w:t xml:space="preserve">The notes beneath several of the tables (see Tables </w:t>
      </w:r>
      <w:r w:rsidR="00672A0D" w:rsidRPr="00120F92">
        <w:t>A</w:t>
      </w:r>
      <w:r w:rsidR="006203C6" w:rsidRPr="00120F92">
        <w:t>1</w:t>
      </w:r>
      <w:r w:rsidR="00672A0D" w:rsidRPr="00120F92">
        <w:t>.2</w:t>
      </w:r>
      <w:r w:rsidR="008C7A3A">
        <w:t>,</w:t>
      </w:r>
      <w:r w:rsidR="00672A0D" w:rsidRPr="00120F92">
        <w:t xml:space="preserve"> A1.3</w:t>
      </w:r>
      <w:r w:rsidR="008C7A3A">
        <w:t>,</w:t>
      </w:r>
      <w:r w:rsidR="00672A0D" w:rsidRPr="00120F92">
        <w:t xml:space="preserve"> A1.5</w:t>
      </w:r>
      <w:r w:rsidR="008C7A3A">
        <w:t>,</w:t>
      </w:r>
      <w:r w:rsidR="00672A0D" w:rsidRPr="00120F92">
        <w:t xml:space="preserve"> A1.6</w:t>
      </w:r>
      <w:r w:rsidR="008C7A3A">
        <w:t>,</w:t>
      </w:r>
      <w:r w:rsidR="00672A0D" w:rsidRPr="00120F92">
        <w:t xml:space="preserve"> A1.12</w:t>
      </w:r>
      <w:r w:rsidR="00672A0D" w:rsidRPr="00672A0D">
        <w:t>) that refer to symbol, number, border and background colour of the Model Regulation</w:t>
      </w:r>
      <w:r w:rsidR="008C7A3A">
        <w:t>s’</w:t>
      </w:r>
      <w:r w:rsidR="00672A0D" w:rsidRPr="00672A0D">
        <w:t xml:space="preserve"> pictograms are inconsistently worded and raise questions regarding: </w:t>
      </w:r>
    </w:p>
    <w:p w14:paraId="2856B1D0" w14:textId="24B95521" w:rsidR="00672A0D" w:rsidRDefault="00096B0F" w:rsidP="00096B0F">
      <w:pPr>
        <w:pStyle w:val="SingleTxtG"/>
        <w:ind w:left="2835" w:hanging="567"/>
      </w:pPr>
      <w:proofErr w:type="spellStart"/>
      <w:r>
        <w:t>i</w:t>
      </w:r>
      <w:proofErr w:type="spellEnd"/>
      <w:r>
        <w:t>.</w:t>
      </w:r>
      <w:r>
        <w:tab/>
      </w:r>
      <w:r w:rsidR="000813F7" w:rsidRPr="000813F7">
        <w:t xml:space="preserve">What the </w:t>
      </w:r>
      <w:r w:rsidR="004A5E45" w:rsidRPr="000813F7">
        <w:t>alternative pictograms look like, as they are not</w:t>
      </w:r>
      <w:r w:rsidR="00714CB2">
        <w:t xml:space="preserve"> clearly</w:t>
      </w:r>
      <w:r w:rsidR="004A5E45" w:rsidRPr="000813F7">
        <w:t xml:space="preserve"> illustrated</w:t>
      </w:r>
      <w:r w:rsidR="00F41C9B">
        <w:t>;</w:t>
      </w:r>
    </w:p>
    <w:p w14:paraId="6CF0D801" w14:textId="75039AC4" w:rsidR="00E079FC" w:rsidRPr="00714CB2" w:rsidRDefault="00096B0F" w:rsidP="00096B0F">
      <w:pPr>
        <w:pStyle w:val="SingleTxtG"/>
        <w:ind w:left="2835" w:hanging="567"/>
      </w:pPr>
      <w:r>
        <w:rPr>
          <w:szCs w:val="22"/>
        </w:rPr>
        <w:t>ii.</w:t>
      </w:r>
      <w:r>
        <w:rPr>
          <w:szCs w:val="22"/>
        </w:rPr>
        <w:tab/>
      </w:r>
      <w:r w:rsidR="00B219BB" w:rsidRPr="00672A0D">
        <w:rPr>
          <w:szCs w:val="22"/>
        </w:rPr>
        <w:t xml:space="preserve">Why notes </w:t>
      </w:r>
      <w:r w:rsidR="00714CB2" w:rsidRPr="00672A0D">
        <w:rPr>
          <w:szCs w:val="22"/>
        </w:rPr>
        <w:t xml:space="preserve">are not provided </w:t>
      </w:r>
      <w:r w:rsidR="00B219BB" w:rsidRPr="00672A0D">
        <w:rPr>
          <w:szCs w:val="22"/>
        </w:rPr>
        <w:t xml:space="preserve">beneath all tables </w:t>
      </w:r>
      <w:r w:rsidR="00F41C9B" w:rsidRPr="00672A0D">
        <w:rPr>
          <w:szCs w:val="22"/>
        </w:rPr>
        <w:t xml:space="preserve">to indicate </w:t>
      </w:r>
      <w:proofErr w:type="gramStart"/>
      <w:r w:rsidR="006203C6">
        <w:rPr>
          <w:szCs w:val="22"/>
        </w:rPr>
        <w:t>whether or not</w:t>
      </w:r>
      <w:proofErr w:type="gramEnd"/>
      <w:r w:rsidR="006203C6">
        <w:rPr>
          <w:szCs w:val="22"/>
        </w:rPr>
        <w:t xml:space="preserve"> </w:t>
      </w:r>
      <w:r w:rsidR="00F41C9B" w:rsidRPr="00672A0D">
        <w:rPr>
          <w:szCs w:val="22"/>
        </w:rPr>
        <w:t xml:space="preserve">alternative pictograms </w:t>
      </w:r>
      <w:r w:rsidR="006203C6">
        <w:rPr>
          <w:szCs w:val="22"/>
        </w:rPr>
        <w:t xml:space="preserve">are available </w:t>
      </w:r>
      <w:r w:rsidR="006203C6" w:rsidRPr="00672A0D">
        <w:rPr>
          <w:szCs w:val="22"/>
        </w:rPr>
        <w:t xml:space="preserve">for </w:t>
      </w:r>
      <w:r w:rsidR="00120F92">
        <w:rPr>
          <w:szCs w:val="22"/>
        </w:rPr>
        <w:t>o</w:t>
      </w:r>
      <w:r w:rsidR="006203C6" w:rsidRPr="00672A0D">
        <w:rPr>
          <w:szCs w:val="22"/>
        </w:rPr>
        <w:t>the</w:t>
      </w:r>
      <w:r w:rsidR="00120F92">
        <w:rPr>
          <w:szCs w:val="22"/>
        </w:rPr>
        <w:t>r</w:t>
      </w:r>
      <w:r w:rsidR="006203C6" w:rsidRPr="00672A0D">
        <w:rPr>
          <w:szCs w:val="22"/>
        </w:rPr>
        <w:t xml:space="preserve"> </w:t>
      </w:r>
      <w:r w:rsidR="000D27A6">
        <w:rPr>
          <w:szCs w:val="22"/>
        </w:rPr>
        <w:t>hazard classes/categories</w:t>
      </w:r>
      <w:r w:rsidR="00714CB2" w:rsidRPr="00672A0D">
        <w:rPr>
          <w:szCs w:val="22"/>
        </w:rPr>
        <w:t xml:space="preserve">. </w:t>
      </w:r>
    </w:p>
    <w:p w14:paraId="5EE3DB26" w14:textId="383171E8" w:rsidR="00743640" w:rsidRDefault="00096B0F" w:rsidP="00096B0F">
      <w:pPr>
        <w:pStyle w:val="SingleTxtG"/>
        <w:ind w:left="1701" w:hanging="567"/>
      </w:pPr>
      <w:r>
        <w:tab/>
      </w:r>
      <w:r>
        <w:tab/>
        <w:t>(c)</w:t>
      </w:r>
      <w:r>
        <w:tab/>
      </w:r>
      <w:r w:rsidR="00C73554">
        <w:t>S</w:t>
      </w:r>
      <w:r w:rsidR="00743640">
        <w:t>everal of the tables contain incorrect</w:t>
      </w:r>
      <w:r w:rsidR="001114CF">
        <w:t xml:space="preserve">ly displayed </w:t>
      </w:r>
      <w:r w:rsidR="00743640">
        <w:t xml:space="preserve">Model </w:t>
      </w:r>
      <w:r w:rsidR="008C7A3A">
        <w:t xml:space="preserve">Regulations’ </w:t>
      </w:r>
      <w:r w:rsidR="00743640">
        <w:t>pictogram</w:t>
      </w:r>
      <w:r w:rsidR="00714CB2">
        <w:t xml:space="preserve"> entries</w:t>
      </w:r>
      <w:r w:rsidR="00743640">
        <w:t>:</w:t>
      </w:r>
    </w:p>
    <w:p w14:paraId="43C69699" w14:textId="0A57E31F" w:rsidR="001A3335" w:rsidRDefault="00096B0F" w:rsidP="00096B0F">
      <w:pPr>
        <w:pStyle w:val="SingleTxtG"/>
        <w:ind w:left="2835" w:hanging="567"/>
      </w:pPr>
      <w:proofErr w:type="spellStart"/>
      <w:r w:rsidRPr="00096B0F">
        <w:rPr>
          <w:bCs/>
        </w:rPr>
        <w:t>i</w:t>
      </w:r>
      <w:proofErr w:type="spellEnd"/>
      <w:r>
        <w:rPr>
          <w:bCs/>
        </w:rPr>
        <w:t>.</w:t>
      </w:r>
      <w:r>
        <w:rPr>
          <w:b/>
        </w:rPr>
        <w:tab/>
      </w:r>
      <w:r w:rsidR="003F2719" w:rsidRPr="00672A0D">
        <w:rPr>
          <w:b/>
        </w:rPr>
        <w:t>Table A1.4 (Oxidising gases)</w:t>
      </w:r>
      <w:r w:rsidR="00743640">
        <w:t xml:space="preserve"> –</w:t>
      </w:r>
      <w:r w:rsidR="00EA2F38">
        <w:t xml:space="preserve"> </w:t>
      </w:r>
      <w:r w:rsidR="0099435B">
        <w:t xml:space="preserve">Under </w:t>
      </w:r>
      <w:r w:rsidR="008C7A3A">
        <w:t>the</w:t>
      </w:r>
      <w:r w:rsidR="0099435B">
        <w:t xml:space="preserve"> Model Regulations these substances are classified as non-flammable gases (Division 2.2)</w:t>
      </w:r>
      <w:r w:rsidR="00107630">
        <w:t xml:space="preserve"> due to their</w:t>
      </w:r>
      <w:r w:rsidR="001A3335">
        <w:t xml:space="preserve"> primary hazard</w:t>
      </w:r>
      <w:r w:rsidR="00DD2313">
        <w:t>, with a subsidiary hazard</w:t>
      </w:r>
      <w:r w:rsidR="00107630">
        <w:t xml:space="preserve"> as an oxidi</w:t>
      </w:r>
      <w:r w:rsidR="008C7A3A">
        <w:t>z</w:t>
      </w:r>
      <w:r w:rsidR="00107630">
        <w:t>ing substance (Division 5.1)</w:t>
      </w:r>
      <w:r w:rsidR="00DD2313">
        <w:t>.</w:t>
      </w:r>
      <w:r w:rsidR="00107630">
        <w:t xml:space="preserve"> The table entry </w:t>
      </w:r>
      <w:r w:rsidR="00DD2313">
        <w:t>incorrectly displays only the Division 5.1 (flame over circle; yellow background) Model Regulations</w:t>
      </w:r>
      <w:r w:rsidR="008C7A3A">
        <w:t>’</w:t>
      </w:r>
      <w:r w:rsidR="00DD2313">
        <w:t xml:space="preserve"> pictogram and </w:t>
      </w:r>
      <w:r w:rsidR="00107630">
        <w:t xml:space="preserve">should </w:t>
      </w:r>
      <w:r w:rsidR="00DD2313">
        <w:t xml:space="preserve">also </w:t>
      </w:r>
      <w:r w:rsidR="00107630">
        <w:t>display the Division 2.2 non-flammable gases (gas cylinder</w:t>
      </w:r>
      <w:r w:rsidR="00DD2313">
        <w:t>; green background</w:t>
      </w:r>
      <w:r w:rsidR="00107630">
        <w:t xml:space="preserve">) </w:t>
      </w:r>
      <w:r w:rsidR="00DD2313">
        <w:t>pictogram.</w:t>
      </w:r>
    </w:p>
    <w:p w14:paraId="08358E93" w14:textId="2BBFCC81" w:rsidR="00511DBA" w:rsidRDefault="00096B0F" w:rsidP="00096B0F">
      <w:pPr>
        <w:pStyle w:val="SingleTxtG"/>
        <w:ind w:left="2835" w:hanging="567"/>
      </w:pPr>
      <w:r>
        <w:rPr>
          <w:bCs/>
        </w:rPr>
        <w:t>ii.</w:t>
      </w:r>
      <w:r>
        <w:rPr>
          <w:b/>
        </w:rPr>
        <w:tab/>
      </w:r>
      <w:r w:rsidR="003F2719" w:rsidRPr="00B278F9">
        <w:rPr>
          <w:b/>
        </w:rPr>
        <w:t>Table A1.8 (Self-reacti</w:t>
      </w:r>
      <w:r w:rsidR="00271139" w:rsidRPr="00B278F9">
        <w:rPr>
          <w:b/>
        </w:rPr>
        <w:t>ve substances and mixtures</w:t>
      </w:r>
      <w:r w:rsidR="00271139" w:rsidRPr="00511DBA">
        <w:rPr>
          <w:b/>
        </w:rPr>
        <w:t xml:space="preserve">) </w:t>
      </w:r>
      <w:r w:rsidR="00511DBA" w:rsidRPr="00511DBA">
        <w:rPr>
          <w:b/>
        </w:rPr>
        <w:t xml:space="preserve">and Table </w:t>
      </w:r>
      <w:r w:rsidR="005E6396">
        <w:rPr>
          <w:b/>
        </w:rPr>
        <w:t>A</w:t>
      </w:r>
      <w:r w:rsidR="00511DBA" w:rsidRPr="00511DBA">
        <w:rPr>
          <w:b/>
        </w:rPr>
        <w:t>1.15 (Organic peroxides)</w:t>
      </w:r>
      <w:r w:rsidR="00511DBA">
        <w:t xml:space="preserve"> </w:t>
      </w:r>
      <w:r w:rsidR="00271139">
        <w:t>–</w:t>
      </w:r>
      <w:r w:rsidR="00EA1292">
        <w:t xml:space="preserve"> </w:t>
      </w:r>
      <w:r w:rsidR="00DD2313">
        <w:t xml:space="preserve">The Model </w:t>
      </w:r>
      <w:r w:rsidR="008C7A3A">
        <w:t>Regulations’</w:t>
      </w:r>
      <w:r w:rsidR="00DD2313">
        <w:t xml:space="preserve"> pictogram table </w:t>
      </w:r>
      <w:r w:rsidR="001114CF">
        <w:t>entr</w:t>
      </w:r>
      <w:r w:rsidR="005E6396">
        <w:t>ies</w:t>
      </w:r>
      <w:r w:rsidR="001114CF">
        <w:t xml:space="preserve"> </w:t>
      </w:r>
      <w:r w:rsidR="00511DBA">
        <w:t xml:space="preserve">for </w:t>
      </w:r>
      <w:r w:rsidR="002E160C">
        <w:t>“</w:t>
      </w:r>
      <w:r w:rsidR="00511DBA">
        <w:t>Type B</w:t>
      </w:r>
      <w:r w:rsidR="002E160C">
        <w:t>”</w:t>
      </w:r>
      <w:r w:rsidR="00511DBA">
        <w:t xml:space="preserve"> </w:t>
      </w:r>
      <w:r w:rsidR="005E6396">
        <w:t xml:space="preserve">self-reactive substances and </w:t>
      </w:r>
      <w:r w:rsidR="00511DBA">
        <w:t xml:space="preserve">mixtures </w:t>
      </w:r>
      <w:r w:rsidR="005E6396">
        <w:t xml:space="preserve">or </w:t>
      </w:r>
      <w:r>
        <w:t>“</w:t>
      </w:r>
      <w:r w:rsidR="005E6396">
        <w:t>Type B</w:t>
      </w:r>
      <w:r>
        <w:t>”</w:t>
      </w:r>
      <w:r w:rsidR="005E6396">
        <w:t xml:space="preserve"> </w:t>
      </w:r>
      <w:r w:rsidR="005E6396">
        <w:lastRenderedPageBreak/>
        <w:t xml:space="preserve">organic peroxides </w:t>
      </w:r>
      <w:r w:rsidR="00511DBA">
        <w:t>incorrectly indicate that two pictograms apply</w:t>
      </w:r>
      <w:r w:rsidR="00F852B9">
        <w:t>,</w:t>
      </w:r>
      <w:r w:rsidR="00511DBA">
        <w:t xml:space="preserve"> when the orange </w:t>
      </w:r>
      <w:r w:rsidR="007125B1">
        <w:t xml:space="preserve">(exploding bomb) </w:t>
      </w:r>
      <w:r w:rsidR="00511DBA">
        <w:t xml:space="preserve">Model </w:t>
      </w:r>
      <w:r w:rsidR="00FA014F">
        <w:t>Regulations</w:t>
      </w:r>
      <w:r w:rsidR="008C7A3A">
        <w:t>’</w:t>
      </w:r>
      <w:r w:rsidR="00FA014F">
        <w:t xml:space="preserve"> </w:t>
      </w:r>
      <w:r w:rsidR="00511DBA">
        <w:t xml:space="preserve">pictogram assigned to Divisions 1.1, 1.2 and 1.3 is only required </w:t>
      </w:r>
      <w:r w:rsidR="00FA014F">
        <w:t xml:space="preserve">for </w:t>
      </w:r>
      <w:r w:rsidR="002E160C">
        <w:t>“</w:t>
      </w:r>
      <w:r w:rsidR="00FA014F">
        <w:t>Type B</w:t>
      </w:r>
      <w:r w:rsidR="002E160C">
        <w:t>”</w:t>
      </w:r>
      <w:r w:rsidR="00FA014F">
        <w:t xml:space="preserve"> substances that </w:t>
      </w:r>
      <w:r w:rsidR="00511DBA">
        <w:t>have an explosive subsidiary risk.</w:t>
      </w:r>
    </w:p>
    <w:p w14:paraId="2978A47D" w14:textId="68771734" w:rsidR="00080E2E" w:rsidRDefault="00096B0F" w:rsidP="00096B0F">
      <w:pPr>
        <w:pStyle w:val="SingleTxtG"/>
        <w:ind w:left="2835" w:hanging="567"/>
      </w:pPr>
      <w:r>
        <w:rPr>
          <w:bCs/>
        </w:rPr>
        <w:t>iii.</w:t>
      </w:r>
      <w:r>
        <w:rPr>
          <w:b/>
        </w:rPr>
        <w:tab/>
      </w:r>
      <w:r w:rsidR="003F2719" w:rsidRPr="00B278F9">
        <w:rPr>
          <w:b/>
        </w:rPr>
        <w:t>Table A1.17 (Desensitised explosives)</w:t>
      </w:r>
      <w:r w:rsidR="00CB26D0">
        <w:t xml:space="preserve"> – </w:t>
      </w:r>
      <w:r w:rsidR="00080E2E">
        <w:t>Although these substances are classified differently under the GHS than under the Model Regulations, the table entry does not display the relevant Model Regulations pictograms. For clarity</w:t>
      </w:r>
      <w:r w:rsidR="00C043AB">
        <w:t xml:space="preserve"> and consistency reasons</w:t>
      </w:r>
      <w:r w:rsidR="00080E2E">
        <w:t xml:space="preserve"> the table entry should display both </w:t>
      </w:r>
      <w:r w:rsidR="00FA014F">
        <w:t xml:space="preserve">a </w:t>
      </w:r>
      <w:r w:rsidR="00080E2E">
        <w:t xml:space="preserve">Class 3 </w:t>
      </w:r>
      <w:r w:rsidR="00FA014F">
        <w:t>(</w:t>
      </w:r>
      <w:r w:rsidR="00080E2E">
        <w:t>for liquid desensitised explosives</w:t>
      </w:r>
      <w:r w:rsidR="00FA014F">
        <w:t>)</w:t>
      </w:r>
      <w:r w:rsidR="00080E2E">
        <w:t xml:space="preserve"> and </w:t>
      </w:r>
      <w:r w:rsidR="00FA014F">
        <w:t xml:space="preserve">a </w:t>
      </w:r>
      <w:r w:rsidR="00080E2E">
        <w:t xml:space="preserve">Division 4.1 </w:t>
      </w:r>
      <w:r w:rsidR="00FA014F">
        <w:t>(</w:t>
      </w:r>
      <w:r w:rsidR="00080E2E">
        <w:t>for solid desensitised explosives</w:t>
      </w:r>
      <w:r w:rsidR="00FA014F">
        <w:t>)</w:t>
      </w:r>
      <w:r w:rsidR="00FA014F" w:rsidRPr="00FA014F">
        <w:t xml:space="preserve"> </w:t>
      </w:r>
      <w:r w:rsidR="00FA014F">
        <w:t>Model Regulations pictograms;</w:t>
      </w:r>
    </w:p>
    <w:p w14:paraId="4B59EAA7" w14:textId="7958F71A" w:rsidR="00322DCF" w:rsidRDefault="00096B0F" w:rsidP="00096B0F">
      <w:pPr>
        <w:pStyle w:val="SingleTxtG"/>
        <w:ind w:left="2835" w:hanging="567"/>
      </w:pPr>
      <w:r w:rsidRPr="00096B0F">
        <w:rPr>
          <w:bCs/>
        </w:rPr>
        <w:t>iv</w:t>
      </w:r>
      <w:r>
        <w:rPr>
          <w:bCs/>
        </w:rPr>
        <w:t>.</w:t>
      </w:r>
      <w:r>
        <w:rPr>
          <w:b/>
        </w:rPr>
        <w:tab/>
      </w:r>
      <w:r w:rsidR="00743640" w:rsidRPr="00B278F9">
        <w:rPr>
          <w:b/>
        </w:rPr>
        <w:t>Tables A1.29 (a) (Hazardous to the aquatic environment, short term (acute)) and (b) (Hazardous to the aquatic environment, long term (chronic))</w:t>
      </w:r>
      <w:r w:rsidR="000C1C42">
        <w:t xml:space="preserve"> – </w:t>
      </w:r>
      <w:r w:rsidR="00AD0C6D">
        <w:t>T</w:t>
      </w:r>
      <w:r w:rsidR="000C1C42">
        <w:t>he</w:t>
      </w:r>
      <w:r w:rsidR="0083381C">
        <w:t>se</w:t>
      </w:r>
      <w:r w:rsidR="000C1C42">
        <w:t xml:space="preserve"> tables do not display the </w:t>
      </w:r>
      <w:r w:rsidR="003403BA">
        <w:t xml:space="preserve">Class 9 </w:t>
      </w:r>
      <w:r w:rsidR="000C1C42">
        <w:t xml:space="preserve">Model Regulations pictogram </w:t>
      </w:r>
      <w:r w:rsidR="0083381C">
        <w:t xml:space="preserve">which applies to substances </w:t>
      </w:r>
      <w:r w:rsidR="003403BA">
        <w:t>that are hazardous to the aquatic environment</w:t>
      </w:r>
      <w:r w:rsidR="0083381C">
        <w:t xml:space="preserve"> and should be provided </w:t>
      </w:r>
      <w:r w:rsidR="00857ADB">
        <w:t xml:space="preserve">in </w:t>
      </w:r>
      <w:r w:rsidR="003403BA">
        <w:t>the table entry</w:t>
      </w:r>
      <w:r w:rsidR="00C043AB">
        <w:t>,</w:t>
      </w:r>
      <w:r w:rsidR="003403BA">
        <w:t xml:space="preserve"> </w:t>
      </w:r>
      <w:r w:rsidR="00FA014F">
        <w:t xml:space="preserve">in </w:t>
      </w:r>
      <w:r w:rsidR="00857ADB">
        <w:t>addition to</w:t>
      </w:r>
      <w:r w:rsidR="0083381C">
        <w:t xml:space="preserve"> the environmentally hazardous substance Model </w:t>
      </w:r>
      <w:r w:rsidR="00FD3B9E">
        <w:t xml:space="preserve">Regulations </w:t>
      </w:r>
      <w:r w:rsidR="0083381C">
        <w:t>pictogram</w:t>
      </w:r>
      <w:r w:rsidR="00322DCF">
        <w:t>.</w:t>
      </w:r>
    </w:p>
    <w:p w14:paraId="253533AA" w14:textId="758F98D0" w:rsidR="00CB1F8D" w:rsidRDefault="00096B0F" w:rsidP="00096B0F">
      <w:pPr>
        <w:pStyle w:val="SingleTxtG"/>
        <w:ind w:left="1701"/>
      </w:pPr>
      <w:r>
        <w:tab/>
        <w:t>(d)</w:t>
      </w:r>
      <w:r>
        <w:tab/>
      </w:r>
      <w:r w:rsidR="00CB1F8D" w:rsidRPr="00C043AB">
        <w:t>Tables A1.8 (self-reactive substances and mixtures) and A1.15 (organic peroxides)</w:t>
      </w:r>
      <w:r w:rsidR="00CB1F8D">
        <w:t xml:space="preserve"> - For accuracy and consistency</w:t>
      </w:r>
      <w:r w:rsidR="00CB1F8D" w:rsidRPr="00050E3A">
        <w:t xml:space="preserve"> </w:t>
      </w:r>
      <w:r w:rsidR="00CB1F8D" w:rsidRPr="002A6CAC">
        <w:t xml:space="preserve">with </w:t>
      </w:r>
      <w:r w:rsidR="00CB1F8D">
        <w:t xml:space="preserve">the </w:t>
      </w:r>
      <w:r w:rsidR="004B21FD" w:rsidRPr="002A6CAC">
        <w:t>unstable explosives</w:t>
      </w:r>
      <w:r w:rsidR="004B21FD">
        <w:t xml:space="preserve"> </w:t>
      </w:r>
      <w:r w:rsidR="00CB1F8D">
        <w:t>Model Regulations</w:t>
      </w:r>
      <w:r w:rsidR="008C7A3A">
        <w:t>’</w:t>
      </w:r>
      <w:r w:rsidR="00CB1F8D">
        <w:t xml:space="preserve"> pictogram entry </w:t>
      </w:r>
      <w:r w:rsidR="00CB1F8D" w:rsidRPr="002A6CAC">
        <w:t>in Table A1.1</w:t>
      </w:r>
      <w:r w:rsidR="008C7A3A">
        <w:t>,</w:t>
      </w:r>
      <w:r w:rsidR="00CB1F8D">
        <w:t xml:space="preserve"> for</w:t>
      </w:r>
      <w:r w:rsidR="00CB1F8D" w:rsidRPr="002A6CAC">
        <w:t xml:space="preserve"> </w:t>
      </w:r>
      <w:r w:rsidR="002E160C">
        <w:t>“</w:t>
      </w:r>
      <w:r w:rsidR="00CB1F8D">
        <w:t>Type A</w:t>
      </w:r>
      <w:r w:rsidR="002E160C">
        <w:t>”</w:t>
      </w:r>
      <w:r w:rsidR="00CB1F8D">
        <w:t xml:space="preserve"> self-reactive substances and mixtures and </w:t>
      </w:r>
      <w:r w:rsidR="002E160C">
        <w:t>“</w:t>
      </w:r>
      <w:r w:rsidR="00CB1F8D">
        <w:t>Type A</w:t>
      </w:r>
      <w:r w:rsidR="002E160C">
        <w:t>”</w:t>
      </w:r>
      <w:r w:rsidR="00CB1F8D">
        <w:t xml:space="preserve"> organic peroxides entries</w:t>
      </w:r>
      <w:r w:rsidR="008C7A3A">
        <w:t>, the text</w:t>
      </w:r>
      <w:r w:rsidR="00CB1F8D">
        <w:t xml:space="preserve"> under Model Regulations pictogram column</w:t>
      </w:r>
      <w:r w:rsidR="00CB1F8D" w:rsidRPr="002A6CAC">
        <w:t xml:space="preserve"> should read </w:t>
      </w:r>
      <w:r w:rsidR="002E160C">
        <w:t>“</w:t>
      </w:r>
      <w:r w:rsidR="00CB1F8D" w:rsidRPr="002A6CAC">
        <w:t>Transport not allowed</w:t>
      </w:r>
      <w:r w:rsidR="002E160C">
        <w:t>”</w:t>
      </w:r>
      <w:r w:rsidR="00CB1F8D">
        <w:t xml:space="preserve"> </w:t>
      </w:r>
      <w:r w:rsidR="00C043AB">
        <w:t xml:space="preserve">rather than </w:t>
      </w:r>
      <w:r w:rsidR="002E160C">
        <w:t>“</w:t>
      </w:r>
      <w:r w:rsidR="00C043AB">
        <w:t>Transport may not be allowed</w:t>
      </w:r>
      <w:r w:rsidR="002E160C">
        <w:t>”</w:t>
      </w:r>
      <w:r w:rsidR="00C043AB">
        <w:t xml:space="preserve"> </w:t>
      </w:r>
      <w:r w:rsidR="00CB1F8D">
        <w:t>as these substances are not allowed to be transported</w:t>
      </w:r>
      <w:r w:rsidR="00CB1F8D" w:rsidRPr="002A6CAC">
        <w:t>.</w:t>
      </w:r>
      <w:r w:rsidR="004B21FD">
        <w:t xml:space="preserve"> </w:t>
      </w:r>
    </w:p>
    <w:p w14:paraId="2D1CDBF6" w14:textId="21C9587E" w:rsidR="00CB1F8D" w:rsidRPr="008B17C8" w:rsidRDefault="00096B0F" w:rsidP="00096B0F">
      <w:pPr>
        <w:pStyle w:val="SingleTxtG"/>
        <w:ind w:left="1701" w:hanging="567"/>
      </w:pPr>
      <w:r>
        <w:tab/>
        <w:t>(e)</w:t>
      </w:r>
      <w:r>
        <w:tab/>
      </w:r>
      <w:r w:rsidR="00547827" w:rsidRPr="00C043AB">
        <w:t xml:space="preserve">Table </w:t>
      </w:r>
      <w:r w:rsidR="00CB1F8D" w:rsidRPr="00C043AB">
        <w:t>A1.20</w:t>
      </w:r>
      <w:r w:rsidR="00547827" w:rsidRPr="00547827">
        <w:rPr>
          <w:b/>
        </w:rPr>
        <w:t xml:space="preserve"> </w:t>
      </w:r>
      <w:r w:rsidR="00547827" w:rsidRPr="00C043AB">
        <w:t>(</w:t>
      </w:r>
      <w:r w:rsidR="00CB1F8D" w:rsidRPr="00C043AB">
        <w:t>Serious eye damage/eye irritation</w:t>
      </w:r>
      <w:r w:rsidR="00547827" w:rsidRPr="00C043AB">
        <w:t xml:space="preserve">) </w:t>
      </w:r>
      <w:r w:rsidR="00547827" w:rsidRPr="00547827">
        <w:rPr>
          <w:b/>
        </w:rPr>
        <w:t xml:space="preserve">– </w:t>
      </w:r>
      <w:r w:rsidR="00CB1F8D">
        <w:t xml:space="preserve">In accordance with paragraph 3.3.2.1.2.1, Table A1.20 should have a note inserted beneath the table indicating that the hazard </w:t>
      </w:r>
      <w:r w:rsidR="00CB1F8D" w:rsidRPr="005253D6">
        <w:t xml:space="preserve">subcategories 2A and </w:t>
      </w:r>
      <w:r w:rsidR="00CB1F8D" w:rsidRPr="008B17C8">
        <w:t xml:space="preserve">2B </w:t>
      </w:r>
      <w:r w:rsidR="00CB1F8D" w:rsidRPr="00EA1292">
        <w:rPr>
          <w:iCs/>
        </w:rPr>
        <w:t xml:space="preserve">may be applied where data are </w:t>
      </w:r>
      <w:proofErr w:type="gramStart"/>
      <w:r w:rsidR="00CB1F8D" w:rsidRPr="00EA1292">
        <w:rPr>
          <w:iCs/>
        </w:rPr>
        <w:t>sufficient</w:t>
      </w:r>
      <w:proofErr w:type="gramEnd"/>
      <w:r w:rsidR="00CB1F8D" w:rsidRPr="00EA1292">
        <w:rPr>
          <w:iCs/>
        </w:rPr>
        <w:t xml:space="preserve"> and where required by a competent authority</w:t>
      </w:r>
      <w:r w:rsidR="00CB1F8D" w:rsidRPr="008B17C8">
        <w:t xml:space="preserve">. </w:t>
      </w:r>
    </w:p>
    <w:p w14:paraId="1AEF7A04" w14:textId="325C1FBF" w:rsidR="001E7E24" w:rsidRDefault="00D51F85" w:rsidP="00096B0F">
      <w:pPr>
        <w:pStyle w:val="SingleTxtG"/>
      </w:pPr>
      <w:r>
        <w:t>5.</w:t>
      </w:r>
      <w:r>
        <w:tab/>
      </w:r>
      <w:r w:rsidR="001E7E24">
        <w:t xml:space="preserve">The advantages of the proposed changes to Annex 1 </w:t>
      </w:r>
      <w:r w:rsidR="00C043AB">
        <w:t>include</w:t>
      </w:r>
      <w:r w:rsidR="001E7E24">
        <w:t>:</w:t>
      </w:r>
    </w:p>
    <w:p w14:paraId="61FBB3B6" w14:textId="5A4D478D" w:rsidR="00B16256" w:rsidRPr="00C043AB" w:rsidRDefault="00096B0F" w:rsidP="00096B0F">
      <w:pPr>
        <w:pStyle w:val="SingleTxtG"/>
      </w:pPr>
      <w:r>
        <w:tab/>
      </w:r>
      <w:r>
        <w:tab/>
        <w:t>(a)</w:t>
      </w:r>
      <w:r>
        <w:tab/>
      </w:r>
      <w:r w:rsidR="008636A0" w:rsidRPr="00C043AB">
        <w:t>Improved clarity</w:t>
      </w:r>
      <w:r w:rsidR="003C18D2" w:rsidRPr="00C043AB">
        <w:t>, consistency</w:t>
      </w:r>
      <w:r w:rsidR="00F9120E" w:rsidRPr="00C043AB">
        <w:t xml:space="preserve"> and</w:t>
      </w:r>
      <w:r w:rsidR="008636A0" w:rsidRPr="00C043AB">
        <w:t xml:space="preserve"> readability</w:t>
      </w:r>
      <w:r w:rsidR="00E644D8" w:rsidRPr="00C043AB">
        <w:t xml:space="preserve"> of the tables</w:t>
      </w:r>
      <w:r w:rsidR="008636A0" w:rsidRPr="00C043AB">
        <w:t xml:space="preserve">, </w:t>
      </w:r>
      <w:r w:rsidR="003A71F9" w:rsidRPr="00C043AB">
        <w:t>through</w:t>
      </w:r>
      <w:r w:rsidR="00C50CF0" w:rsidRPr="00C043AB">
        <w:t xml:space="preserve"> the</w:t>
      </w:r>
      <w:r w:rsidR="008636A0" w:rsidRPr="00C043AB">
        <w:t>:</w:t>
      </w:r>
    </w:p>
    <w:p w14:paraId="12F73538" w14:textId="11604C34" w:rsidR="002C70FD" w:rsidRDefault="00096B0F" w:rsidP="00096B0F">
      <w:pPr>
        <w:pStyle w:val="SingleTxtG"/>
        <w:ind w:left="2835" w:hanging="567"/>
      </w:pPr>
      <w:proofErr w:type="spellStart"/>
      <w:r>
        <w:t>i</w:t>
      </w:r>
      <w:proofErr w:type="spellEnd"/>
      <w:r>
        <w:t>.</w:t>
      </w:r>
      <w:r>
        <w:tab/>
      </w:r>
      <w:r w:rsidR="002C70FD">
        <w:t xml:space="preserve">Inclusion of </w:t>
      </w:r>
      <w:r w:rsidR="002C70FD" w:rsidRPr="00E079FC">
        <w:t>Model Regulations</w:t>
      </w:r>
      <w:r w:rsidR="008C7A3A">
        <w:t>’</w:t>
      </w:r>
      <w:r w:rsidR="002C70FD" w:rsidRPr="00E079FC">
        <w:t xml:space="preserve"> </w:t>
      </w:r>
      <w:r w:rsidR="002C70FD">
        <w:t>class or d</w:t>
      </w:r>
      <w:r w:rsidR="002C70FD" w:rsidRPr="00E079FC">
        <w:t>ivisions</w:t>
      </w:r>
      <w:r w:rsidR="002C70FD">
        <w:t>,</w:t>
      </w:r>
      <w:r w:rsidR="002C70FD" w:rsidRPr="00E644D8">
        <w:t xml:space="preserve"> </w:t>
      </w:r>
      <w:r w:rsidR="002C70FD">
        <w:t xml:space="preserve">in addition to </w:t>
      </w:r>
      <w:r w:rsidR="002C70FD" w:rsidRPr="00E079FC">
        <w:t xml:space="preserve">Model Regulations </w:t>
      </w:r>
      <w:r w:rsidR="002C70FD">
        <w:t>pictograms, in the tables enables greater clarity and comparison between the equivalent classification systems of GHS and Model Regulations</w:t>
      </w:r>
      <w:r w:rsidR="00C205FB">
        <w:t>.</w:t>
      </w:r>
    </w:p>
    <w:p w14:paraId="52491883" w14:textId="7DA6CC50" w:rsidR="008636A0" w:rsidRDefault="00096B0F" w:rsidP="00096B0F">
      <w:pPr>
        <w:pStyle w:val="SingleTxtG"/>
        <w:ind w:left="2835" w:hanging="567"/>
      </w:pPr>
      <w:r>
        <w:t>ii.</w:t>
      </w:r>
      <w:r>
        <w:tab/>
      </w:r>
      <w:r w:rsidR="00C50CF0">
        <w:t>M</w:t>
      </w:r>
      <w:r w:rsidR="00E644D8">
        <w:t>erg</w:t>
      </w:r>
      <w:r w:rsidR="00520E00">
        <w:t>er</w:t>
      </w:r>
      <w:r w:rsidR="00E644D8">
        <w:t xml:space="preserve"> (</w:t>
      </w:r>
      <w:r w:rsidR="00E644D8" w:rsidRPr="00C131F7">
        <w:t>where this aids greater clarity</w:t>
      </w:r>
      <w:r w:rsidR="00E644D8">
        <w:t xml:space="preserve">) of </w:t>
      </w:r>
      <w:r w:rsidR="008636A0" w:rsidRPr="00E079FC">
        <w:t xml:space="preserve">identical text or pictograms in adjacent </w:t>
      </w:r>
      <w:r w:rsidR="008636A0">
        <w:t>table entries</w:t>
      </w:r>
      <w:r w:rsidR="008636A0" w:rsidRPr="00E079FC">
        <w:t xml:space="preserve">, </w:t>
      </w:r>
      <w:r w:rsidR="008636A0">
        <w:t>provid</w:t>
      </w:r>
      <w:r w:rsidR="00E644D8">
        <w:t>es</w:t>
      </w:r>
      <w:r w:rsidR="008636A0">
        <w:t xml:space="preserve"> a less cluttered presentation of information in the tables and enabl</w:t>
      </w:r>
      <w:r w:rsidR="00520E00">
        <w:t>es</w:t>
      </w:r>
      <w:r w:rsidR="008636A0">
        <w:t xml:space="preserve"> easier access to relevant </w:t>
      </w:r>
      <w:r w:rsidR="00E644D8">
        <w:t xml:space="preserve">classification and labelling </w:t>
      </w:r>
      <w:r w:rsidR="008636A0">
        <w:t>information</w:t>
      </w:r>
      <w:r w:rsidR="007F3D2B">
        <w:t xml:space="preserve"> for the labelling practitioner</w:t>
      </w:r>
      <w:r w:rsidR="00520E00">
        <w:t>;</w:t>
      </w:r>
    </w:p>
    <w:p w14:paraId="1B40C209" w14:textId="12178FCD" w:rsidR="004F0816" w:rsidRDefault="00096B0F" w:rsidP="00096B0F">
      <w:pPr>
        <w:pStyle w:val="SingleTxtG"/>
        <w:ind w:left="2835" w:hanging="567"/>
      </w:pPr>
      <w:r>
        <w:t>iii.</w:t>
      </w:r>
      <w:r>
        <w:tab/>
      </w:r>
      <w:r w:rsidR="00C50CF0">
        <w:t>I</w:t>
      </w:r>
      <w:r w:rsidR="003A71F9">
        <w:t>ntroduction of n</w:t>
      </w:r>
      <w:r w:rsidR="00520E00">
        <w:t>ew notes</w:t>
      </w:r>
      <w:r w:rsidR="00520E00" w:rsidRPr="00E079FC">
        <w:t xml:space="preserve"> </w:t>
      </w:r>
      <w:r w:rsidR="00520E00">
        <w:t xml:space="preserve">at the beginning of Annex 1 that </w:t>
      </w:r>
      <w:r w:rsidR="00BF3737">
        <w:t>provide</w:t>
      </w:r>
      <w:r w:rsidR="00EB0CDE">
        <w:t>:</w:t>
      </w:r>
    </w:p>
    <w:p w14:paraId="0723C3DB" w14:textId="7487B430" w:rsidR="00520E00" w:rsidRDefault="003A71F9" w:rsidP="00096B0F">
      <w:pPr>
        <w:pStyle w:val="SingleTxtG"/>
        <w:numPr>
          <w:ilvl w:val="0"/>
          <w:numId w:val="27"/>
        </w:numPr>
      </w:pPr>
      <w:r>
        <w:t>C</w:t>
      </w:r>
      <w:r w:rsidR="007F3D2B">
        <w:t xml:space="preserve">lear </w:t>
      </w:r>
      <w:r w:rsidR="00D20C3C">
        <w:t xml:space="preserve">reasoning behind the inclusion </w:t>
      </w:r>
      <w:r w:rsidR="00BF3737">
        <w:t xml:space="preserve">of </w:t>
      </w:r>
      <w:r w:rsidR="00E927DD" w:rsidRPr="00E079FC">
        <w:t>Model Regulations</w:t>
      </w:r>
      <w:r w:rsidR="008C7A3A">
        <w:t>’</w:t>
      </w:r>
      <w:r w:rsidR="00E927DD" w:rsidRPr="00E079FC">
        <w:t xml:space="preserve"> </w:t>
      </w:r>
      <w:r w:rsidR="00E927DD">
        <w:t xml:space="preserve">classification </w:t>
      </w:r>
      <w:r w:rsidR="00BF3737">
        <w:t>and labelling in the tables of Annex 1</w:t>
      </w:r>
      <w:r w:rsidR="00D20C3C">
        <w:t>, whilst also directing the</w:t>
      </w:r>
      <w:r w:rsidR="00E927DD">
        <w:t xml:space="preserve"> </w:t>
      </w:r>
      <w:r w:rsidR="00D20C3C">
        <w:t xml:space="preserve">reader to the </w:t>
      </w:r>
      <w:r w:rsidR="00D20C3C" w:rsidRPr="00E079FC">
        <w:t>Model Regulations</w:t>
      </w:r>
      <w:r w:rsidR="00D20C3C">
        <w:t xml:space="preserve"> for definitive classification and labelling</w:t>
      </w:r>
      <w:r w:rsidR="00F70950">
        <w:t xml:space="preserve"> under those regulations (Note 2).</w:t>
      </w:r>
    </w:p>
    <w:p w14:paraId="5B62834B" w14:textId="5492AF16" w:rsidR="00F70950" w:rsidRDefault="003A71F9" w:rsidP="00096B0F">
      <w:pPr>
        <w:pStyle w:val="SingleTxtG"/>
        <w:numPr>
          <w:ilvl w:val="0"/>
          <w:numId w:val="27"/>
        </w:numPr>
      </w:pPr>
      <w:r>
        <w:t>C</w:t>
      </w:r>
      <w:r w:rsidR="00F70950">
        <w:t>onsistent information on the display of pictograms in the tables (Note 3)</w:t>
      </w:r>
      <w:r w:rsidR="00D1093A">
        <w:t>.</w:t>
      </w:r>
    </w:p>
    <w:p w14:paraId="2F2AFFFF" w14:textId="68C239AC" w:rsidR="00AA6815" w:rsidRDefault="00D759D5" w:rsidP="00D759D5">
      <w:pPr>
        <w:pStyle w:val="SingleTxtG"/>
        <w:ind w:left="2835" w:hanging="567"/>
      </w:pPr>
      <w:r>
        <w:t>iv.</w:t>
      </w:r>
      <w:r>
        <w:tab/>
      </w:r>
      <w:r w:rsidR="00C50CF0">
        <w:t>I</w:t>
      </w:r>
      <w:r w:rsidR="00C90FE6">
        <w:t xml:space="preserve">nclusion </w:t>
      </w:r>
      <w:r w:rsidR="007F3D2B">
        <w:t xml:space="preserve">in the tables </w:t>
      </w:r>
      <w:r w:rsidR="00C90FE6">
        <w:t xml:space="preserve">of alternative </w:t>
      </w:r>
      <w:r w:rsidR="00C90FE6" w:rsidRPr="00E079FC">
        <w:t>Model Regulations</w:t>
      </w:r>
      <w:r w:rsidR="008C7A3A">
        <w:t>’</w:t>
      </w:r>
      <w:r w:rsidR="00C90FE6" w:rsidRPr="00E079FC">
        <w:t xml:space="preserve"> pictograms</w:t>
      </w:r>
      <w:r w:rsidR="00C90FE6">
        <w:t>,</w:t>
      </w:r>
      <w:r w:rsidR="00C90FE6" w:rsidRPr="00E079FC">
        <w:t xml:space="preserve"> </w:t>
      </w:r>
      <w:r w:rsidR="00C90FE6">
        <w:t xml:space="preserve">where these are </w:t>
      </w:r>
      <w:r w:rsidR="009B2C28">
        <w:t>available,</w:t>
      </w:r>
      <w:r w:rsidR="00C90FE6">
        <w:t xml:space="preserve"> </w:t>
      </w:r>
      <w:r w:rsidR="009B2C28">
        <w:t xml:space="preserve">together with the use of the word </w:t>
      </w:r>
      <w:r w:rsidR="00C90FE6" w:rsidRPr="00E079FC">
        <w:t>‘</w:t>
      </w:r>
      <w:r w:rsidR="00C90FE6" w:rsidRPr="00AA6815">
        <w:rPr>
          <w:i/>
        </w:rPr>
        <w:t>or</w:t>
      </w:r>
      <w:r w:rsidR="00C90FE6" w:rsidRPr="00E079FC">
        <w:t xml:space="preserve">’ </w:t>
      </w:r>
      <w:r w:rsidR="00C90FE6">
        <w:t xml:space="preserve">in </w:t>
      </w:r>
      <w:r w:rsidR="00C90FE6">
        <w:lastRenderedPageBreak/>
        <w:t>between the</w:t>
      </w:r>
      <w:r w:rsidR="009B2C28">
        <w:t>se</w:t>
      </w:r>
      <w:r w:rsidR="00C90FE6">
        <w:t xml:space="preserve"> pictograms </w:t>
      </w:r>
      <w:r w:rsidR="00C90FE6" w:rsidRPr="00E079FC">
        <w:t xml:space="preserve">to </w:t>
      </w:r>
      <w:r w:rsidR="009B2C28">
        <w:t xml:space="preserve">clearly indicate that </w:t>
      </w:r>
      <w:r w:rsidR="003A71F9">
        <w:t xml:space="preserve">either </w:t>
      </w:r>
      <w:r w:rsidR="009B2C28" w:rsidRPr="00E079FC">
        <w:t>alternative</w:t>
      </w:r>
      <w:r w:rsidR="009B2C28">
        <w:t xml:space="preserve"> </w:t>
      </w:r>
      <w:r w:rsidR="003A71F9">
        <w:t>is</w:t>
      </w:r>
      <w:r w:rsidR="009B2C28">
        <w:t xml:space="preserve"> available to be used</w:t>
      </w:r>
      <w:r w:rsidR="009B2C28" w:rsidRPr="00E079FC">
        <w:t xml:space="preserve"> </w:t>
      </w:r>
      <w:r w:rsidR="00C90FE6">
        <w:t>(see Tables A1.2</w:t>
      </w:r>
      <w:r w:rsidR="008C7A3A">
        <w:t>,</w:t>
      </w:r>
      <w:r w:rsidR="00C90FE6">
        <w:t xml:space="preserve"> A1.3</w:t>
      </w:r>
      <w:r w:rsidR="008C7A3A">
        <w:t>,</w:t>
      </w:r>
      <w:r w:rsidR="00C90FE6">
        <w:t xml:space="preserve"> A1.4</w:t>
      </w:r>
      <w:r w:rsidR="008C7A3A">
        <w:t>,</w:t>
      </w:r>
      <w:r w:rsidR="00C90FE6">
        <w:t xml:space="preserve"> A1.5</w:t>
      </w:r>
      <w:r w:rsidR="008C7A3A">
        <w:t>,</w:t>
      </w:r>
      <w:r w:rsidR="00C90FE6">
        <w:t xml:space="preserve"> A1.6</w:t>
      </w:r>
      <w:r w:rsidR="008C7A3A">
        <w:t>,</w:t>
      </w:r>
      <w:r w:rsidR="00C90FE6">
        <w:t xml:space="preserve"> A1.12</w:t>
      </w:r>
      <w:r w:rsidR="008C7A3A">
        <w:t>,</w:t>
      </w:r>
      <w:r w:rsidR="00C90FE6">
        <w:t xml:space="preserve"> A1.15</w:t>
      </w:r>
      <w:r w:rsidR="008C7A3A">
        <w:t>,</w:t>
      </w:r>
      <w:r w:rsidR="00C90FE6">
        <w:t xml:space="preserve"> A1.17</w:t>
      </w:r>
      <w:r w:rsidR="00C90FE6" w:rsidRPr="00824323">
        <w:t xml:space="preserve"> </w:t>
      </w:r>
      <w:r w:rsidR="00C90FE6">
        <w:t xml:space="preserve">in </w:t>
      </w:r>
      <w:r w:rsidR="001828DE">
        <w:t xml:space="preserve">informal document </w:t>
      </w:r>
      <w:r w:rsidR="00C90FE6" w:rsidRPr="008C7A3A">
        <w:t>INF.</w:t>
      </w:r>
      <w:r w:rsidRPr="008C7A3A">
        <w:t>3</w:t>
      </w:r>
      <w:r w:rsidR="00C90FE6">
        <w:t>).</w:t>
      </w:r>
    </w:p>
    <w:p w14:paraId="3044C4E7" w14:textId="37DE6969" w:rsidR="0081504C" w:rsidRDefault="00D759D5" w:rsidP="00D759D5">
      <w:pPr>
        <w:pStyle w:val="SingleTxtG"/>
        <w:ind w:left="2835" w:hanging="567"/>
      </w:pPr>
      <w:r>
        <w:t>v.</w:t>
      </w:r>
      <w:r>
        <w:tab/>
      </w:r>
      <w:r w:rsidR="00C50CF0">
        <w:t xml:space="preserve">Inclusion of the word </w:t>
      </w:r>
      <w:r w:rsidR="002E160C">
        <w:t>“</w:t>
      </w:r>
      <w:r w:rsidR="00C50CF0" w:rsidRPr="00C50CF0">
        <w:rPr>
          <w:i/>
        </w:rPr>
        <w:t>and</w:t>
      </w:r>
      <w:r w:rsidR="002E160C">
        <w:rPr>
          <w:i/>
        </w:rPr>
        <w:t>”</w:t>
      </w:r>
      <w:r w:rsidR="00C50CF0">
        <w:t xml:space="preserve"> in between two pictograms </w:t>
      </w:r>
      <w:r w:rsidR="00757D6E">
        <w:t xml:space="preserve">displayed </w:t>
      </w:r>
      <w:r w:rsidR="00C50CF0">
        <w:t xml:space="preserve">in a table entry for a given hazard class </w:t>
      </w:r>
      <w:r w:rsidR="00C043AB">
        <w:t xml:space="preserve">or category </w:t>
      </w:r>
      <w:r w:rsidR="00C50CF0">
        <w:t xml:space="preserve">to clearly </w:t>
      </w:r>
      <w:r w:rsidR="003A71F9">
        <w:t>indicat</w:t>
      </w:r>
      <w:r w:rsidR="00C50CF0">
        <w:t>e</w:t>
      </w:r>
      <w:r w:rsidR="003A71F9">
        <w:t xml:space="preserve"> </w:t>
      </w:r>
      <w:r w:rsidR="00C50CF0">
        <w:t xml:space="preserve">that both </w:t>
      </w:r>
      <w:r w:rsidR="00AA6815">
        <w:t xml:space="preserve">pictograms are required </w:t>
      </w:r>
      <w:r w:rsidR="00C043AB">
        <w:t xml:space="preserve">to be used </w:t>
      </w:r>
      <w:r w:rsidR="00AA6815">
        <w:t>(see Table A1.3</w:t>
      </w:r>
      <w:r w:rsidR="008C7A3A">
        <w:t>,</w:t>
      </w:r>
      <w:r w:rsidR="00AA6815">
        <w:t xml:space="preserve"> A1.4</w:t>
      </w:r>
      <w:r w:rsidR="008C7A3A">
        <w:t>,</w:t>
      </w:r>
      <w:r w:rsidR="00AA6815">
        <w:t xml:space="preserve"> A1.8</w:t>
      </w:r>
      <w:r w:rsidR="008C7A3A">
        <w:t>,</w:t>
      </w:r>
      <w:r w:rsidR="00DB03CB">
        <w:t xml:space="preserve"> A1.15</w:t>
      </w:r>
      <w:r w:rsidR="008C7A3A">
        <w:t>,</w:t>
      </w:r>
      <w:r w:rsidR="00AA6815">
        <w:t xml:space="preserve"> A1.29(a)</w:t>
      </w:r>
      <w:r w:rsidR="008C7A3A">
        <w:t>,</w:t>
      </w:r>
      <w:r w:rsidR="00AA6815">
        <w:t xml:space="preserve"> A1.29(b) in </w:t>
      </w:r>
      <w:r w:rsidR="001828DE">
        <w:t xml:space="preserve">informal document </w:t>
      </w:r>
      <w:r w:rsidR="00AA6815" w:rsidRPr="008C7A3A">
        <w:t>INF.</w:t>
      </w:r>
      <w:r w:rsidRPr="008C7A3A">
        <w:t>3</w:t>
      </w:r>
      <w:r w:rsidR="00AA6815">
        <w:t>)</w:t>
      </w:r>
      <w:r w:rsidR="00D1093A">
        <w:t>.</w:t>
      </w:r>
    </w:p>
    <w:p w14:paraId="283C4E93" w14:textId="7C922971" w:rsidR="00AA6815" w:rsidRDefault="00D759D5" w:rsidP="00D759D5">
      <w:pPr>
        <w:pStyle w:val="SingleTxtG"/>
        <w:ind w:left="2835" w:hanging="567"/>
      </w:pPr>
      <w:r>
        <w:t>vi.</w:t>
      </w:r>
      <w:r>
        <w:tab/>
      </w:r>
      <w:r w:rsidR="009A451D">
        <w:t xml:space="preserve">Inclusion of the words </w:t>
      </w:r>
      <w:r w:rsidR="002E160C">
        <w:t>“</w:t>
      </w:r>
      <w:r w:rsidR="009A451D" w:rsidRPr="0081504C">
        <w:rPr>
          <w:i/>
        </w:rPr>
        <w:t xml:space="preserve">and if applicable </w:t>
      </w:r>
      <w:r w:rsidR="009A451D" w:rsidRPr="0081504C">
        <w:rPr>
          <w:i/>
          <w:vertAlign w:val="superscript"/>
        </w:rPr>
        <w:t>a</w:t>
      </w:r>
      <w:r w:rsidR="002E160C">
        <w:t>”</w:t>
      </w:r>
      <w:r w:rsidR="009A451D" w:rsidRPr="00201AA2">
        <w:t xml:space="preserve"> </w:t>
      </w:r>
      <w:r w:rsidR="00757D6E">
        <w:t xml:space="preserve">between </w:t>
      </w:r>
      <w:r w:rsidR="00C205FB">
        <w:t xml:space="preserve">the </w:t>
      </w:r>
      <w:r w:rsidR="00757D6E">
        <w:t>two</w:t>
      </w:r>
      <w:r w:rsidR="009A451D" w:rsidRPr="00201AA2">
        <w:t xml:space="preserve"> pictograms</w:t>
      </w:r>
      <w:r w:rsidR="00C205FB">
        <w:t xml:space="preserve"> displayed for </w:t>
      </w:r>
      <w:r w:rsidR="002E160C">
        <w:t>“</w:t>
      </w:r>
      <w:r w:rsidR="00C205FB">
        <w:t>Type B</w:t>
      </w:r>
      <w:r w:rsidR="002E160C">
        <w:t>”</w:t>
      </w:r>
      <w:r w:rsidR="00C205FB">
        <w:t xml:space="preserve"> self-reactive substances and mixtures or </w:t>
      </w:r>
      <w:r w:rsidR="002E160C">
        <w:t>“</w:t>
      </w:r>
      <w:r w:rsidR="00C205FB">
        <w:t>Type B</w:t>
      </w:r>
      <w:r w:rsidR="002E160C">
        <w:t>”</w:t>
      </w:r>
      <w:r w:rsidR="00C205FB">
        <w:t xml:space="preserve"> organic peroxides</w:t>
      </w:r>
      <w:r w:rsidR="00601C90">
        <w:t>, with additional information provided in a note beneath table,</w:t>
      </w:r>
      <w:r w:rsidR="00757D6E">
        <w:t xml:space="preserve"> </w:t>
      </w:r>
      <w:r w:rsidR="009A451D">
        <w:t xml:space="preserve">to clearly indicate </w:t>
      </w:r>
      <w:r w:rsidR="00DB03CB">
        <w:t xml:space="preserve">that </w:t>
      </w:r>
      <w:r w:rsidR="00C205FB">
        <w:t>if</w:t>
      </w:r>
      <w:r w:rsidR="00C205FB" w:rsidRPr="00201AA2">
        <w:t xml:space="preserve"> </w:t>
      </w:r>
      <w:r w:rsidR="00AA6815" w:rsidRPr="00201AA2">
        <w:t xml:space="preserve">there is an explosive subsidiary risk (see Tables A1.8 and A1.15 in </w:t>
      </w:r>
      <w:r w:rsidR="001828DE">
        <w:t xml:space="preserve">informal document </w:t>
      </w:r>
      <w:r w:rsidR="00AA6815" w:rsidRPr="008C7A3A">
        <w:t>INF.</w:t>
      </w:r>
      <w:r w:rsidRPr="008C7A3A">
        <w:t>3</w:t>
      </w:r>
      <w:r w:rsidR="00AA6815" w:rsidRPr="00201AA2">
        <w:t xml:space="preserve">), then </w:t>
      </w:r>
      <w:r w:rsidR="00757D6E">
        <w:t>the</w:t>
      </w:r>
      <w:r w:rsidR="00AA6815" w:rsidRPr="00201AA2">
        <w:t xml:space="preserve"> second pictogram (orange </w:t>
      </w:r>
      <w:r w:rsidR="002E160C">
        <w:t>“</w:t>
      </w:r>
      <w:r w:rsidR="00AA6815" w:rsidRPr="00201AA2">
        <w:t>exploding bomb</w:t>
      </w:r>
      <w:r w:rsidR="002E160C">
        <w:t>”</w:t>
      </w:r>
      <w:r w:rsidR="00AA6815" w:rsidRPr="00201AA2">
        <w:t xml:space="preserve"> Model Regulations</w:t>
      </w:r>
      <w:r w:rsidR="008C7A3A">
        <w:t>’</w:t>
      </w:r>
      <w:r w:rsidR="00AA6815" w:rsidRPr="00201AA2">
        <w:t xml:space="preserve"> pictogram) is also be required </w:t>
      </w:r>
      <w:r w:rsidR="00757D6E">
        <w:t>to be used</w:t>
      </w:r>
      <w:r w:rsidR="00AA6815">
        <w:t xml:space="preserve">. </w:t>
      </w:r>
    </w:p>
    <w:p w14:paraId="770B1D31" w14:textId="2A9A1ECB" w:rsidR="007F3D2B" w:rsidRPr="007F3D2B" w:rsidRDefault="00D759D5" w:rsidP="00D759D5">
      <w:pPr>
        <w:pStyle w:val="SingleTxtG"/>
        <w:ind w:left="2835" w:hanging="567"/>
      </w:pPr>
      <w:r>
        <w:t>vii.</w:t>
      </w:r>
      <w:r>
        <w:tab/>
      </w:r>
      <w:r w:rsidR="009A451D">
        <w:t>D</w:t>
      </w:r>
      <w:r w:rsidR="007F3D2B">
        <w:t xml:space="preserve">eletion of inconsistently worded notes beneath tables </w:t>
      </w:r>
      <w:r w:rsidR="00A70730">
        <w:t xml:space="preserve">that relate to alternative pictograms </w:t>
      </w:r>
      <w:r w:rsidR="007F3D2B" w:rsidRPr="00672A0D">
        <w:rPr>
          <w:szCs w:val="22"/>
        </w:rPr>
        <w:t xml:space="preserve">(see Tables </w:t>
      </w:r>
      <w:r w:rsidR="007F3D2B" w:rsidRPr="00DB03CB">
        <w:rPr>
          <w:szCs w:val="22"/>
        </w:rPr>
        <w:t>A1.2</w:t>
      </w:r>
      <w:r w:rsidR="008C7A3A">
        <w:rPr>
          <w:szCs w:val="22"/>
        </w:rPr>
        <w:t>,</w:t>
      </w:r>
      <w:r w:rsidR="007F3D2B" w:rsidRPr="00DB03CB">
        <w:rPr>
          <w:szCs w:val="22"/>
        </w:rPr>
        <w:t xml:space="preserve"> A1.3</w:t>
      </w:r>
      <w:r w:rsidR="008C7A3A">
        <w:rPr>
          <w:szCs w:val="22"/>
        </w:rPr>
        <w:t>,</w:t>
      </w:r>
      <w:r w:rsidR="007F3D2B" w:rsidRPr="00DB03CB">
        <w:rPr>
          <w:szCs w:val="22"/>
        </w:rPr>
        <w:t xml:space="preserve"> A1.5</w:t>
      </w:r>
      <w:r w:rsidR="008C7A3A">
        <w:rPr>
          <w:szCs w:val="22"/>
        </w:rPr>
        <w:t>,</w:t>
      </w:r>
      <w:r w:rsidR="007F3D2B" w:rsidRPr="00DB03CB">
        <w:rPr>
          <w:szCs w:val="22"/>
        </w:rPr>
        <w:t xml:space="preserve"> A1.6</w:t>
      </w:r>
      <w:r w:rsidR="008C7A3A">
        <w:rPr>
          <w:szCs w:val="22"/>
        </w:rPr>
        <w:t>,</w:t>
      </w:r>
      <w:r w:rsidR="007F3D2B" w:rsidRPr="00DB03CB">
        <w:rPr>
          <w:szCs w:val="22"/>
        </w:rPr>
        <w:t xml:space="preserve"> A1.12</w:t>
      </w:r>
      <w:r w:rsidR="00A70730">
        <w:rPr>
          <w:szCs w:val="22"/>
        </w:rPr>
        <w:t xml:space="preserve"> in </w:t>
      </w:r>
      <w:r w:rsidR="001828DE">
        <w:t xml:space="preserve">informal document </w:t>
      </w:r>
      <w:r w:rsidR="00A70730" w:rsidRPr="008C7A3A">
        <w:rPr>
          <w:szCs w:val="22"/>
        </w:rPr>
        <w:t>INF.</w:t>
      </w:r>
      <w:r w:rsidRPr="008C7A3A">
        <w:rPr>
          <w:szCs w:val="22"/>
        </w:rPr>
        <w:t>3</w:t>
      </w:r>
      <w:r w:rsidR="007F3D2B" w:rsidRPr="00672A0D">
        <w:rPr>
          <w:szCs w:val="22"/>
        </w:rPr>
        <w:t>)</w:t>
      </w:r>
      <w:r w:rsidR="007A3369">
        <w:rPr>
          <w:szCs w:val="22"/>
        </w:rPr>
        <w:t xml:space="preserve">, with a more detailed note (Note 3) on the display of pictograms, including alternatives, provided at the beginning </w:t>
      </w:r>
      <w:r>
        <w:rPr>
          <w:szCs w:val="22"/>
        </w:rPr>
        <w:t>viii.</w:t>
      </w:r>
    </w:p>
    <w:p w14:paraId="73A9CE88" w14:textId="77ACBA74" w:rsidR="003C18D2" w:rsidRDefault="00D759D5" w:rsidP="00D759D5">
      <w:pPr>
        <w:pStyle w:val="SingleTxtG"/>
        <w:ind w:left="2835" w:hanging="567"/>
      </w:pPr>
      <w:r>
        <w:t>viii.</w:t>
      </w:r>
      <w:r>
        <w:tab/>
      </w:r>
      <w:r w:rsidR="009A451D">
        <w:t>R</w:t>
      </w:r>
      <w:r w:rsidR="008A5C4E">
        <w:t>edrafting of other n</w:t>
      </w:r>
      <w:r w:rsidR="00A70730">
        <w:t xml:space="preserve">otes beneath </w:t>
      </w:r>
      <w:r w:rsidR="008A5C4E">
        <w:t xml:space="preserve">several </w:t>
      </w:r>
      <w:r w:rsidR="00A70730">
        <w:t xml:space="preserve">tables </w:t>
      </w:r>
      <w:r w:rsidR="008A5C4E">
        <w:t xml:space="preserve">(see Tables </w:t>
      </w:r>
      <w:r w:rsidR="00CE2409">
        <w:t>A1.1</w:t>
      </w:r>
      <w:r w:rsidR="00526B46">
        <w:t>,</w:t>
      </w:r>
      <w:r w:rsidR="00CE2409">
        <w:t xml:space="preserve"> </w:t>
      </w:r>
      <w:r w:rsidR="008A5C4E">
        <w:t>A1.5</w:t>
      </w:r>
      <w:r w:rsidR="00526B46">
        <w:t>,</w:t>
      </w:r>
      <w:r w:rsidR="008A5C4E">
        <w:t xml:space="preserve"> A1.8</w:t>
      </w:r>
      <w:r w:rsidR="00526B46">
        <w:t>,</w:t>
      </w:r>
      <w:r w:rsidR="008A5C4E">
        <w:t xml:space="preserve"> A1.15</w:t>
      </w:r>
      <w:r w:rsidR="00526B46">
        <w:t>,</w:t>
      </w:r>
      <w:r w:rsidR="008A5C4E">
        <w:t xml:space="preserve"> A1.17</w:t>
      </w:r>
      <w:r w:rsidR="00526B46">
        <w:t>,</w:t>
      </w:r>
      <w:r w:rsidR="008A5C4E">
        <w:t xml:space="preserve"> A1.18</w:t>
      </w:r>
      <w:r w:rsidR="00526B46">
        <w:t>,</w:t>
      </w:r>
      <w:r w:rsidR="008A5C4E">
        <w:t xml:space="preserve"> A1.19</w:t>
      </w:r>
      <w:r w:rsidR="00526B46">
        <w:t>,</w:t>
      </w:r>
      <w:r w:rsidR="008A5C4E" w:rsidRPr="00A70730">
        <w:t xml:space="preserve"> </w:t>
      </w:r>
      <w:r w:rsidR="008A5C4E">
        <w:t>A1.21</w:t>
      </w:r>
      <w:r w:rsidR="00526B46">
        <w:t>,</w:t>
      </w:r>
      <w:r w:rsidR="008A5C4E">
        <w:t xml:space="preserve"> A1.22</w:t>
      </w:r>
      <w:r w:rsidR="00526B46">
        <w:t>,</w:t>
      </w:r>
      <w:r w:rsidR="008A5C4E">
        <w:t xml:space="preserve"> A1.29(a)</w:t>
      </w:r>
      <w:r w:rsidR="00526B46">
        <w:t>,</w:t>
      </w:r>
      <w:r w:rsidR="008A5C4E">
        <w:t xml:space="preserve"> A1.29(b)</w:t>
      </w:r>
      <w:r w:rsidR="00F576F2" w:rsidRPr="00F576F2">
        <w:rPr>
          <w:szCs w:val="22"/>
        </w:rPr>
        <w:t xml:space="preserve"> </w:t>
      </w:r>
      <w:r w:rsidR="00F576F2">
        <w:rPr>
          <w:szCs w:val="22"/>
        </w:rPr>
        <w:t xml:space="preserve">in </w:t>
      </w:r>
      <w:r w:rsidR="001828DE">
        <w:t xml:space="preserve">informal document </w:t>
      </w:r>
      <w:r w:rsidR="00F576F2" w:rsidRPr="00526B46">
        <w:rPr>
          <w:szCs w:val="22"/>
        </w:rPr>
        <w:t>INF.</w:t>
      </w:r>
      <w:r w:rsidRPr="00526B46">
        <w:rPr>
          <w:szCs w:val="22"/>
        </w:rPr>
        <w:t>3</w:t>
      </w:r>
      <w:r w:rsidR="008A5C4E">
        <w:t xml:space="preserve">) and inclusion of new notes (see </w:t>
      </w:r>
      <w:r w:rsidR="00F576F2">
        <w:t xml:space="preserve">Tables </w:t>
      </w:r>
      <w:r w:rsidR="008A5C4E">
        <w:t>A1.2</w:t>
      </w:r>
      <w:r w:rsidR="00526B46">
        <w:t>,</w:t>
      </w:r>
      <w:r w:rsidR="008A5C4E">
        <w:t xml:space="preserve"> A1.4</w:t>
      </w:r>
      <w:r w:rsidR="00526B46">
        <w:t>,</w:t>
      </w:r>
      <w:r w:rsidR="008A5C4E">
        <w:t xml:space="preserve"> </w:t>
      </w:r>
      <w:r w:rsidR="00CE2409">
        <w:t>A1.6</w:t>
      </w:r>
      <w:r w:rsidR="00526B46">
        <w:t>,</w:t>
      </w:r>
      <w:r w:rsidR="00CE2409">
        <w:t xml:space="preserve"> </w:t>
      </w:r>
      <w:r w:rsidR="008A5C4E">
        <w:t>A1.20</w:t>
      </w:r>
      <w:r w:rsidR="00F576F2" w:rsidRPr="00F576F2">
        <w:rPr>
          <w:szCs w:val="22"/>
        </w:rPr>
        <w:t xml:space="preserve"> </w:t>
      </w:r>
      <w:r w:rsidR="00F576F2">
        <w:rPr>
          <w:szCs w:val="22"/>
        </w:rPr>
        <w:t xml:space="preserve">in </w:t>
      </w:r>
      <w:r w:rsidR="001828DE">
        <w:t xml:space="preserve">informal document </w:t>
      </w:r>
      <w:r w:rsidR="00F576F2" w:rsidRPr="00526B46">
        <w:rPr>
          <w:szCs w:val="22"/>
        </w:rPr>
        <w:t>INF.</w:t>
      </w:r>
      <w:r w:rsidRPr="00526B46">
        <w:rPr>
          <w:szCs w:val="22"/>
        </w:rPr>
        <w:t>3</w:t>
      </w:r>
      <w:r w:rsidR="008A5C4E">
        <w:t xml:space="preserve">) </w:t>
      </w:r>
      <w:r w:rsidR="00C205FB">
        <w:t xml:space="preserve">that </w:t>
      </w:r>
      <w:r w:rsidR="008A5C4E">
        <w:t>provide</w:t>
      </w:r>
      <w:r w:rsidR="00B71430">
        <w:t>s</w:t>
      </w:r>
      <w:r w:rsidR="00F576F2">
        <w:t xml:space="preserve"> </w:t>
      </w:r>
      <w:r w:rsidR="008A5C4E">
        <w:t>greater</w:t>
      </w:r>
      <w:r w:rsidR="008A5C4E" w:rsidRPr="00E079FC">
        <w:t xml:space="preserve"> clarity</w:t>
      </w:r>
      <w:r w:rsidR="00C947C9">
        <w:t>, accuracy</w:t>
      </w:r>
      <w:r w:rsidR="008A5C4E" w:rsidRPr="00E079FC">
        <w:t xml:space="preserve"> and consistency</w:t>
      </w:r>
      <w:r w:rsidR="00AE3872">
        <w:t xml:space="preserve"> of </w:t>
      </w:r>
      <w:r w:rsidR="00C947C9">
        <w:t xml:space="preserve">information </w:t>
      </w:r>
      <w:r w:rsidR="00C205FB">
        <w:t xml:space="preserve">presented </w:t>
      </w:r>
      <w:r w:rsidR="00C947C9">
        <w:t>in Annex 1</w:t>
      </w:r>
      <w:r w:rsidR="00F576F2">
        <w:t>.</w:t>
      </w:r>
      <w:r w:rsidR="00CE2409">
        <w:t xml:space="preserve"> </w:t>
      </w:r>
    </w:p>
    <w:p w14:paraId="3D8A0E99" w14:textId="197FD421" w:rsidR="003C18D2" w:rsidRDefault="00D759D5" w:rsidP="00D759D5">
      <w:pPr>
        <w:pStyle w:val="SingleTxtG"/>
        <w:ind w:left="2835" w:hanging="567"/>
      </w:pPr>
      <w:r>
        <w:t>ix.</w:t>
      </w:r>
      <w:r>
        <w:tab/>
      </w:r>
      <w:r w:rsidR="003C18D2">
        <w:t>Consistent</w:t>
      </w:r>
      <w:r w:rsidR="00757D6E">
        <w:t xml:space="preserve">ly used </w:t>
      </w:r>
      <w:r w:rsidR="003C18D2">
        <w:t>terminology in the tables</w:t>
      </w:r>
      <w:r w:rsidR="008229A9">
        <w:t xml:space="preserve"> and notes</w:t>
      </w:r>
      <w:r w:rsidR="003C18D2">
        <w:t>, including:</w:t>
      </w:r>
    </w:p>
    <w:p w14:paraId="55D8C2FE" w14:textId="083DE336" w:rsidR="00B35DA4" w:rsidRDefault="00B35DA4" w:rsidP="00D759D5">
      <w:pPr>
        <w:pStyle w:val="SingleTxtG"/>
        <w:numPr>
          <w:ilvl w:val="0"/>
          <w:numId w:val="27"/>
        </w:numPr>
      </w:pPr>
      <w:r>
        <w:t>Where there is no Model Regulations</w:t>
      </w:r>
      <w:r w:rsidR="00526B46">
        <w:t>’</w:t>
      </w:r>
      <w:r>
        <w:t xml:space="preserve"> classification or pictogram for a particular hazard class or category, the term ‘</w:t>
      </w:r>
      <w:r w:rsidRPr="00B35DA4">
        <w:rPr>
          <w:i/>
        </w:rPr>
        <w:t>Not applicable</w:t>
      </w:r>
      <w:r>
        <w:t xml:space="preserve">’ is used in the relevant table entries under the </w:t>
      </w:r>
      <w:r w:rsidR="001E4F35">
        <w:t xml:space="preserve">respective </w:t>
      </w:r>
      <w:r>
        <w:t xml:space="preserve">columns to help ensure consistent terminology is used </w:t>
      </w:r>
      <w:r w:rsidR="00C205FB">
        <w:t xml:space="preserve">in the tables </w:t>
      </w:r>
      <w:r>
        <w:t>(see Tables A1.2</w:t>
      </w:r>
      <w:r w:rsidR="00526B46">
        <w:t>,</w:t>
      </w:r>
      <w:r>
        <w:t xml:space="preserve"> A1.6</w:t>
      </w:r>
      <w:r w:rsidR="00526B46">
        <w:t>,</w:t>
      </w:r>
      <w:r>
        <w:t xml:space="preserve"> A1.8</w:t>
      </w:r>
      <w:r w:rsidR="00526B46">
        <w:t>,</w:t>
      </w:r>
      <w:r>
        <w:t xml:space="preserve"> A1.15</w:t>
      </w:r>
      <w:r w:rsidR="00526B46">
        <w:t>,</w:t>
      </w:r>
      <w:r>
        <w:t xml:space="preserve"> A1.18</w:t>
      </w:r>
      <w:r w:rsidR="00526B46">
        <w:t>,</w:t>
      </w:r>
      <w:r>
        <w:t xml:space="preserve"> A1.19</w:t>
      </w:r>
      <w:r w:rsidR="00526B46">
        <w:t>,</w:t>
      </w:r>
      <w:r>
        <w:t xml:space="preserve"> A1.20</w:t>
      </w:r>
      <w:r w:rsidR="00526B46">
        <w:t>,</w:t>
      </w:r>
      <w:r>
        <w:t xml:space="preserve"> A1.21</w:t>
      </w:r>
      <w:r w:rsidR="00526B46">
        <w:t>,</w:t>
      </w:r>
      <w:r>
        <w:t xml:space="preserve"> A1.22</w:t>
      </w:r>
      <w:r w:rsidR="00526B46">
        <w:t>,</w:t>
      </w:r>
      <w:r>
        <w:t xml:space="preserve"> A1.23</w:t>
      </w:r>
      <w:r w:rsidR="00526B46">
        <w:t>,</w:t>
      </w:r>
      <w:r>
        <w:t xml:space="preserve"> A1.24</w:t>
      </w:r>
      <w:r w:rsidR="00526B46">
        <w:t>,</w:t>
      </w:r>
      <w:r>
        <w:t xml:space="preserve"> A1.25</w:t>
      </w:r>
      <w:r w:rsidR="00526B46">
        <w:t>,</w:t>
      </w:r>
      <w:r>
        <w:t xml:space="preserve"> A1.26</w:t>
      </w:r>
      <w:r w:rsidR="00526B46">
        <w:t>,</w:t>
      </w:r>
      <w:r>
        <w:t xml:space="preserve"> A1.27</w:t>
      </w:r>
      <w:r w:rsidR="00526B46">
        <w:t>,</w:t>
      </w:r>
      <w:r>
        <w:t xml:space="preserve"> A1.28</w:t>
      </w:r>
      <w:r w:rsidR="00526B46">
        <w:t>,</w:t>
      </w:r>
      <w:r>
        <w:t xml:space="preserve"> A1.29(a)</w:t>
      </w:r>
      <w:r w:rsidR="00526B46">
        <w:t>,</w:t>
      </w:r>
      <w:r>
        <w:t xml:space="preserve"> A1.29(b)</w:t>
      </w:r>
      <w:r w:rsidR="00526B46">
        <w:t>,</w:t>
      </w:r>
      <w:r>
        <w:t xml:space="preserve"> A1.30</w:t>
      </w:r>
      <w:r w:rsidRPr="00C63261">
        <w:t xml:space="preserve"> </w:t>
      </w:r>
      <w:r>
        <w:t xml:space="preserve">in </w:t>
      </w:r>
      <w:r w:rsidR="001828DE">
        <w:t xml:space="preserve">informal document </w:t>
      </w:r>
      <w:r w:rsidRPr="00526B46">
        <w:t>INF.</w:t>
      </w:r>
      <w:r w:rsidR="00D759D5" w:rsidRPr="00526B46">
        <w:t>3</w:t>
      </w:r>
      <w:r>
        <w:t>)</w:t>
      </w:r>
      <w:r w:rsidR="00C205FB">
        <w:t>.</w:t>
      </w:r>
    </w:p>
    <w:p w14:paraId="67FA7EE0" w14:textId="7A046FFF" w:rsidR="003C18D2" w:rsidRDefault="001E4F35" w:rsidP="00D759D5">
      <w:pPr>
        <w:pStyle w:val="SingleTxtG"/>
        <w:numPr>
          <w:ilvl w:val="0"/>
          <w:numId w:val="27"/>
        </w:numPr>
      </w:pPr>
      <w:r>
        <w:t xml:space="preserve">As </w:t>
      </w:r>
      <w:r w:rsidR="002E160C">
        <w:t>“</w:t>
      </w:r>
      <w:r w:rsidR="003C18D2">
        <w:t>Type A</w:t>
      </w:r>
      <w:r w:rsidR="002E160C">
        <w:t>”</w:t>
      </w:r>
      <w:r w:rsidR="003C18D2">
        <w:t xml:space="preserve"> Self-reactive substances and mixtures and </w:t>
      </w:r>
      <w:r w:rsidR="002E160C">
        <w:t>“</w:t>
      </w:r>
      <w:r w:rsidR="003C18D2">
        <w:t>Type A</w:t>
      </w:r>
      <w:r w:rsidR="002E160C">
        <w:t>”</w:t>
      </w:r>
      <w:r w:rsidR="003C18D2">
        <w:t xml:space="preserve"> Organic peroxides are not allowed to be transported, the term </w:t>
      </w:r>
      <w:r w:rsidR="002E160C">
        <w:t>“</w:t>
      </w:r>
      <w:r w:rsidR="003C18D2" w:rsidRPr="00B35DA4">
        <w:rPr>
          <w:i/>
        </w:rPr>
        <w:t>Transport not allowed</w:t>
      </w:r>
      <w:r w:rsidR="002E160C" w:rsidRPr="002E160C">
        <w:rPr>
          <w:iCs/>
        </w:rPr>
        <w:t>”</w:t>
      </w:r>
      <w:r w:rsidR="003C18D2">
        <w:t xml:space="preserve"> used in the </w:t>
      </w:r>
      <w:r w:rsidR="00C205FB">
        <w:t xml:space="preserve">respective </w:t>
      </w:r>
      <w:r w:rsidR="003C18D2">
        <w:t>entries under the Model Regulations</w:t>
      </w:r>
      <w:r w:rsidR="00526B46">
        <w:t>’</w:t>
      </w:r>
      <w:r w:rsidR="003C18D2">
        <w:t xml:space="preserve"> classification and pictogram columns enables improved accuracy and consistency with the term used</w:t>
      </w:r>
      <w:r w:rsidR="003C18D2" w:rsidRPr="002A288E">
        <w:t xml:space="preserve"> </w:t>
      </w:r>
      <w:r w:rsidR="003C18D2">
        <w:t>for unstable explosives (see Tables A1.1, A1.8</w:t>
      </w:r>
      <w:r w:rsidR="003C18D2" w:rsidRPr="00BD55F1">
        <w:t xml:space="preserve"> </w:t>
      </w:r>
      <w:r w:rsidR="003C18D2">
        <w:t xml:space="preserve">and A1.15 in </w:t>
      </w:r>
      <w:r w:rsidR="001828DE">
        <w:t xml:space="preserve">informal document </w:t>
      </w:r>
      <w:r w:rsidR="003C18D2" w:rsidRPr="00526B46">
        <w:t>INF.</w:t>
      </w:r>
      <w:r w:rsidR="00D759D5" w:rsidRPr="00526B46">
        <w:t>3</w:t>
      </w:r>
      <w:r w:rsidR="003C18D2">
        <w:t>).</w:t>
      </w:r>
    </w:p>
    <w:p w14:paraId="7EF5D6CD" w14:textId="55F1346F" w:rsidR="007378A3" w:rsidRPr="00EF333E" w:rsidRDefault="00D759D5" w:rsidP="00D759D5">
      <w:pPr>
        <w:pStyle w:val="SingleTxtG"/>
        <w:ind w:left="1701"/>
      </w:pPr>
      <w:r>
        <w:tab/>
        <w:t>(b)</w:t>
      </w:r>
      <w:r>
        <w:tab/>
      </w:r>
      <w:r w:rsidR="00AF70A5" w:rsidRPr="00EF333E">
        <w:t>Improved clarity and accuracy of</w:t>
      </w:r>
      <w:r w:rsidR="007378A3" w:rsidRPr="00EF333E">
        <w:t xml:space="preserve"> labelling</w:t>
      </w:r>
      <w:r w:rsidR="0001234E" w:rsidRPr="00EF333E">
        <w:t xml:space="preserve"> </w:t>
      </w:r>
      <w:r w:rsidR="00333AA6" w:rsidRPr="00EF333E">
        <w:t xml:space="preserve">information </w:t>
      </w:r>
      <w:r w:rsidR="00AF70A5" w:rsidRPr="00EF333E">
        <w:t>through t</w:t>
      </w:r>
      <w:r w:rsidR="009E3BE8" w:rsidRPr="00EF333E">
        <w:t xml:space="preserve">he inclusion </w:t>
      </w:r>
      <w:r w:rsidR="007378A3" w:rsidRPr="00EF333E">
        <w:t>of additional:</w:t>
      </w:r>
    </w:p>
    <w:p w14:paraId="4C956F0E" w14:textId="10F131F3" w:rsidR="002B5217" w:rsidRPr="007378A3" w:rsidRDefault="00D759D5" w:rsidP="00D759D5">
      <w:pPr>
        <w:pStyle w:val="SingleTxtG"/>
        <w:ind w:firstLine="1134"/>
      </w:pPr>
      <w:proofErr w:type="spellStart"/>
      <w:r>
        <w:t>i</w:t>
      </w:r>
      <w:proofErr w:type="spellEnd"/>
      <w:r>
        <w:t>.</w:t>
      </w:r>
      <w:r>
        <w:tab/>
      </w:r>
      <w:r w:rsidR="007378A3" w:rsidRPr="007378A3">
        <w:t>Model Regulations</w:t>
      </w:r>
      <w:r w:rsidR="00526B46">
        <w:t>’</w:t>
      </w:r>
      <w:r w:rsidR="007378A3" w:rsidRPr="007378A3">
        <w:t xml:space="preserve"> pictograms in specific tables, as follows</w:t>
      </w:r>
      <w:r w:rsidR="0001234E" w:rsidRPr="007378A3">
        <w:t>:</w:t>
      </w:r>
    </w:p>
    <w:p w14:paraId="50446FDA" w14:textId="50505119" w:rsidR="00783A23" w:rsidRDefault="00D759D5" w:rsidP="00D759D5">
      <w:pPr>
        <w:pStyle w:val="SingleTxtG"/>
        <w:ind w:left="3402" w:hanging="567"/>
      </w:pPr>
      <w:r>
        <w:rPr>
          <w:b/>
        </w:rPr>
        <w:t>-</w:t>
      </w:r>
      <w:r>
        <w:rPr>
          <w:b/>
        </w:rPr>
        <w:tab/>
      </w:r>
      <w:r w:rsidR="00783A23" w:rsidRPr="007378A3">
        <w:rPr>
          <w:b/>
        </w:rPr>
        <w:t>Table A1.4 (oxidising gases)</w:t>
      </w:r>
      <w:r w:rsidR="00783A23">
        <w:t xml:space="preserve"> – Insertion of the Division 2.2 (non-flammable gases) pictograms</w:t>
      </w:r>
      <w:r w:rsidR="007378A3">
        <w:t>, both alternatives</w:t>
      </w:r>
      <w:r w:rsidR="00C205FB">
        <w:t>.</w:t>
      </w:r>
    </w:p>
    <w:p w14:paraId="4990EC5F" w14:textId="77777777" w:rsidR="00750BBE" w:rsidRPr="00750BBE" w:rsidRDefault="00750BBE" w:rsidP="00D759D5">
      <w:pPr>
        <w:pStyle w:val="SingleTxtG"/>
        <w:ind w:left="2835" w:hanging="567"/>
        <w:rPr>
          <w:sz w:val="12"/>
          <w:szCs w:val="12"/>
        </w:rPr>
      </w:pPr>
    </w:p>
    <w:p w14:paraId="6C83D050" w14:textId="59E1A022" w:rsidR="00783A23" w:rsidRDefault="00783A23" w:rsidP="00D759D5">
      <w:pPr>
        <w:pStyle w:val="SingleTxtG"/>
        <w:numPr>
          <w:ilvl w:val="0"/>
          <w:numId w:val="27"/>
        </w:numPr>
        <w:ind w:left="3402" w:hanging="567"/>
      </w:pPr>
      <w:r w:rsidRPr="002B5217">
        <w:rPr>
          <w:b/>
        </w:rPr>
        <w:lastRenderedPageBreak/>
        <w:t>Table A1.17 (desensiti</w:t>
      </w:r>
      <w:r w:rsidR="00526B46">
        <w:rPr>
          <w:b/>
        </w:rPr>
        <w:t>z</w:t>
      </w:r>
      <w:r w:rsidRPr="002B5217">
        <w:rPr>
          <w:b/>
        </w:rPr>
        <w:t>ed explosives)</w:t>
      </w:r>
      <w:r>
        <w:t xml:space="preserve"> – Insertion of the Class 3 (for liquid desensiti</w:t>
      </w:r>
      <w:r w:rsidR="00526B46">
        <w:t>z</w:t>
      </w:r>
      <w:r>
        <w:t>ed explosives) and Division 4.1 (for solid desensiti</w:t>
      </w:r>
      <w:r w:rsidR="00526B46">
        <w:t>z</w:t>
      </w:r>
      <w:r>
        <w:t>ed explosives) pictograms</w:t>
      </w:r>
      <w:r w:rsidR="00C205FB">
        <w:t>.</w:t>
      </w:r>
    </w:p>
    <w:p w14:paraId="17DB9044" w14:textId="304044B9" w:rsidR="00783A23" w:rsidRDefault="00783A23" w:rsidP="00D759D5">
      <w:pPr>
        <w:pStyle w:val="SingleTxtG"/>
        <w:numPr>
          <w:ilvl w:val="0"/>
          <w:numId w:val="27"/>
        </w:numPr>
      </w:pPr>
      <w:r w:rsidRPr="002B5217">
        <w:rPr>
          <w:b/>
        </w:rPr>
        <w:t>Table A1.18 (acute toxicity)</w:t>
      </w:r>
      <w:r>
        <w:t xml:space="preserve"> – Insertion of the Division 2.3 (for toxic gases) pictogram</w:t>
      </w:r>
      <w:r w:rsidR="00C205FB">
        <w:t>.</w:t>
      </w:r>
    </w:p>
    <w:p w14:paraId="5D3A3647" w14:textId="3D62D08A" w:rsidR="00783A23" w:rsidRPr="0018015B" w:rsidRDefault="00783A23" w:rsidP="00D759D5">
      <w:pPr>
        <w:pStyle w:val="SingleTxtG"/>
        <w:numPr>
          <w:ilvl w:val="0"/>
          <w:numId w:val="27"/>
        </w:numPr>
      </w:pPr>
      <w:r w:rsidRPr="002B5217">
        <w:rPr>
          <w:b/>
        </w:rPr>
        <w:t>Table A1.29 (a) (Hazardous to the aquatic environment, short term (acute)) and Table A1.29 (b) (Hazardous to the aquatic environment, long term (chronic))</w:t>
      </w:r>
      <w:r>
        <w:t xml:space="preserve"> –</w:t>
      </w:r>
      <w:r w:rsidRPr="0018015B">
        <w:t xml:space="preserve"> </w:t>
      </w:r>
      <w:r>
        <w:t>Insertion of the Class 9 pictogram</w:t>
      </w:r>
      <w:r w:rsidR="007378A3">
        <w:t>.</w:t>
      </w:r>
    </w:p>
    <w:p w14:paraId="0D5AFD6E" w14:textId="45359D6F" w:rsidR="00783A23" w:rsidRDefault="00D759D5" w:rsidP="00D759D5">
      <w:pPr>
        <w:pStyle w:val="SingleTxtG"/>
        <w:ind w:left="2835" w:hanging="567"/>
      </w:pPr>
      <w:r>
        <w:t>ii.</w:t>
      </w:r>
      <w:r>
        <w:tab/>
      </w:r>
      <w:r w:rsidR="007378A3">
        <w:t>T</w:t>
      </w:r>
      <w:r w:rsidR="00783A23">
        <w:t xml:space="preserve">ext </w:t>
      </w:r>
      <w:r w:rsidR="00C947C9">
        <w:t>in</w:t>
      </w:r>
      <w:r w:rsidR="00783A23">
        <w:t xml:space="preserve"> the entries under the </w:t>
      </w:r>
      <w:r w:rsidR="002E160C">
        <w:t>“</w:t>
      </w:r>
      <w:r w:rsidR="00783A23">
        <w:t>UN Model Regulations class or division</w:t>
      </w:r>
      <w:r w:rsidR="002E160C">
        <w:t>”</w:t>
      </w:r>
      <w:r w:rsidR="00783A23">
        <w:t xml:space="preserve"> and </w:t>
      </w:r>
      <w:r w:rsidR="002E160C">
        <w:t>“</w:t>
      </w:r>
      <w:r w:rsidR="00783A23">
        <w:t>UN Model Regulations pictogram</w:t>
      </w:r>
      <w:r w:rsidR="002E160C">
        <w:t>”</w:t>
      </w:r>
      <w:r w:rsidR="00783A23">
        <w:t xml:space="preserve"> </w:t>
      </w:r>
      <w:r w:rsidR="00C947C9">
        <w:t xml:space="preserve">columns </w:t>
      </w:r>
      <w:r w:rsidR="00783A23">
        <w:t>for Tables A1.17 (desensiti</w:t>
      </w:r>
      <w:r w:rsidR="00526B46">
        <w:t>z</w:t>
      </w:r>
      <w:r w:rsidR="00783A23">
        <w:t>ed explosives) and A1.18 (Acute toxicity), with further explanation provided in notes beneath these tables</w:t>
      </w:r>
      <w:r w:rsidR="007378A3">
        <w:t>,</w:t>
      </w:r>
      <w:r w:rsidR="00783A23">
        <w:t xml:space="preserve"> to aid clarity regarding the classification and labelling of these substances under the Model Regulations. Although this approach is slightly inconsistent with the </w:t>
      </w:r>
      <w:r w:rsidR="007479CE">
        <w:t xml:space="preserve">proposed </w:t>
      </w:r>
      <w:r w:rsidR="00783A23">
        <w:t xml:space="preserve">presentation in the other tables in Annex 1, the informal working group considered </w:t>
      </w:r>
      <w:r w:rsidR="007479CE">
        <w:t xml:space="preserve">that </w:t>
      </w:r>
      <w:r w:rsidR="00783A23">
        <w:t xml:space="preserve">it provided the most appropriate </w:t>
      </w:r>
      <w:r w:rsidR="00F10FAD">
        <w:t xml:space="preserve">and concise </w:t>
      </w:r>
      <w:r w:rsidR="00783A23">
        <w:t>way of conveying the necessary information to labelling practitioners for these hazard</w:t>
      </w:r>
      <w:r w:rsidR="001E0E3F">
        <w:t xml:space="preserve"> classes</w:t>
      </w:r>
      <w:r w:rsidR="00C947C9">
        <w:t xml:space="preserve">. </w:t>
      </w:r>
      <w:r w:rsidR="001828DE">
        <w:t xml:space="preserve"> </w:t>
      </w:r>
    </w:p>
    <w:p w14:paraId="0C880EAD" w14:textId="7044FF49" w:rsidR="00E079FC" w:rsidRPr="00D759D5" w:rsidRDefault="00D759D5" w:rsidP="00D759D5">
      <w:pPr>
        <w:pStyle w:val="HChG"/>
        <w:rPr>
          <w:rStyle w:val="Strong"/>
          <w:b/>
          <w:bCs w:val="0"/>
          <w:szCs w:val="28"/>
        </w:rPr>
      </w:pPr>
      <w:r w:rsidRPr="00D759D5">
        <w:rPr>
          <w:rStyle w:val="Strong"/>
          <w:rFonts w:eastAsia="MS Mincho"/>
          <w:b/>
          <w:bCs w:val="0"/>
          <w:szCs w:val="28"/>
        </w:rPr>
        <w:tab/>
      </w:r>
      <w:r w:rsidRPr="00D759D5">
        <w:rPr>
          <w:rStyle w:val="Strong"/>
          <w:rFonts w:eastAsia="MS Mincho"/>
          <w:b/>
          <w:bCs w:val="0"/>
          <w:szCs w:val="28"/>
        </w:rPr>
        <w:tab/>
      </w:r>
      <w:r w:rsidR="00944AAD" w:rsidRPr="00D759D5">
        <w:rPr>
          <w:rStyle w:val="Strong"/>
          <w:rFonts w:eastAsia="MS Mincho"/>
          <w:b/>
          <w:bCs w:val="0"/>
          <w:szCs w:val="28"/>
        </w:rPr>
        <w:t>Proposal</w:t>
      </w:r>
    </w:p>
    <w:p w14:paraId="317926C7" w14:textId="34E5743B" w:rsidR="00175FE5" w:rsidRPr="001D01B2" w:rsidRDefault="00F22444" w:rsidP="00D759D5">
      <w:pPr>
        <w:pStyle w:val="SingleTxtG"/>
      </w:pPr>
      <w:r>
        <w:t>6</w:t>
      </w:r>
      <w:r w:rsidR="001B56F0">
        <w:t>.</w:t>
      </w:r>
      <w:r w:rsidR="001B56F0">
        <w:tab/>
      </w:r>
      <w:r w:rsidR="00DC177A">
        <w:t xml:space="preserve">Informal </w:t>
      </w:r>
      <w:r w:rsidR="00DC177A" w:rsidRPr="00D759D5">
        <w:t>document</w:t>
      </w:r>
      <w:r w:rsidR="00DC177A">
        <w:t xml:space="preserve"> </w:t>
      </w:r>
      <w:r w:rsidR="00DC177A" w:rsidRPr="00526B46">
        <w:t>INF.</w:t>
      </w:r>
      <w:r w:rsidR="00D759D5" w:rsidRPr="00526B46">
        <w:t>3</w:t>
      </w:r>
      <w:r w:rsidR="00DC177A">
        <w:t xml:space="preserve"> sets </w:t>
      </w:r>
      <w:proofErr w:type="gramStart"/>
      <w:r w:rsidR="00DC177A">
        <w:t>outs</w:t>
      </w:r>
      <w:proofErr w:type="gramEnd"/>
      <w:r w:rsidR="00DC177A">
        <w:t xml:space="preserve"> the proposed changes to Annex 1 in full. New text is shown in red. Deleted t</w:t>
      </w:r>
      <w:r w:rsidR="004236E5">
        <w:t>ex</w:t>
      </w:r>
      <w:r w:rsidR="00DC177A">
        <w:t xml:space="preserve">t is shown in </w:t>
      </w:r>
      <w:r w:rsidR="00DC177A">
        <w:rPr>
          <w:strike/>
        </w:rPr>
        <w:t>strikethrough</w:t>
      </w:r>
      <w:r w:rsidR="00DC177A">
        <w:t xml:space="preserve">. </w:t>
      </w:r>
      <w:r w:rsidR="00B66D06">
        <w:t>However, because</w:t>
      </w:r>
      <w:r w:rsidR="00175FE5">
        <w:t xml:space="preserve"> it is difficult to clearly display the changes between existing adjacent table entries </w:t>
      </w:r>
      <w:r w:rsidR="00B66D06">
        <w:t>and</w:t>
      </w:r>
      <w:r w:rsidR="00175FE5">
        <w:t xml:space="preserve"> </w:t>
      </w:r>
      <w:r w:rsidR="00B66D06">
        <w:t xml:space="preserve">those that are </w:t>
      </w:r>
      <w:r w:rsidR="00175FE5">
        <w:t xml:space="preserve">proposed </w:t>
      </w:r>
      <w:r w:rsidR="00B66D06">
        <w:t xml:space="preserve">to be </w:t>
      </w:r>
      <w:r w:rsidR="00175FE5">
        <w:t>merged</w:t>
      </w:r>
      <w:r w:rsidR="00B66D06">
        <w:t xml:space="preserve">, to assist readability only the proposed merged table entries are provided in </w:t>
      </w:r>
      <w:r w:rsidR="00B66D06" w:rsidRPr="00526B46">
        <w:t>INF</w:t>
      </w:r>
      <w:r w:rsidR="00E52F20" w:rsidRPr="00526B46">
        <w:t>.</w:t>
      </w:r>
      <w:r w:rsidR="00D759D5" w:rsidRPr="00526B46">
        <w:t>3</w:t>
      </w:r>
      <w:r w:rsidR="00B66D06">
        <w:t xml:space="preserve">. For the existing table entries please refer to Annex 1 in the </w:t>
      </w:r>
      <w:r w:rsidR="00526B46">
        <w:t>Eighth</w:t>
      </w:r>
      <w:r w:rsidR="00B66D06">
        <w:t xml:space="preserve"> Revised edition of the GHS.</w:t>
      </w:r>
    </w:p>
    <w:p w14:paraId="3E8239E8" w14:textId="77777777" w:rsidR="001B56F0" w:rsidRPr="00F32E20" w:rsidRDefault="001B56F0" w:rsidP="001C2574">
      <w:pPr>
        <w:pStyle w:val="HChG"/>
        <w:spacing w:before="240"/>
        <w:ind w:right="283"/>
        <w:rPr>
          <w:rFonts w:eastAsia="MS Mincho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  <w:t xml:space="preserve">Action </w:t>
      </w:r>
    </w:p>
    <w:p w14:paraId="3D778411" w14:textId="5CD48AF0" w:rsidR="00926593" w:rsidRDefault="004267D3" w:rsidP="00D759D5">
      <w:pPr>
        <w:pStyle w:val="SingleTxtG"/>
        <w:rPr>
          <w:u w:val="single"/>
        </w:rPr>
      </w:pPr>
      <w:r w:rsidRPr="00C75298">
        <w:t>7</w:t>
      </w:r>
      <w:r w:rsidR="001B56F0" w:rsidRPr="00F32E20">
        <w:t>.</w:t>
      </w:r>
      <w:r w:rsidR="001B56F0" w:rsidRPr="00F32E20">
        <w:tab/>
      </w:r>
      <w:r w:rsidR="001B56F0" w:rsidRPr="00AB04D1">
        <w:t>The</w:t>
      </w:r>
      <w:r w:rsidR="001B56F0" w:rsidRPr="00F32E20">
        <w:t xml:space="preserve"> Sub-Committee is invited to </w:t>
      </w:r>
      <w:r w:rsidR="001B56F0">
        <w:t>agree</w:t>
      </w:r>
      <w:r w:rsidR="001B56F0" w:rsidRPr="00F32E20">
        <w:t xml:space="preserve"> the proposed </w:t>
      </w:r>
      <w:r w:rsidR="001B56F0" w:rsidRPr="00D759D5">
        <w:t>changes</w:t>
      </w:r>
      <w:r w:rsidR="001B56F0" w:rsidRPr="00F32E20">
        <w:t xml:space="preserve"> </w:t>
      </w:r>
      <w:r w:rsidR="00B66D06">
        <w:t xml:space="preserve">to Annex 1 as set out in </w:t>
      </w:r>
      <w:r w:rsidR="001B56F0">
        <w:t xml:space="preserve">informal document </w:t>
      </w:r>
      <w:r w:rsidR="001B56F0" w:rsidRPr="00526B46">
        <w:t>INF.</w:t>
      </w:r>
      <w:r w:rsidR="00D759D5" w:rsidRPr="00526B46">
        <w:t>3</w:t>
      </w:r>
      <w:r w:rsidR="001B56F0">
        <w:t>.</w:t>
      </w:r>
    </w:p>
    <w:p w14:paraId="6016449E" w14:textId="72E28764" w:rsidR="001B56F0" w:rsidRPr="00D759D5" w:rsidRDefault="00D759D5" w:rsidP="00D759D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B56F0" w:rsidRPr="00D759D5" w:rsidSect="00313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CE5C" w14:textId="77777777" w:rsidR="00111475" w:rsidRDefault="00111475"/>
  </w:endnote>
  <w:endnote w:type="continuationSeparator" w:id="0">
    <w:p w14:paraId="5F9097F0" w14:textId="77777777" w:rsidR="00111475" w:rsidRDefault="00111475"/>
  </w:endnote>
  <w:endnote w:type="continuationNotice" w:id="1">
    <w:p w14:paraId="2FD38C0C" w14:textId="77777777" w:rsidR="00111475" w:rsidRDefault="00111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137284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28816" w14:textId="78FA7199" w:rsidR="00C252C1" w:rsidRPr="00C252C1" w:rsidRDefault="00C252C1">
        <w:pPr>
          <w:pStyle w:val="Footer"/>
          <w:rPr>
            <w:b/>
            <w:bCs/>
          </w:rPr>
        </w:pPr>
        <w:r w:rsidRPr="00C252C1">
          <w:rPr>
            <w:b/>
            <w:bCs/>
          </w:rPr>
          <w:fldChar w:fldCharType="begin"/>
        </w:r>
        <w:r w:rsidRPr="00C252C1">
          <w:rPr>
            <w:b/>
            <w:bCs/>
          </w:rPr>
          <w:instrText xml:space="preserve"> PAGE   \* MERGEFORMAT </w:instrText>
        </w:r>
        <w:r w:rsidRPr="00C252C1">
          <w:rPr>
            <w:b/>
            <w:bCs/>
          </w:rPr>
          <w:fldChar w:fldCharType="separate"/>
        </w:r>
        <w:r w:rsidRPr="00C252C1">
          <w:rPr>
            <w:b/>
            <w:bCs/>
            <w:noProof/>
          </w:rPr>
          <w:t>2</w:t>
        </w:r>
        <w:r w:rsidRPr="00C252C1">
          <w:rPr>
            <w:b/>
            <w:bCs/>
            <w:noProof/>
          </w:rPr>
          <w:fldChar w:fldCharType="end"/>
        </w:r>
      </w:p>
    </w:sdtContent>
  </w:sdt>
  <w:p w14:paraId="402B1E04" w14:textId="77777777" w:rsidR="00C252C1" w:rsidRDefault="00C25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b/>
        <w:bCs/>
      </w:rPr>
      <w:id w:val="-59926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A3C79" w14:textId="10A03BD4" w:rsidR="00C252C1" w:rsidRPr="00C252C1" w:rsidRDefault="00C252C1">
        <w:pPr>
          <w:pStyle w:val="Footer"/>
          <w:jc w:val="right"/>
          <w:rPr>
            <w:b/>
            <w:bCs/>
          </w:rPr>
        </w:pPr>
        <w:r w:rsidRPr="00C252C1">
          <w:rPr>
            <w:b/>
            <w:bCs/>
          </w:rPr>
          <w:fldChar w:fldCharType="begin"/>
        </w:r>
        <w:r w:rsidRPr="00C252C1">
          <w:rPr>
            <w:b/>
            <w:bCs/>
          </w:rPr>
          <w:instrText xml:space="preserve"> PAGE   \* MERGEFORMAT </w:instrText>
        </w:r>
        <w:r w:rsidRPr="00C252C1">
          <w:rPr>
            <w:b/>
            <w:bCs/>
          </w:rPr>
          <w:fldChar w:fldCharType="separate"/>
        </w:r>
        <w:r w:rsidRPr="00C252C1">
          <w:rPr>
            <w:b/>
            <w:bCs/>
            <w:noProof/>
          </w:rPr>
          <w:t>2</w:t>
        </w:r>
        <w:r w:rsidRPr="00C252C1">
          <w:rPr>
            <w:b/>
            <w:bCs/>
            <w:noProof/>
          </w:rPr>
          <w:fldChar w:fldCharType="end"/>
        </w:r>
      </w:p>
    </w:sdtContent>
  </w:sdt>
  <w:bookmarkEnd w:id="0"/>
  <w:p w14:paraId="088E9298" w14:textId="77777777" w:rsidR="00C252C1" w:rsidRDefault="00C25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8D3D" w14:textId="77777777" w:rsidR="00C252C1" w:rsidRDefault="00C25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89D0" w14:textId="77777777" w:rsidR="00111475" w:rsidRPr="000B175B" w:rsidRDefault="001114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0D27F4" w14:textId="77777777" w:rsidR="00111475" w:rsidRPr="00FC68B7" w:rsidRDefault="001114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1E962E" w14:textId="77777777" w:rsidR="00111475" w:rsidRDefault="00111475"/>
  </w:footnote>
  <w:footnote w:id="2">
    <w:p w14:paraId="1F2A2F14" w14:textId="610E5ADA" w:rsidR="001B56F0" w:rsidRPr="00D160F3" w:rsidRDefault="001B56F0" w:rsidP="00701470">
      <w:pPr>
        <w:pStyle w:val="FootnoteText"/>
        <w:tabs>
          <w:tab w:val="left" w:pos="1418"/>
        </w:tabs>
        <w:ind w:right="567"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BC639D">
        <w:rPr>
          <w:lang w:val="en-US"/>
        </w:rPr>
        <w:t xml:space="preserve">In accordance with </w:t>
      </w:r>
      <w:r w:rsidR="00BC639D" w:rsidRPr="00C77DF8">
        <w:t>the programme</w:t>
      </w:r>
      <w:r w:rsidR="00BC639D"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AFA1" w14:textId="4461080D" w:rsidR="00D731F3" w:rsidRDefault="00D731F3" w:rsidP="00D731F3">
    <w:pPr>
      <w:pStyle w:val="Header"/>
    </w:pPr>
    <w:r>
      <w:t>ST/SG/AC.10/C.4/201</w:t>
    </w:r>
    <w:r w:rsidR="001D01B2">
      <w:t>9</w:t>
    </w:r>
    <w:r>
      <w:t>/</w:t>
    </w:r>
    <w:r w:rsidR="00BC639D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8C37" w14:textId="3E36B0B9" w:rsidR="007A24EE" w:rsidRPr="00313D6B" w:rsidRDefault="00313D6B" w:rsidP="00C252C1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313D6B">
      <w:rPr>
        <w:b/>
        <w:bCs/>
        <w:sz w:val="18"/>
        <w:szCs w:val="18"/>
      </w:rPr>
      <w:t>ST/SG/AC.10/C.4/201</w:t>
    </w:r>
    <w:r w:rsidR="004A1F4A">
      <w:rPr>
        <w:b/>
        <w:bCs/>
        <w:sz w:val="18"/>
        <w:szCs w:val="18"/>
      </w:rPr>
      <w:t>9</w:t>
    </w:r>
    <w:r w:rsidRPr="00313D6B">
      <w:rPr>
        <w:b/>
        <w:bCs/>
        <w:sz w:val="18"/>
        <w:szCs w:val="18"/>
      </w:rPr>
      <w:t>/</w:t>
    </w:r>
    <w:r w:rsidR="00096B0F" w:rsidRPr="00096B0F">
      <w:rPr>
        <w:b/>
        <w:bCs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FE0C" w14:textId="77777777" w:rsidR="007A24EE" w:rsidRDefault="007A24EE" w:rsidP="00F860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15C2153"/>
    <w:multiLevelType w:val="hybridMultilevel"/>
    <w:tmpl w:val="2FA65E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F935E3"/>
    <w:multiLevelType w:val="hybridMultilevel"/>
    <w:tmpl w:val="075CA358"/>
    <w:lvl w:ilvl="0" w:tplc="668EB436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1BE26B99"/>
    <w:multiLevelType w:val="hybridMultilevel"/>
    <w:tmpl w:val="3590252A"/>
    <w:lvl w:ilvl="0" w:tplc="0C4E6BDC">
      <w:start w:val="1"/>
      <w:numFmt w:val="lowerLetter"/>
      <w:lvlText w:val="(%1)"/>
      <w:lvlJc w:val="left"/>
      <w:pPr>
        <w:ind w:left="1451" w:hanging="360"/>
      </w:pPr>
      <w:rPr>
        <w:rFonts w:hint="default"/>
      </w:rPr>
    </w:lvl>
    <w:lvl w:ilvl="1" w:tplc="0C4E6BDC">
      <w:start w:val="1"/>
      <w:numFmt w:val="lowerLetter"/>
      <w:lvlText w:val="(%2)"/>
      <w:lvlJc w:val="left"/>
      <w:pPr>
        <w:ind w:left="971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691" w:hanging="180"/>
      </w:pPr>
    </w:lvl>
    <w:lvl w:ilvl="3" w:tplc="0809000F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 w15:restartNumberingAfterBreak="0">
    <w:nsid w:val="2F8D6E27"/>
    <w:multiLevelType w:val="hybridMultilevel"/>
    <w:tmpl w:val="DA187CF0"/>
    <w:lvl w:ilvl="0" w:tplc="B524A4C4">
      <w:start w:val="4"/>
      <w:numFmt w:val="lowerLetter"/>
      <w:lvlText w:val="(%1)"/>
      <w:lvlJc w:val="left"/>
      <w:pPr>
        <w:ind w:left="971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7504D"/>
    <w:multiLevelType w:val="hybridMultilevel"/>
    <w:tmpl w:val="9FAAE20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1">
      <w:start w:val="1"/>
      <w:numFmt w:val="decimal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2F3B"/>
    <w:multiLevelType w:val="hybridMultilevel"/>
    <w:tmpl w:val="4C3AE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1">
      <w:start w:val="1"/>
      <w:numFmt w:val="decimal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5D8C"/>
    <w:multiLevelType w:val="hybridMultilevel"/>
    <w:tmpl w:val="33A0E9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B208A"/>
    <w:multiLevelType w:val="hybridMultilevel"/>
    <w:tmpl w:val="AEC8A2C0"/>
    <w:lvl w:ilvl="0" w:tplc="0809001B">
      <w:start w:val="1"/>
      <w:numFmt w:val="lowerRoman"/>
      <w:lvlText w:val="%1."/>
      <w:lvlJc w:val="right"/>
      <w:pPr>
        <w:ind w:left="2203" w:hanging="360"/>
      </w:p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533B4547"/>
    <w:multiLevelType w:val="hybridMultilevel"/>
    <w:tmpl w:val="CACC9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1">
      <w:start w:val="1"/>
      <w:numFmt w:val="decimal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7558"/>
    <w:multiLevelType w:val="hybridMultilevel"/>
    <w:tmpl w:val="20DA8B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C67453"/>
    <w:multiLevelType w:val="hybridMultilevel"/>
    <w:tmpl w:val="D8EEDEBE"/>
    <w:lvl w:ilvl="0" w:tplc="E2348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1">
      <w:start w:val="1"/>
      <w:numFmt w:val="decimal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03808"/>
    <w:multiLevelType w:val="hybridMultilevel"/>
    <w:tmpl w:val="8E6C300E"/>
    <w:lvl w:ilvl="0" w:tplc="25745D68">
      <w:start w:val="3"/>
      <w:numFmt w:val="lowerLetter"/>
      <w:lvlText w:val="(%1)"/>
      <w:lvlJc w:val="left"/>
      <w:pPr>
        <w:ind w:left="9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4"/>
  </w:num>
  <w:num w:numId="17">
    <w:abstractNumId w:val="23"/>
  </w:num>
  <w:num w:numId="18">
    <w:abstractNumId w:val="26"/>
  </w:num>
  <w:num w:numId="19">
    <w:abstractNumId w:val="19"/>
  </w:num>
  <w:num w:numId="20">
    <w:abstractNumId w:val="15"/>
  </w:num>
  <w:num w:numId="21">
    <w:abstractNumId w:val="24"/>
  </w:num>
  <w:num w:numId="22">
    <w:abstractNumId w:val="11"/>
  </w:num>
  <w:num w:numId="23">
    <w:abstractNumId w:val="18"/>
  </w:num>
  <w:num w:numId="24">
    <w:abstractNumId w:val="17"/>
  </w:num>
  <w:num w:numId="25">
    <w:abstractNumId w:val="16"/>
  </w:num>
  <w:num w:numId="26">
    <w:abstractNumId w:val="20"/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5C"/>
    <w:rsid w:val="00001960"/>
    <w:rsid w:val="00002487"/>
    <w:rsid w:val="000037BA"/>
    <w:rsid w:val="00005982"/>
    <w:rsid w:val="00006490"/>
    <w:rsid w:val="0001234E"/>
    <w:rsid w:val="000152A2"/>
    <w:rsid w:val="00015DD3"/>
    <w:rsid w:val="000222F9"/>
    <w:rsid w:val="00023DBC"/>
    <w:rsid w:val="0003212D"/>
    <w:rsid w:val="000335D1"/>
    <w:rsid w:val="00042E5C"/>
    <w:rsid w:val="00044C7A"/>
    <w:rsid w:val="0005042C"/>
    <w:rsid w:val="000504CE"/>
    <w:rsid w:val="00050E3A"/>
    <w:rsid w:val="00050F6B"/>
    <w:rsid w:val="00052A23"/>
    <w:rsid w:val="00063706"/>
    <w:rsid w:val="00065034"/>
    <w:rsid w:val="000672E1"/>
    <w:rsid w:val="0007037A"/>
    <w:rsid w:val="00072C8C"/>
    <w:rsid w:val="00074D4E"/>
    <w:rsid w:val="00080E2E"/>
    <w:rsid w:val="000813F7"/>
    <w:rsid w:val="00084408"/>
    <w:rsid w:val="00085AFC"/>
    <w:rsid w:val="00087CE1"/>
    <w:rsid w:val="00091419"/>
    <w:rsid w:val="000931C0"/>
    <w:rsid w:val="00096B0F"/>
    <w:rsid w:val="00097EA0"/>
    <w:rsid w:val="000A004E"/>
    <w:rsid w:val="000A43BC"/>
    <w:rsid w:val="000B10BB"/>
    <w:rsid w:val="000B158D"/>
    <w:rsid w:val="000B175B"/>
    <w:rsid w:val="000B1B3B"/>
    <w:rsid w:val="000B1C6B"/>
    <w:rsid w:val="000B28A5"/>
    <w:rsid w:val="000B2FC0"/>
    <w:rsid w:val="000B374C"/>
    <w:rsid w:val="000B3A0F"/>
    <w:rsid w:val="000B602C"/>
    <w:rsid w:val="000B6CB0"/>
    <w:rsid w:val="000C1C42"/>
    <w:rsid w:val="000C5E7A"/>
    <w:rsid w:val="000D0A97"/>
    <w:rsid w:val="000D27A6"/>
    <w:rsid w:val="000D3E84"/>
    <w:rsid w:val="000D5982"/>
    <w:rsid w:val="000D6B4A"/>
    <w:rsid w:val="000D6C67"/>
    <w:rsid w:val="000E0415"/>
    <w:rsid w:val="000E1B5B"/>
    <w:rsid w:val="000F0347"/>
    <w:rsid w:val="00100EE6"/>
    <w:rsid w:val="001033CA"/>
    <w:rsid w:val="00103BFC"/>
    <w:rsid w:val="001050B6"/>
    <w:rsid w:val="00107630"/>
    <w:rsid w:val="001102E5"/>
    <w:rsid w:val="00111475"/>
    <w:rsid w:val="001114CF"/>
    <w:rsid w:val="00111978"/>
    <w:rsid w:val="00115E7C"/>
    <w:rsid w:val="00117787"/>
    <w:rsid w:val="00117BD4"/>
    <w:rsid w:val="00120C46"/>
    <w:rsid w:val="00120F92"/>
    <w:rsid w:val="00122EBB"/>
    <w:rsid w:val="00131D42"/>
    <w:rsid w:val="00132C57"/>
    <w:rsid w:val="001339B8"/>
    <w:rsid w:val="001344B8"/>
    <w:rsid w:val="001348A5"/>
    <w:rsid w:val="00141242"/>
    <w:rsid w:val="00143CC8"/>
    <w:rsid w:val="00144EAC"/>
    <w:rsid w:val="00145659"/>
    <w:rsid w:val="00151717"/>
    <w:rsid w:val="00151F5B"/>
    <w:rsid w:val="00154EF2"/>
    <w:rsid w:val="00156502"/>
    <w:rsid w:val="00157C89"/>
    <w:rsid w:val="00161772"/>
    <w:rsid w:val="00162164"/>
    <w:rsid w:val="00162F4A"/>
    <w:rsid w:val="001633FB"/>
    <w:rsid w:val="001635C1"/>
    <w:rsid w:val="00165AD2"/>
    <w:rsid w:val="00167293"/>
    <w:rsid w:val="00167786"/>
    <w:rsid w:val="0017280C"/>
    <w:rsid w:val="001757C5"/>
    <w:rsid w:val="00175C80"/>
    <w:rsid w:val="00175FE5"/>
    <w:rsid w:val="001777FD"/>
    <w:rsid w:val="0018015B"/>
    <w:rsid w:val="001828DE"/>
    <w:rsid w:val="00184821"/>
    <w:rsid w:val="00184FCD"/>
    <w:rsid w:val="00187190"/>
    <w:rsid w:val="0019154F"/>
    <w:rsid w:val="00191DE4"/>
    <w:rsid w:val="00193CE3"/>
    <w:rsid w:val="00195244"/>
    <w:rsid w:val="00196E35"/>
    <w:rsid w:val="0019773C"/>
    <w:rsid w:val="001A3335"/>
    <w:rsid w:val="001A3561"/>
    <w:rsid w:val="001A40FF"/>
    <w:rsid w:val="001A5D90"/>
    <w:rsid w:val="001A7069"/>
    <w:rsid w:val="001B0D7F"/>
    <w:rsid w:val="001B1BF5"/>
    <w:rsid w:val="001B372A"/>
    <w:rsid w:val="001B4B04"/>
    <w:rsid w:val="001B4EAB"/>
    <w:rsid w:val="001B56F0"/>
    <w:rsid w:val="001C106A"/>
    <w:rsid w:val="001C2574"/>
    <w:rsid w:val="001C3170"/>
    <w:rsid w:val="001C3D65"/>
    <w:rsid w:val="001C4159"/>
    <w:rsid w:val="001C6663"/>
    <w:rsid w:val="001C6C85"/>
    <w:rsid w:val="001C70F5"/>
    <w:rsid w:val="001C7895"/>
    <w:rsid w:val="001D01B2"/>
    <w:rsid w:val="001D1A40"/>
    <w:rsid w:val="001D23B4"/>
    <w:rsid w:val="001D26DF"/>
    <w:rsid w:val="001D2FDC"/>
    <w:rsid w:val="001D33CA"/>
    <w:rsid w:val="001D50B0"/>
    <w:rsid w:val="001E0C9B"/>
    <w:rsid w:val="001E0E3F"/>
    <w:rsid w:val="001E0F45"/>
    <w:rsid w:val="001E4475"/>
    <w:rsid w:val="001E4F35"/>
    <w:rsid w:val="001E7E24"/>
    <w:rsid w:val="001F0249"/>
    <w:rsid w:val="001F0FE4"/>
    <w:rsid w:val="001F2D76"/>
    <w:rsid w:val="001F6726"/>
    <w:rsid w:val="001F7CF4"/>
    <w:rsid w:val="00201AA2"/>
    <w:rsid w:val="00202134"/>
    <w:rsid w:val="002024E2"/>
    <w:rsid w:val="002025FC"/>
    <w:rsid w:val="00206043"/>
    <w:rsid w:val="00210938"/>
    <w:rsid w:val="00211DE3"/>
    <w:rsid w:val="00211E0B"/>
    <w:rsid w:val="00212394"/>
    <w:rsid w:val="00212DF1"/>
    <w:rsid w:val="0021321D"/>
    <w:rsid w:val="00213641"/>
    <w:rsid w:val="0021553B"/>
    <w:rsid w:val="00216609"/>
    <w:rsid w:val="00220264"/>
    <w:rsid w:val="00221C03"/>
    <w:rsid w:val="00222515"/>
    <w:rsid w:val="002228C4"/>
    <w:rsid w:val="002228EB"/>
    <w:rsid w:val="00224C36"/>
    <w:rsid w:val="002256F2"/>
    <w:rsid w:val="002309A7"/>
    <w:rsid w:val="00230C9D"/>
    <w:rsid w:val="00237406"/>
    <w:rsid w:val="00237785"/>
    <w:rsid w:val="002401BD"/>
    <w:rsid w:val="00241466"/>
    <w:rsid w:val="00241D30"/>
    <w:rsid w:val="00247C05"/>
    <w:rsid w:val="00251486"/>
    <w:rsid w:val="00252AF4"/>
    <w:rsid w:val="0025304C"/>
    <w:rsid w:val="0025405A"/>
    <w:rsid w:val="00255D32"/>
    <w:rsid w:val="00256E52"/>
    <w:rsid w:val="00257360"/>
    <w:rsid w:val="00262447"/>
    <w:rsid w:val="00264A94"/>
    <w:rsid w:val="00265E8D"/>
    <w:rsid w:val="00267017"/>
    <w:rsid w:val="00267C9C"/>
    <w:rsid w:val="00270B8F"/>
    <w:rsid w:val="00271139"/>
    <w:rsid w:val="002725CA"/>
    <w:rsid w:val="0027389E"/>
    <w:rsid w:val="00273A38"/>
    <w:rsid w:val="00275C6E"/>
    <w:rsid w:val="00276326"/>
    <w:rsid w:val="00280EB7"/>
    <w:rsid w:val="00284946"/>
    <w:rsid w:val="002857FE"/>
    <w:rsid w:val="00291986"/>
    <w:rsid w:val="00291A8F"/>
    <w:rsid w:val="00294148"/>
    <w:rsid w:val="00297A67"/>
    <w:rsid w:val="002A1B21"/>
    <w:rsid w:val="002A288E"/>
    <w:rsid w:val="002A3CA8"/>
    <w:rsid w:val="002A3EEC"/>
    <w:rsid w:val="002A46AC"/>
    <w:rsid w:val="002A591C"/>
    <w:rsid w:val="002A6CAC"/>
    <w:rsid w:val="002B0A21"/>
    <w:rsid w:val="002B10FC"/>
    <w:rsid w:val="002B1CDA"/>
    <w:rsid w:val="002B3EC6"/>
    <w:rsid w:val="002B4976"/>
    <w:rsid w:val="002B5217"/>
    <w:rsid w:val="002B66A3"/>
    <w:rsid w:val="002B6C3E"/>
    <w:rsid w:val="002B7EF4"/>
    <w:rsid w:val="002C54FE"/>
    <w:rsid w:val="002C5B87"/>
    <w:rsid w:val="002C65AC"/>
    <w:rsid w:val="002C67F8"/>
    <w:rsid w:val="002C70FD"/>
    <w:rsid w:val="002C7E8A"/>
    <w:rsid w:val="002D0039"/>
    <w:rsid w:val="002D21BA"/>
    <w:rsid w:val="002E03C8"/>
    <w:rsid w:val="002E160C"/>
    <w:rsid w:val="002E5A53"/>
    <w:rsid w:val="002E743A"/>
    <w:rsid w:val="002E7D51"/>
    <w:rsid w:val="002F1422"/>
    <w:rsid w:val="002F16E1"/>
    <w:rsid w:val="002F1CED"/>
    <w:rsid w:val="002F6DF4"/>
    <w:rsid w:val="00300566"/>
    <w:rsid w:val="00304718"/>
    <w:rsid w:val="00304EB6"/>
    <w:rsid w:val="00305238"/>
    <w:rsid w:val="003107FA"/>
    <w:rsid w:val="00313D6B"/>
    <w:rsid w:val="00314FCD"/>
    <w:rsid w:val="003176F1"/>
    <w:rsid w:val="003229D8"/>
    <w:rsid w:val="00322DCF"/>
    <w:rsid w:val="00324304"/>
    <w:rsid w:val="0033029B"/>
    <w:rsid w:val="00333AA6"/>
    <w:rsid w:val="00335D44"/>
    <w:rsid w:val="00335F76"/>
    <w:rsid w:val="00337674"/>
    <w:rsid w:val="00337FD0"/>
    <w:rsid w:val="003403BA"/>
    <w:rsid w:val="00345F2F"/>
    <w:rsid w:val="00347907"/>
    <w:rsid w:val="00350F5D"/>
    <w:rsid w:val="00353582"/>
    <w:rsid w:val="0036137F"/>
    <w:rsid w:val="00367BD9"/>
    <w:rsid w:val="00367D01"/>
    <w:rsid w:val="0037333E"/>
    <w:rsid w:val="00374677"/>
    <w:rsid w:val="00374FAA"/>
    <w:rsid w:val="00375F43"/>
    <w:rsid w:val="00382820"/>
    <w:rsid w:val="00385D07"/>
    <w:rsid w:val="00387914"/>
    <w:rsid w:val="00391E40"/>
    <w:rsid w:val="0039265F"/>
    <w:rsid w:val="0039277A"/>
    <w:rsid w:val="003972E0"/>
    <w:rsid w:val="003A0282"/>
    <w:rsid w:val="003A0940"/>
    <w:rsid w:val="003A3FF6"/>
    <w:rsid w:val="003A5D8F"/>
    <w:rsid w:val="003A63DE"/>
    <w:rsid w:val="003A6FE2"/>
    <w:rsid w:val="003A71F9"/>
    <w:rsid w:val="003B0E3E"/>
    <w:rsid w:val="003B1924"/>
    <w:rsid w:val="003B3B04"/>
    <w:rsid w:val="003B5BC9"/>
    <w:rsid w:val="003C03A0"/>
    <w:rsid w:val="003C12E9"/>
    <w:rsid w:val="003C18D2"/>
    <w:rsid w:val="003C2CC4"/>
    <w:rsid w:val="003C7FD9"/>
    <w:rsid w:val="003D0354"/>
    <w:rsid w:val="003D1EB6"/>
    <w:rsid w:val="003D27B2"/>
    <w:rsid w:val="003D4171"/>
    <w:rsid w:val="003D4929"/>
    <w:rsid w:val="003D4B23"/>
    <w:rsid w:val="003D60F7"/>
    <w:rsid w:val="003D611E"/>
    <w:rsid w:val="003D61D2"/>
    <w:rsid w:val="003D6F1E"/>
    <w:rsid w:val="003E2507"/>
    <w:rsid w:val="003E2E5D"/>
    <w:rsid w:val="003E4B11"/>
    <w:rsid w:val="003E6CCC"/>
    <w:rsid w:val="003E7127"/>
    <w:rsid w:val="003F167F"/>
    <w:rsid w:val="003F2719"/>
    <w:rsid w:val="003F434E"/>
    <w:rsid w:val="003F4FED"/>
    <w:rsid w:val="003F5B82"/>
    <w:rsid w:val="003F5E8A"/>
    <w:rsid w:val="004041D0"/>
    <w:rsid w:val="004054D8"/>
    <w:rsid w:val="004057FC"/>
    <w:rsid w:val="00414B5E"/>
    <w:rsid w:val="00417C54"/>
    <w:rsid w:val="00421A95"/>
    <w:rsid w:val="00422B40"/>
    <w:rsid w:val="004236E5"/>
    <w:rsid w:val="00424AC4"/>
    <w:rsid w:val="00425F9F"/>
    <w:rsid w:val="004267D3"/>
    <w:rsid w:val="00432447"/>
    <w:rsid w:val="004325CB"/>
    <w:rsid w:val="00433841"/>
    <w:rsid w:val="00435AB4"/>
    <w:rsid w:val="00437496"/>
    <w:rsid w:val="00437846"/>
    <w:rsid w:val="00437CA8"/>
    <w:rsid w:val="00437F3F"/>
    <w:rsid w:val="00443CBA"/>
    <w:rsid w:val="00444EA3"/>
    <w:rsid w:val="00444F86"/>
    <w:rsid w:val="0044537B"/>
    <w:rsid w:val="00445F6F"/>
    <w:rsid w:val="00446DE4"/>
    <w:rsid w:val="0044764B"/>
    <w:rsid w:val="004513F0"/>
    <w:rsid w:val="0045304D"/>
    <w:rsid w:val="00454036"/>
    <w:rsid w:val="00454F71"/>
    <w:rsid w:val="00455F63"/>
    <w:rsid w:val="004570D1"/>
    <w:rsid w:val="004623DC"/>
    <w:rsid w:val="0046672F"/>
    <w:rsid w:val="004729D1"/>
    <w:rsid w:val="004741C2"/>
    <w:rsid w:val="004820A6"/>
    <w:rsid w:val="00482339"/>
    <w:rsid w:val="00484509"/>
    <w:rsid w:val="00490A7A"/>
    <w:rsid w:val="00492614"/>
    <w:rsid w:val="004929B2"/>
    <w:rsid w:val="00493F79"/>
    <w:rsid w:val="004960E6"/>
    <w:rsid w:val="00496937"/>
    <w:rsid w:val="004A077A"/>
    <w:rsid w:val="004A1F4A"/>
    <w:rsid w:val="004A5211"/>
    <w:rsid w:val="004A5CB8"/>
    <w:rsid w:val="004A5E45"/>
    <w:rsid w:val="004A641A"/>
    <w:rsid w:val="004A7228"/>
    <w:rsid w:val="004B05A7"/>
    <w:rsid w:val="004B1D9C"/>
    <w:rsid w:val="004B21FD"/>
    <w:rsid w:val="004B2C9D"/>
    <w:rsid w:val="004B7395"/>
    <w:rsid w:val="004C05DA"/>
    <w:rsid w:val="004C1ADF"/>
    <w:rsid w:val="004C28FE"/>
    <w:rsid w:val="004C306D"/>
    <w:rsid w:val="004C5A26"/>
    <w:rsid w:val="004C6109"/>
    <w:rsid w:val="004C6B89"/>
    <w:rsid w:val="004C71D5"/>
    <w:rsid w:val="004D15D3"/>
    <w:rsid w:val="004D1FA6"/>
    <w:rsid w:val="004D22F3"/>
    <w:rsid w:val="004D244B"/>
    <w:rsid w:val="004D5E3E"/>
    <w:rsid w:val="004D6346"/>
    <w:rsid w:val="004D676A"/>
    <w:rsid w:val="004E394C"/>
    <w:rsid w:val="004E75F5"/>
    <w:rsid w:val="004F0816"/>
    <w:rsid w:val="004F3FCB"/>
    <w:rsid w:val="004F7DCE"/>
    <w:rsid w:val="00500783"/>
    <w:rsid w:val="005008D9"/>
    <w:rsid w:val="005044B6"/>
    <w:rsid w:val="00506274"/>
    <w:rsid w:val="00511DBA"/>
    <w:rsid w:val="0051448B"/>
    <w:rsid w:val="005160F8"/>
    <w:rsid w:val="005178B9"/>
    <w:rsid w:val="00520573"/>
    <w:rsid w:val="00520E00"/>
    <w:rsid w:val="00520ED9"/>
    <w:rsid w:val="00522115"/>
    <w:rsid w:val="00522A8A"/>
    <w:rsid w:val="005233B8"/>
    <w:rsid w:val="0052386A"/>
    <w:rsid w:val="005253D6"/>
    <w:rsid w:val="00525DDC"/>
    <w:rsid w:val="00526B46"/>
    <w:rsid w:val="00527910"/>
    <w:rsid w:val="00530BBD"/>
    <w:rsid w:val="00532163"/>
    <w:rsid w:val="005401B2"/>
    <w:rsid w:val="00540596"/>
    <w:rsid w:val="005420F2"/>
    <w:rsid w:val="0054320C"/>
    <w:rsid w:val="00544B88"/>
    <w:rsid w:val="00545A68"/>
    <w:rsid w:val="00546C67"/>
    <w:rsid w:val="00547827"/>
    <w:rsid w:val="00555059"/>
    <w:rsid w:val="005576A2"/>
    <w:rsid w:val="0056126C"/>
    <w:rsid w:val="005618E1"/>
    <w:rsid w:val="00563EB6"/>
    <w:rsid w:val="00564399"/>
    <w:rsid w:val="00565275"/>
    <w:rsid w:val="005664A9"/>
    <w:rsid w:val="00567BF8"/>
    <w:rsid w:val="00571352"/>
    <w:rsid w:val="0057433C"/>
    <w:rsid w:val="005757DA"/>
    <w:rsid w:val="005758F6"/>
    <w:rsid w:val="0058023E"/>
    <w:rsid w:val="00582E93"/>
    <w:rsid w:val="00584654"/>
    <w:rsid w:val="0058471D"/>
    <w:rsid w:val="00584AB0"/>
    <w:rsid w:val="005862F0"/>
    <w:rsid w:val="00587ED4"/>
    <w:rsid w:val="00590144"/>
    <w:rsid w:val="005916A8"/>
    <w:rsid w:val="00593820"/>
    <w:rsid w:val="005A4372"/>
    <w:rsid w:val="005A770B"/>
    <w:rsid w:val="005B28D5"/>
    <w:rsid w:val="005B3DB3"/>
    <w:rsid w:val="005B621F"/>
    <w:rsid w:val="005C149F"/>
    <w:rsid w:val="005C284C"/>
    <w:rsid w:val="005C2F3E"/>
    <w:rsid w:val="005D0641"/>
    <w:rsid w:val="005D4C19"/>
    <w:rsid w:val="005E504F"/>
    <w:rsid w:val="005E6396"/>
    <w:rsid w:val="005E6792"/>
    <w:rsid w:val="005F1E8A"/>
    <w:rsid w:val="005F5804"/>
    <w:rsid w:val="0060091E"/>
    <w:rsid w:val="006017C9"/>
    <w:rsid w:val="00601C90"/>
    <w:rsid w:val="00602652"/>
    <w:rsid w:val="00606441"/>
    <w:rsid w:val="0060700C"/>
    <w:rsid w:val="00607C6C"/>
    <w:rsid w:val="0061020D"/>
    <w:rsid w:val="00611ACB"/>
    <w:rsid w:val="00611FC4"/>
    <w:rsid w:val="00612524"/>
    <w:rsid w:val="00615113"/>
    <w:rsid w:val="006176FB"/>
    <w:rsid w:val="006203C6"/>
    <w:rsid w:val="00624A0E"/>
    <w:rsid w:val="00626968"/>
    <w:rsid w:val="006315E9"/>
    <w:rsid w:val="006324AC"/>
    <w:rsid w:val="00633405"/>
    <w:rsid w:val="0063419C"/>
    <w:rsid w:val="006348E3"/>
    <w:rsid w:val="00634C2F"/>
    <w:rsid w:val="00635CF4"/>
    <w:rsid w:val="00636367"/>
    <w:rsid w:val="00640B26"/>
    <w:rsid w:val="006418B9"/>
    <w:rsid w:val="00641FA0"/>
    <w:rsid w:val="006420DF"/>
    <w:rsid w:val="00642431"/>
    <w:rsid w:val="0064265A"/>
    <w:rsid w:val="00644CC0"/>
    <w:rsid w:val="006500BA"/>
    <w:rsid w:val="00650C47"/>
    <w:rsid w:val="00653D5D"/>
    <w:rsid w:val="00657F62"/>
    <w:rsid w:val="0066279A"/>
    <w:rsid w:val="00663EFB"/>
    <w:rsid w:val="00664979"/>
    <w:rsid w:val="006659C1"/>
    <w:rsid w:val="00670E29"/>
    <w:rsid w:val="0067269B"/>
    <w:rsid w:val="00672767"/>
    <w:rsid w:val="00672A0D"/>
    <w:rsid w:val="006737C7"/>
    <w:rsid w:val="00673D04"/>
    <w:rsid w:val="006744B2"/>
    <w:rsid w:val="006758DA"/>
    <w:rsid w:val="00682A23"/>
    <w:rsid w:val="00684879"/>
    <w:rsid w:val="00685D06"/>
    <w:rsid w:val="00685D57"/>
    <w:rsid w:val="00690D46"/>
    <w:rsid w:val="00694C02"/>
    <w:rsid w:val="006965DA"/>
    <w:rsid w:val="006A025B"/>
    <w:rsid w:val="006A389C"/>
    <w:rsid w:val="006A7392"/>
    <w:rsid w:val="006A7B01"/>
    <w:rsid w:val="006B029B"/>
    <w:rsid w:val="006B04F7"/>
    <w:rsid w:val="006B1156"/>
    <w:rsid w:val="006B157F"/>
    <w:rsid w:val="006B2882"/>
    <w:rsid w:val="006B38D1"/>
    <w:rsid w:val="006B46FE"/>
    <w:rsid w:val="006B66F7"/>
    <w:rsid w:val="006C0D34"/>
    <w:rsid w:val="006C329D"/>
    <w:rsid w:val="006C6056"/>
    <w:rsid w:val="006C662A"/>
    <w:rsid w:val="006C6884"/>
    <w:rsid w:val="006C771D"/>
    <w:rsid w:val="006D12D5"/>
    <w:rsid w:val="006D295D"/>
    <w:rsid w:val="006D3366"/>
    <w:rsid w:val="006D5225"/>
    <w:rsid w:val="006E010F"/>
    <w:rsid w:val="006E0E52"/>
    <w:rsid w:val="006E42A8"/>
    <w:rsid w:val="006E4493"/>
    <w:rsid w:val="006E564B"/>
    <w:rsid w:val="006E5C33"/>
    <w:rsid w:val="006E68F9"/>
    <w:rsid w:val="006E6B29"/>
    <w:rsid w:val="006E7AFD"/>
    <w:rsid w:val="006F24A5"/>
    <w:rsid w:val="006F2724"/>
    <w:rsid w:val="006F3576"/>
    <w:rsid w:val="006F71FB"/>
    <w:rsid w:val="006F72DE"/>
    <w:rsid w:val="007002F0"/>
    <w:rsid w:val="00701470"/>
    <w:rsid w:val="00702B60"/>
    <w:rsid w:val="00704DBF"/>
    <w:rsid w:val="007078C6"/>
    <w:rsid w:val="00710B9C"/>
    <w:rsid w:val="00710C79"/>
    <w:rsid w:val="00712144"/>
    <w:rsid w:val="007125B1"/>
    <w:rsid w:val="00714CB2"/>
    <w:rsid w:val="00717393"/>
    <w:rsid w:val="0071739D"/>
    <w:rsid w:val="00721CA8"/>
    <w:rsid w:val="00725476"/>
    <w:rsid w:val="0072593B"/>
    <w:rsid w:val="0072632A"/>
    <w:rsid w:val="00734256"/>
    <w:rsid w:val="00735B34"/>
    <w:rsid w:val="007367D6"/>
    <w:rsid w:val="007378A3"/>
    <w:rsid w:val="00737EF7"/>
    <w:rsid w:val="00740935"/>
    <w:rsid w:val="00741191"/>
    <w:rsid w:val="00741499"/>
    <w:rsid w:val="00743640"/>
    <w:rsid w:val="00743A82"/>
    <w:rsid w:val="00745209"/>
    <w:rsid w:val="007479CE"/>
    <w:rsid w:val="00750BBE"/>
    <w:rsid w:val="00753114"/>
    <w:rsid w:val="00755427"/>
    <w:rsid w:val="007575F5"/>
    <w:rsid w:val="00757D6E"/>
    <w:rsid w:val="00762523"/>
    <w:rsid w:val="00762901"/>
    <w:rsid w:val="00762F2A"/>
    <w:rsid w:val="00763522"/>
    <w:rsid w:val="00763C09"/>
    <w:rsid w:val="0076405E"/>
    <w:rsid w:val="00764E9E"/>
    <w:rsid w:val="00765DDF"/>
    <w:rsid w:val="00766298"/>
    <w:rsid w:val="00767B59"/>
    <w:rsid w:val="00770E6F"/>
    <w:rsid w:val="00771C45"/>
    <w:rsid w:val="007759E8"/>
    <w:rsid w:val="00776BB6"/>
    <w:rsid w:val="00776D6C"/>
    <w:rsid w:val="00777500"/>
    <w:rsid w:val="007778B4"/>
    <w:rsid w:val="00780507"/>
    <w:rsid w:val="00783387"/>
    <w:rsid w:val="00783A23"/>
    <w:rsid w:val="007875A4"/>
    <w:rsid w:val="00790791"/>
    <w:rsid w:val="007A2446"/>
    <w:rsid w:val="007A24EE"/>
    <w:rsid w:val="007A3072"/>
    <w:rsid w:val="007A3369"/>
    <w:rsid w:val="007A3386"/>
    <w:rsid w:val="007A5B7B"/>
    <w:rsid w:val="007A5E85"/>
    <w:rsid w:val="007A6FFA"/>
    <w:rsid w:val="007A71F2"/>
    <w:rsid w:val="007B1A7E"/>
    <w:rsid w:val="007B2EF9"/>
    <w:rsid w:val="007B342D"/>
    <w:rsid w:val="007B67A4"/>
    <w:rsid w:val="007B6BA5"/>
    <w:rsid w:val="007C3390"/>
    <w:rsid w:val="007C38EB"/>
    <w:rsid w:val="007C4F4B"/>
    <w:rsid w:val="007C745B"/>
    <w:rsid w:val="007C77F8"/>
    <w:rsid w:val="007D2AB7"/>
    <w:rsid w:val="007D43B1"/>
    <w:rsid w:val="007D53E0"/>
    <w:rsid w:val="007D565F"/>
    <w:rsid w:val="007E0AE7"/>
    <w:rsid w:val="007E1454"/>
    <w:rsid w:val="007E2962"/>
    <w:rsid w:val="007E4FD4"/>
    <w:rsid w:val="007E5A31"/>
    <w:rsid w:val="007F0FB3"/>
    <w:rsid w:val="007F1C6D"/>
    <w:rsid w:val="007F2058"/>
    <w:rsid w:val="007F22B0"/>
    <w:rsid w:val="007F35B8"/>
    <w:rsid w:val="007F3D2B"/>
    <w:rsid w:val="007F438A"/>
    <w:rsid w:val="007F5B49"/>
    <w:rsid w:val="007F6611"/>
    <w:rsid w:val="008001DE"/>
    <w:rsid w:val="00800E15"/>
    <w:rsid w:val="00800F48"/>
    <w:rsid w:val="00801182"/>
    <w:rsid w:val="00806024"/>
    <w:rsid w:val="00811FF1"/>
    <w:rsid w:val="00812C0A"/>
    <w:rsid w:val="0081504C"/>
    <w:rsid w:val="00815A2F"/>
    <w:rsid w:val="00815FD5"/>
    <w:rsid w:val="00816C52"/>
    <w:rsid w:val="008175E9"/>
    <w:rsid w:val="00821459"/>
    <w:rsid w:val="00821672"/>
    <w:rsid w:val="00821A3E"/>
    <w:rsid w:val="008229A9"/>
    <w:rsid w:val="008242D7"/>
    <w:rsid w:val="00824323"/>
    <w:rsid w:val="008251A2"/>
    <w:rsid w:val="0082677B"/>
    <w:rsid w:val="008315FD"/>
    <w:rsid w:val="00833414"/>
    <w:rsid w:val="0083381C"/>
    <w:rsid w:val="00834AC8"/>
    <w:rsid w:val="0083561E"/>
    <w:rsid w:val="0083585A"/>
    <w:rsid w:val="00837F38"/>
    <w:rsid w:val="00841236"/>
    <w:rsid w:val="00842149"/>
    <w:rsid w:val="008424A8"/>
    <w:rsid w:val="00842518"/>
    <w:rsid w:val="008454BF"/>
    <w:rsid w:val="008474D0"/>
    <w:rsid w:val="00847E99"/>
    <w:rsid w:val="008540B7"/>
    <w:rsid w:val="0085759F"/>
    <w:rsid w:val="00857ADB"/>
    <w:rsid w:val="0086261F"/>
    <w:rsid w:val="008636A0"/>
    <w:rsid w:val="00864218"/>
    <w:rsid w:val="00865234"/>
    <w:rsid w:val="00865CC9"/>
    <w:rsid w:val="00866C98"/>
    <w:rsid w:val="008676F3"/>
    <w:rsid w:val="00871FD5"/>
    <w:rsid w:val="0087266A"/>
    <w:rsid w:val="00872970"/>
    <w:rsid w:val="00872DD0"/>
    <w:rsid w:val="0088163F"/>
    <w:rsid w:val="00881FA0"/>
    <w:rsid w:val="00881FE3"/>
    <w:rsid w:val="0088217A"/>
    <w:rsid w:val="0088572C"/>
    <w:rsid w:val="008904B8"/>
    <w:rsid w:val="00892AB6"/>
    <w:rsid w:val="00893711"/>
    <w:rsid w:val="00897871"/>
    <w:rsid w:val="008979B1"/>
    <w:rsid w:val="008A482C"/>
    <w:rsid w:val="008A4A53"/>
    <w:rsid w:val="008A5C4E"/>
    <w:rsid w:val="008A6B25"/>
    <w:rsid w:val="008A6C4F"/>
    <w:rsid w:val="008B17C8"/>
    <w:rsid w:val="008B2404"/>
    <w:rsid w:val="008B4BA6"/>
    <w:rsid w:val="008B6E2D"/>
    <w:rsid w:val="008C437B"/>
    <w:rsid w:val="008C48A1"/>
    <w:rsid w:val="008C761D"/>
    <w:rsid w:val="008C7A3A"/>
    <w:rsid w:val="008D27AF"/>
    <w:rsid w:val="008D3081"/>
    <w:rsid w:val="008D37D5"/>
    <w:rsid w:val="008E0E46"/>
    <w:rsid w:val="008E2354"/>
    <w:rsid w:val="008E3B43"/>
    <w:rsid w:val="008E58AF"/>
    <w:rsid w:val="008E65E0"/>
    <w:rsid w:val="008E7948"/>
    <w:rsid w:val="008F1AE5"/>
    <w:rsid w:val="008F446D"/>
    <w:rsid w:val="00901E50"/>
    <w:rsid w:val="00903E44"/>
    <w:rsid w:val="0090743F"/>
    <w:rsid w:val="00911ADB"/>
    <w:rsid w:val="00913EAD"/>
    <w:rsid w:val="0091681F"/>
    <w:rsid w:val="00925F6E"/>
    <w:rsid w:val="00926593"/>
    <w:rsid w:val="0093228C"/>
    <w:rsid w:val="00935FA4"/>
    <w:rsid w:val="00936DD8"/>
    <w:rsid w:val="009376F4"/>
    <w:rsid w:val="00944AAD"/>
    <w:rsid w:val="00945A5D"/>
    <w:rsid w:val="00945A7F"/>
    <w:rsid w:val="0095327C"/>
    <w:rsid w:val="0095385C"/>
    <w:rsid w:val="009606CB"/>
    <w:rsid w:val="00960887"/>
    <w:rsid w:val="009624BE"/>
    <w:rsid w:val="00963CBA"/>
    <w:rsid w:val="00964CD0"/>
    <w:rsid w:val="00966D12"/>
    <w:rsid w:val="00967793"/>
    <w:rsid w:val="00970AE7"/>
    <w:rsid w:val="0097117D"/>
    <w:rsid w:val="009737F8"/>
    <w:rsid w:val="00973B9A"/>
    <w:rsid w:val="00974F0E"/>
    <w:rsid w:val="009763BC"/>
    <w:rsid w:val="009771BA"/>
    <w:rsid w:val="00980CA7"/>
    <w:rsid w:val="009867FC"/>
    <w:rsid w:val="0099124E"/>
    <w:rsid w:val="00991261"/>
    <w:rsid w:val="009934A8"/>
    <w:rsid w:val="0099435B"/>
    <w:rsid w:val="0099569F"/>
    <w:rsid w:val="00997081"/>
    <w:rsid w:val="009A451D"/>
    <w:rsid w:val="009A51DA"/>
    <w:rsid w:val="009B2A64"/>
    <w:rsid w:val="009B2C28"/>
    <w:rsid w:val="009B4FAB"/>
    <w:rsid w:val="009B5C48"/>
    <w:rsid w:val="009B62AC"/>
    <w:rsid w:val="009B6576"/>
    <w:rsid w:val="009B70D5"/>
    <w:rsid w:val="009D1290"/>
    <w:rsid w:val="009D1AAE"/>
    <w:rsid w:val="009D320A"/>
    <w:rsid w:val="009D3F94"/>
    <w:rsid w:val="009D53C7"/>
    <w:rsid w:val="009D60F6"/>
    <w:rsid w:val="009D7B47"/>
    <w:rsid w:val="009D7F96"/>
    <w:rsid w:val="009E1872"/>
    <w:rsid w:val="009E22CA"/>
    <w:rsid w:val="009E3BE8"/>
    <w:rsid w:val="009E671E"/>
    <w:rsid w:val="009E7B2C"/>
    <w:rsid w:val="009F058B"/>
    <w:rsid w:val="009F0F06"/>
    <w:rsid w:val="009F4303"/>
    <w:rsid w:val="009F58CC"/>
    <w:rsid w:val="009F7667"/>
    <w:rsid w:val="009F7EBA"/>
    <w:rsid w:val="00A01DFE"/>
    <w:rsid w:val="00A029A9"/>
    <w:rsid w:val="00A02CF2"/>
    <w:rsid w:val="00A1087D"/>
    <w:rsid w:val="00A10CF0"/>
    <w:rsid w:val="00A133C6"/>
    <w:rsid w:val="00A1427D"/>
    <w:rsid w:val="00A14DBD"/>
    <w:rsid w:val="00A23F64"/>
    <w:rsid w:val="00A248E3"/>
    <w:rsid w:val="00A25A2E"/>
    <w:rsid w:val="00A2716D"/>
    <w:rsid w:val="00A30E3C"/>
    <w:rsid w:val="00A32E35"/>
    <w:rsid w:val="00A3666C"/>
    <w:rsid w:val="00A417BB"/>
    <w:rsid w:val="00A42EA2"/>
    <w:rsid w:val="00A43587"/>
    <w:rsid w:val="00A47B0C"/>
    <w:rsid w:val="00A51035"/>
    <w:rsid w:val="00A550E1"/>
    <w:rsid w:val="00A55B6B"/>
    <w:rsid w:val="00A56184"/>
    <w:rsid w:val="00A57EF0"/>
    <w:rsid w:val="00A62318"/>
    <w:rsid w:val="00A63A87"/>
    <w:rsid w:val="00A63F5B"/>
    <w:rsid w:val="00A64D61"/>
    <w:rsid w:val="00A65719"/>
    <w:rsid w:val="00A70730"/>
    <w:rsid w:val="00A714D0"/>
    <w:rsid w:val="00A71944"/>
    <w:rsid w:val="00A72F22"/>
    <w:rsid w:val="00A748A6"/>
    <w:rsid w:val="00A75EC9"/>
    <w:rsid w:val="00A775F6"/>
    <w:rsid w:val="00A77D87"/>
    <w:rsid w:val="00A77FA0"/>
    <w:rsid w:val="00A82260"/>
    <w:rsid w:val="00A8523D"/>
    <w:rsid w:val="00A879A4"/>
    <w:rsid w:val="00AA5227"/>
    <w:rsid w:val="00AA6228"/>
    <w:rsid w:val="00AA6815"/>
    <w:rsid w:val="00AA6A2F"/>
    <w:rsid w:val="00AB01E4"/>
    <w:rsid w:val="00AB057B"/>
    <w:rsid w:val="00AB315A"/>
    <w:rsid w:val="00AB33D9"/>
    <w:rsid w:val="00AB3947"/>
    <w:rsid w:val="00AB4937"/>
    <w:rsid w:val="00AB571F"/>
    <w:rsid w:val="00AB5AA7"/>
    <w:rsid w:val="00AC224C"/>
    <w:rsid w:val="00AC5701"/>
    <w:rsid w:val="00AD0C6D"/>
    <w:rsid w:val="00AD25B7"/>
    <w:rsid w:val="00AD26F6"/>
    <w:rsid w:val="00AD615E"/>
    <w:rsid w:val="00AD6A0A"/>
    <w:rsid w:val="00AE3872"/>
    <w:rsid w:val="00AE47DB"/>
    <w:rsid w:val="00AE4A6A"/>
    <w:rsid w:val="00AE4A7D"/>
    <w:rsid w:val="00AE4C73"/>
    <w:rsid w:val="00AE4D5C"/>
    <w:rsid w:val="00AE6A10"/>
    <w:rsid w:val="00AE764E"/>
    <w:rsid w:val="00AF19BC"/>
    <w:rsid w:val="00AF70A5"/>
    <w:rsid w:val="00AF73CE"/>
    <w:rsid w:val="00B00A7F"/>
    <w:rsid w:val="00B02475"/>
    <w:rsid w:val="00B027CB"/>
    <w:rsid w:val="00B04119"/>
    <w:rsid w:val="00B07CB1"/>
    <w:rsid w:val="00B102ED"/>
    <w:rsid w:val="00B121A0"/>
    <w:rsid w:val="00B14140"/>
    <w:rsid w:val="00B16256"/>
    <w:rsid w:val="00B20035"/>
    <w:rsid w:val="00B201C5"/>
    <w:rsid w:val="00B20ECC"/>
    <w:rsid w:val="00B2154A"/>
    <w:rsid w:val="00B219BB"/>
    <w:rsid w:val="00B21C6C"/>
    <w:rsid w:val="00B26818"/>
    <w:rsid w:val="00B278F9"/>
    <w:rsid w:val="00B30179"/>
    <w:rsid w:val="00B30250"/>
    <w:rsid w:val="00B3101E"/>
    <w:rsid w:val="00B3317B"/>
    <w:rsid w:val="00B33F1E"/>
    <w:rsid w:val="00B35DA4"/>
    <w:rsid w:val="00B410AD"/>
    <w:rsid w:val="00B43846"/>
    <w:rsid w:val="00B44820"/>
    <w:rsid w:val="00B45EC3"/>
    <w:rsid w:val="00B51A01"/>
    <w:rsid w:val="00B53F26"/>
    <w:rsid w:val="00B556BF"/>
    <w:rsid w:val="00B56B78"/>
    <w:rsid w:val="00B60932"/>
    <w:rsid w:val="00B64BD7"/>
    <w:rsid w:val="00B66D06"/>
    <w:rsid w:val="00B706C0"/>
    <w:rsid w:val="00B71430"/>
    <w:rsid w:val="00B72283"/>
    <w:rsid w:val="00B81E12"/>
    <w:rsid w:val="00B84094"/>
    <w:rsid w:val="00B84232"/>
    <w:rsid w:val="00B84362"/>
    <w:rsid w:val="00B84A6A"/>
    <w:rsid w:val="00B91894"/>
    <w:rsid w:val="00B92382"/>
    <w:rsid w:val="00B93068"/>
    <w:rsid w:val="00B96613"/>
    <w:rsid w:val="00B9787B"/>
    <w:rsid w:val="00BA22E8"/>
    <w:rsid w:val="00BA3552"/>
    <w:rsid w:val="00BA58F0"/>
    <w:rsid w:val="00BA5991"/>
    <w:rsid w:val="00BB176D"/>
    <w:rsid w:val="00BB43C1"/>
    <w:rsid w:val="00BB4EA3"/>
    <w:rsid w:val="00BB4F02"/>
    <w:rsid w:val="00BB7AC7"/>
    <w:rsid w:val="00BC03B3"/>
    <w:rsid w:val="00BC090C"/>
    <w:rsid w:val="00BC17B5"/>
    <w:rsid w:val="00BC1B53"/>
    <w:rsid w:val="00BC3CE8"/>
    <w:rsid w:val="00BC5492"/>
    <w:rsid w:val="00BC639D"/>
    <w:rsid w:val="00BC74E9"/>
    <w:rsid w:val="00BD17C0"/>
    <w:rsid w:val="00BD1A4C"/>
    <w:rsid w:val="00BD1B81"/>
    <w:rsid w:val="00BD2BF0"/>
    <w:rsid w:val="00BD52ED"/>
    <w:rsid w:val="00BD55F1"/>
    <w:rsid w:val="00BD5B57"/>
    <w:rsid w:val="00BE2710"/>
    <w:rsid w:val="00BE3932"/>
    <w:rsid w:val="00BE5222"/>
    <w:rsid w:val="00BE618E"/>
    <w:rsid w:val="00BE6EEE"/>
    <w:rsid w:val="00BE716B"/>
    <w:rsid w:val="00BF0E8B"/>
    <w:rsid w:val="00BF1367"/>
    <w:rsid w:val="00BF3737"/>
    <w:rsid w:val="00C00F60"/>
    <w:rsid w:val="00C01C4D"/>
    <w:rsid w:val="00C01EC5"/>
    <w:rsid w:val="00C02C89"/>
    <w:rsid w:val="00C0342D"/>
    <w:rsid w:val="00C043AB"/>
    <w:rsid w:val="00C108FA"/>
    <w:rsid w:val="00C129D6"/>
    <w:rsid w:val="00C131F7"/>
    <w:rsid w:val="00C1402C"/>
    <w:rsid w:val="00C14B84"/>
    <w:rsid w:val="00C20131"/>
    <w:rsid w:val="00C205FB"/>
    <w:rsid w:val="00C2261B"/>
    <w:rsid w:val="00C22910"/>
    <w:rsid w:val="00C22CE1"/>
    <w:rsid w:val="00C252C1"/>
    <w:rsid w:val="00C269BC"/>
    <w:rsid w:val="00C34242"/>
    <w:rsid w:val="00C34784"/>
    <w:rsid w:val="00C349DF"/>
    <w:rsid w:val="00C36C31"/>
    <w:rsid w:val="00C37780"/>
    <w:rsid w:val="00C43A95"/>
    <w:rsid w:val="00C446CB"/>
    <w:rsid w:val="00C45F8F"/>
    <w:rsid w:val="00C463DD"/>
    <w:rsid w:val="00C50AAB"/>
    <w:rsid w:val="00C50CAE"/>
    <w:rsid w:val="00C50CF0"/>
    <w:rsid w:val="00C5206D"/>
    <w:rsid w:val="00C62F76"/>
    <w:rsid w:val="00C63202"/>
    <w:rsid w:val="00C63261"/>
    <w:rsid w:val="00C662C6"/>
    <w:rsid w:val="00C66BC5"/>
    <w:rsid w:val="00C70DA8"/>
    <w:rsid w:val="00C718B4"/>
    <w:rsid w:val="00C72973"/>
    <w:rsid w:val="00C73554"/>
    <w:rsid w:val="00C745C3"/>
    <w:rsid w:val="00C75298"/>
    <w:rsid w:val="00C7643E"/>
    <w:rsid w:val="00C808CA"/>
    <w:rsid w:val="00C80FCC"/>
    <w:rsid w:val="00C90FE6"/>
    <w:rsid w:val="00C91469"/>
    <w:rsid w:val="00C924F2"/>
    <w:rsid w:val="00C92EC4"/>
    <w:rsid w:val="00C947C9"/>
    <w:rsid w:val="00CA4788"/>
    <w:rsid w:val="00CA66C1"/>
    <w:rsid w:val="00CB1F8D"/>
    <w:rsid w:val="00CB26D0"/>
    <w:rsid w:val="00CB501C"/>
    <w:rsid w:val="00CC2B1B"/>
    <w:rsid w:val="00CC4E48"/>
    <w:rsid w:val="00CD13C3"/>
    <w:rsid w:val="00CD3225"/>
    <w:rsid w:val="00CD4AA2"/>
    <w:rsid w:val="00CD5800"/>
    <w:rsid w:val="00CE218D"/>
    <w:rsid w:val="00CE2409"/>
    <w:rsid w:val="00CE2C4C"/>
    <w:rsid w:val="00CE2CC5"/>
    <w:rsid w:val="00CE46BA"/>
    <w:rsid w:val="00CE4A8F"/>
    <w:rsid w:val="00CE60CD"/>
    <w:rsid w:val="00CF73A5"/>
    <w:rsid w:val="00CF7514"/>
    <w:rsid w:val="00D021F1"/>
    <w:rsid w:val="00D054AC"/>
    <w:rsid w:val="00D05688"/>
    <w:rsid w:val="00D1093A"/>
    <w:rsid w:val="00D12DF3"/>
    <w:rsid w:val="00D16A38"/>
    <w:rsid w:val="00D2031B"/>
    <w:rsid w:val="00D20C3C"/>
    <w:rsid w:val="00D221A3"/>
    <w:rsid w:val="00D230C7"/>
    <w:rsid w:val="00D234E4"/>
    <w:rsid w:val="00D2531E"/>
    <w:rsid w:val="00D25FE2"/>
    <w:rsid w:val="00D302B3"/>
    <w:rsid w:val="00D30A99"/>
    <w:rsid w:val="00D374BD"/>
    <w:rsid w:val="00D40E86"/>
    <w:rsid w:val="00D43252"/>
    <w:rsid w:val="00D44EA1"/>
    <w:rsid w:val="00D4529D"/>
    <w:rsid w:val="00D46231"/>
    <w:rsid w:val="00D50C21"/>
    <w:rsid w:val="00D511CA"/>
    <w:rsid w:val="00D51F85"/>
    <w:rsid w:val="00D53910"/>
    <w:rsid w:val="00D56932"/>
    <w:rsid w:val="00D60434"/>
    <w:rsid w:val="00D6238C"/>
    <w:rsid w:val="00D62466"/>
    <w:rsid w:val="00D62A91"/>
    <w:rsid w:val="00D6615E"/>
    <w:rsid w:val="00D66780"/>
    <w:rsid w:val="00D731F3"/>
    <w:rsid w:val="00D74984"/>
    <w:rsid w:val="00D753D8"/>
    <w:rsid w:val="00D759D5"/>
    <w:rsid w:val="00D75DFA"/>
    <w:rsid w:val="00D7701E"/>
    <w:rsid w:val="00D85F26"/>
    <w:rsid w:val="00D863EA"/>
    <w:rsid w:val="00D868D0"/>
    <w:rsid w:val="00D94D46"/>
    <w:rsid w:val="00D96CC5"/>
    <w:rsid w:val="00D96F6B"/>
    <w:rsid w:val="00D978C6"/>
    <w:rsid w:val="00DA051C"/>
    <w:rsid w:val="00DA15E0"/>
    <w:rsid w:val="00DA42D4"/>
    <w:rsid w:val="00DA57CC"/>
    <w:rsid w:val="00DA5DFB"/>
    <w:rsid w:val="00DA66FB"/>
    <w:rsid w:val="00DA67AD"/>
    <w:rsid w:val="00DA6F23"/>
    <w:rsid w:val="00DB03CB"/>
    <w:rsid w:val="00DB063B"/>
    <w:rsid w:val="00DB44D0"/>
    <w:rsid w:val="00DB54AB"/>
    <w:rsid w:val="00DB6BA1"/>
    <w:rsid w:val="00DC0A7B"/>
    <w:rsid w:val="00DC177A"/>
    <w:rsid w:val="00DD2313"/>
    <w:rsid w:val="00DD4FE9"/>
    <w:rsid w:val="00DE02F7"/>
    <w:rsid w:val="00DE6FB3"/>
    <w:rsid w:val="00DE7071"/>
    <w:rsid w:val="00DF1C6D"/>
    <w:rsid w:val="00DF20C4"/>
    <w:rsid w:val="00DF28A0"/>
    <w:rsid w:val="00DF2F95"/>
    <w:rsid w:val="00DF6C0A"/>
    <w:rsid w:val="00E079FC"/>
    <w:rsid w:val="00E116BE"/>
    <w:rsid w:val="00E130AB"/>
    <w:rsid w:val="00E145C4"/>
    <w:rsid w:val="00E1679E"/>
    <w:rsid w:val="00E21C2A"/>
    <w:rsid w:val="00E21F98"/>
    <w:rsid w:val="00E23775"/>
    <w:rsid w:val="00E24465"/>
    <w:rsid w:val="00E26C1D"/>
    <w:rsid w:val="00E312B0"/>
    <w:rsid w:val="00E31A79"/>
    <w:rsid w:val="00E34355"/>
    <w:rsid w:val="00E351E1"/>
    <w:rsid w:val="00E354F7"/>
    <w:rsid w:val="00E37BD1"/>
    <w:rsid w:val="00E409C8"/>
    <w:rsid w:val="00E40D70"/>
    <w:rsid w:val="00E4153E"/>
    <w:rsid w:val="00E429CD"/>
    <w:rsid w:val="00E44927"/>
    <w:rsid w:val="00E45F79"/>
    <w:rsid w:val="00E479C9"/>
    <w:rsid w:val="00E47DD9"/>
    <w:rsid w:val="00E51767"/>
    <w:rsid w:val="00E52830"/>
    <w:rsid w:val="00E52C71"/>
    <w:rsid w:val="00E52F20"/>
    <w:rsid w:val="00E55C1E"/>
    <w:rsid w:val="00E5644E"/>
    <w:rsid w:val="00E57BF2"/>
    <w:rsid w:val="00E608E2"/>
    <w:rsid w:val="00E60928"/>
    <w:rsid w:val="00E62AEE"/>
    <w:rsid w:val="00E64103"/>
    <w:rsid w:val="00E644D8"/>
    <w:rsid w:val="00E650B3"/>
    <w:rsid w:val="00E66779"/>
    <w:rsid w:val="00E7260F"/>
    <w:rsid w:val="00E72756"/>
    <w:rsid w:val="00E73D81"/>
    <w:rsid w:val="00E761B7"/>
    <w:rsid w:val="00E76EA5"/>
    <w:rsid w:val="00E81230"/>
    <w:rsid w:val="00E8535A"/>
    <w:rsid w:val="00E86659"/>
    <w:rsid w:val="00E91ACF"/>
    <w:rsid w:val="00E927DD"/>
    <w:rsid w:val="00E947C8"/>
    <w:rsid w:val="00E96630"/>
    <w:rsid w:val="00E96FCD"/>
    <w:rsid w:val="00E97D2F"/>
    <w:rsid w:val="00EA0882"/>
    <w:rsid w:val="00EA1292"/>
    <w:rsid w:val="00EA2F38"/>
    <w:rsid w:val="00EA33BC"/>
    <w:rsid w:val="00EA4C3D"/>
    <w:rsid w:val="00EA715E"/>
    <w:rsid w:val="00EA772F"/>
    <w:rsid w:val="00EB0CDE"/>
    <w:rsid w:val="00EB14AA"/>
    <w:rsid w:val="00EB1776"/>
    <w:rsid w:val="00EB3877"/>
    <w:rsid w:val="00EB4929"/>
    <w:rsid w:val="00EB6832"/>
    <w:rsid w:val="00EB6F20"/>
    <w:rsid w:val="00EB7DED"/>
    <w:rsid w:val="00EC22A4"/>
    <w:rsid w:val="00EC271A"/>
    <w:rsid w:val="00EC369C"/>
    <w:rsid w:val="00EC45E2"/>
    <w:rsid w:val="00EC60D9"/>
    <w:rsid w:val="00ED2292"/>
    <w:rsid w:val="00ED2466"/>
    <w:rsid w:val="00ED2CCA"/>
    <w:rsid w:val="00ED7A2A"/>
    <w:rsid w:val="00EE07A6"/>
    <w:rsid w:val="00EE1131"/>
    <w:rsid w:val="00EE16B4"/>
    <w:rsid w:val="00EE1DE5"/>
    <w:rsid w:val="00EE56AB"/>
    <w:rsid w:val="00EE6D49"/>
    <w:rsid w:val="00EE6EB0"/>
    <w:rsid w:val="00EF1D7F"/>
    <w:rsid w:val="00EF28C5"/>
    <w:rsid w:val="00EF301A"/>
    <w:rsid w:val="00EF333E"/>
    <w:rsid w:val="00EF4D65"/>
    <w:rsid w:val="00EF540C"/>
    <w:rsid w:val="00EF7197"/>
    <w:rsid w:val="00EF788A"/>
    <w:rsid w:val="00F000EB"/>
    <w:rsid w:val="00F03FED"/>
    <w:rsid w:val="00F045FC"/>
    <w:rsid w:val="00F04E11"/>
    <w:rsid w:val="00F10FAD"/>
    <w:rsid w:val="00F1363D"/>
    <w:rsid w:val="00F149E9"/>
    <w:rsid w:val="00F1592A"/>
    <w:rsid w:val="00F161F5"/>
    <w:rsid w:val="00F169CD"/>
    <w:rsid w:val="00F22444"/>
    <w:rsid w:val="00F2344F"/>
    <w:rsid w:val="00F234EA"/>
    <w:rsid w:val="00F23EFD"/>
    <w:rsid w:val="00F261C2"/>
    <w:rsid w:val="00F32CA8"/>
    <w:rsid w:val="00F341CB"/>
    <w:rsid w:val="00F36CA9"/>
    <w:rsid w:val="00F3769A"/>
    <w:rsid w:val="00F400AF"/>
    <w:rsid w:val="00F40E75"/>
    <w:rsid w:val="00F41C9B"/>
    <w:rsid w:val="00F444D8"/>
    <w:rsid w:val="00F47D45"/>
    <w:rsid w:val="00F53328"/>
    <w:rsid w:val="00F54674"/>
    <w:rsid w:val="00F54ED1"/>
    <w:rsid w:val="00F55A88"/>
    <w:rsid w:val="00F56FA8"/>
    <w:rsid w:val="00F576F2"/>
    <w:rsid w:val="00F64FA8"/>
    <w:rsid w:val="00F668F3"/>
    <w:rsid w:val="00F66AA5"/>
    <w:rsid w:val="00F67D3E"/>
    <w:rsid w:val="00F70950"/>
    <w:rsid w:val="00F76BC9"/>
    <w:rsid w:val="00F80DA9"/>
    <w:rsid w:val="00F82096"/>
    <w:rsid w:val="00F84FCD"/>
    <w:rsid w:val="00F852B9"/>
    <w:rsid w:val="00F860FD"/>
    <w:rsid w:val="00F9120E"/>
    <w:rsid w:val="00F966B5"/>
    <w:rsid w:val="00F97B46"/>
    <w:rsid w:val="00F97B4F"/>
    <w:rsid w:val="00F97C88"/>
    <w:rsid w:val="00FA014F"/>
    <w:rsid w:val="00FA3A87"/>
    <w:rsid w:val="00FA42CE"/>
    <w:rsid w:val="00FA6E49"/>
    <w:rsid w:val="00FB0347"/>
    <w:rsid w:val="00FB04FB"/>
    <w:rsid w:val="00FB3781"/>
    <w:rsid w:val="00FB495A"/>
    <w:rsid w:val="00FB5D33"/>
    <w:rsid w:val="00FC5E7C"/>
    <w:rsid w:val="00FC68B7"/>
    <w:rsid w:val="00FD2FD7"/>
    <w:rsid w:val="00FD3014"/>
    <w:rsid w:val="00FD3B9E"/>
    <w:rsid w:val="00FD4020"/>
    <w:rsid w:val="00FD446B"/>
    <w:rsid w:val="00FD6B2B"/>
    <w:rsid w:val="00FD7756"/>
    <w:rsid w:val="00FE0829"/>
    <w:rsid w:val="00FE18C3"/>
    <w:rsid w:val="00FE1B35"/>
    <w:rsid w:val="00FE2A31"/>
    <w:rsid w:val="00FE3997"/>
    <w:rsid w:val="00FE4982"/>
    <w:rsid w:val="00FE4DFC"/>
    <w:rsid w:val="00FE64A7"/>
    <w:rsid w:val="00FE70F9"/>
    <w:rsid w:val="00FE7507"/>
    <w:rsid w:val="00FE755F"/>
    <w:rsid w:val="00FF03BB"/>
    <w:rsid w:val="00FF04AD"/>
    <w:rsid w:val="00FF2047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AD85C"/>
  <w15:docId w15:val="{7E91CC02-2700-4B75-8BE7-640FDE8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30E3C"/>
    <w:rPr>
      <w:sz w:val="18"/>
      <w:lang w:eastAsia="en-US"/>
    </w:rPr>
  </w:style>
  <w:style w:type="character" w:customStyle="1" w:styleId="SingleTxtGZchnZchn">
    <w:name w:val="_ Single Txt_G Zchn Zchn"/>
    <w:rsid w:val="0083561E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customStyle="1" w:styleId="ManualHeading2">
    <w:name w:val="Manual Heading 2"/>
    <w:basedOn w:val="Normal"/>
    <w:next w:val="Normal"/>
    <w:rsid w:val="002C67F8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sz w:val="22"/>
      <w:szCs w:val="22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paragraph" w:styleId="ListParagraph">
    <w:name w:val="List Paragraph"/>
    <w:basedOn w:val="Normal"/>
    <w:uiPriority w:val="34"/>
    <w:qFormat/>
    <w:rsid w:val="00B43846"/>
    <w:pPr>
      <w:ind w:left="720"/>
      <w:contextualSpacing/>
    </w:p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paragraph" w:customStyle="1" w:styleId="ManualBodyText">
    <w:name w:val="Manual Body Text"/>
    <w:basedOn w:val="BodyText"/>
    <w:link w:val="ManualBodyTextChar"/>
    <w:rsid w:val="00B84232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character" w:customStyle="1" w:styleId="ManualBodyTextChar">
    <w:name w:val="Manual Body Text Char"/>
    <w:link w:val="ManualBodyText"/>
    <w:rsid w:val="001E0F45"/>
    <w:rPr>
      <w:rFonts w:eastAsia="SimSun"/>
      <w:sz w:val="22"/>
      <w:szCs w:val="22"/>
      <w:lang w:eastAsia="fr-FR"/>
    </w:rPr>
  </w:style>
  <w:style w:type="paragraph" w:customStyle="1" w:styleId="Default">
    <w:name w:val="Default"/>
    <w:rsid w:val="00E145C4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Listenabsatz1">
    <w:name w:val="Listenabsatz1"/>
    <w:basedOn w:val="Normal"/>
    <w:uiPriority w:val="99"/>
    <w:rsid w:val="00E145C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paragraph" w:customStyle="1" w:styleId="GHSHeading4">
    <w:name w:val="GHSHeading4"/>
    <w:basedOn w:val="Normal"/>
    <w:rsid w:val="00E145C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E145C4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E145C4"/>
    <w:pPr>
      <w:suppressAutoHyphens w:val="0"/>
      <w:spacing w:line="240" w:lineRule="auto"/>
    </w:pPr>
    <w:rPr>
      <w:sz w:val="22"/>
      <w:szCs w:val="24"/>
    </w:rPr>
  </w:style>
  <w:style w:type="paragraph" w:customStyle="1" w:styleId="ManualHeading1">
    <w:name w:val="Manual Heading 1"/>
    <w:basedOn w:val="ManualBodyText"/>
    <w:next w:val="ManualBodyText"/>
    <w:rsid w:val="00E145C4"/>
    <w:pPr>
      <w:keepNext/>
      <w:keepLines/>
      <w:tabs>
        <w:tab w:val="clear" w:pos="1418"/>
      </w:tabs>
      <w:jc w:val="center"/>
    </w:pPr>
    <w:rPr>
      <w:rFonts w:eastAsia="Times New Roman"/>
      <w:b/>
      <w:sz w:val="26"/>
      <w:szCs w:val="26"/>
    </w:rPr>
  </w:style>
  <w:style w:type="paragraph" w:customStyle="1" w:styleId="ManualHeading3">
    <w:name w:val="Manual Heading 3"/>
    <w:basedOn w:val="ManualBodyText"/>
    <w:next w:val="ManualBodyText"/>
    <w:rsid w:val="00E145C4"/>
    <w:pPr>
      <w:keepNext/>
      <w:keepLines/>
    </w:pPr>
    <w:rPr>
      <w:rFonts w:eastAsia="Times New Roman"/>
      <w:b/>
    </w:rPr>
  </w:style>
  <w:style w:type="paragraph" w:customStyle="1" w:styleId="ManualHeading4">
    <w:name w:val="Manual Heading 4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5">
    <w:name w:val="Manual Heading 5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6">
    <w:name w:val="Manual Heading 6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PartEN">
    <w:name w:val="Manual Part EN"/>
    <w:basedOn w:val="ManualHeading1"/>
    <w:next w:val="ManualHeading1"/>
    <w:rsid w:val="00E145C4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145C4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rsid w:val="00E145C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paragraph" w:customStyle="1" w:styleId="GHSBodyText">
    <w:name w:val="GHSBody Text"/>
    <w:basedOn w:val="BodyText"/>
    <w:link w:val="GHSBodyTextChar"/>
    <w:rsid w:val="00E26C1D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E26C1D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8471D"/>
    <w:rPr>
      <w:lang w:eastAsia="en-US"/>
    </w:rPr>
  </w:style>
  <w:style w:type="paragraph" w:customStyle="1" w:styleId="GHSHeading3">
    <w:name w:val="GHSHeading3"/>
    <w:basedOn w:val="Heading3"/>
    <w:rsid w:val="0058471D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StyleGHSHeading410pt">
    <w:name w:val="Style GHSHeading4 + 10 pt"/>
    <w:basedOn w:val="Normal"/>
    <w:rsid w:val="00740935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b/>
      <w:bCs/>
      <w:color w:val="000000"/>
      <w:szCs w:val="22"/>
      <w:lang w:eastAsia="fr-FR"/>
    </w:rPr>
  </w:style>
  <w:style w:type="character" w:customStyle="1" w:styleId="H1GChar">
    <w:name w:val="_ H_1_G Char"/>
    <w:link w:val="H1G"/>
    <w:rsid w:val="000B602C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50">
    <w:name w:val="Table Grid5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60">
    <w:name w:val="Table Grid6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70">
    <w:name w:val="Table Grid7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80">
    <w:name w:val="Table Grid8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tyleBold">
    <w:name w:val="Style Bold"/>
    <w:semiHidden/>
    <w:rsid w:val="006E6B29"/>
    <w:rPr>
      <w:rFonts w:ascii="Times New Roman" w:hAnsi="Times New Roman"/>
      <w:b/>
      <w:bCs/>
    </w:rPr>
  </w:style>
  <w:style w:type="character" w:customStyle="1" w:styleId="SingleTxtGCar">
    <w:name w:val="_ Single Txt_G Car"/>
    <w:rsid w:val="001B56F0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6F6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CD9D-23C3-4570-9807-7199DD78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146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Rosa Garcia-Couto</dc:creator>
  <cp:keywords/>
  <dc:description/>
  <cp:lastModifiedBy>Laurence Berthet</cp:lastModifiedBy>
  <cp:revision>7</cp:revision>
  <cp:lastPrinted>2019-04-03T11:24:00Z</cp:lastPrinted>
  <dcterms:created xsi:type="dcterms:W3CDTF">2019-03-29T13:02:00Z</dcterms:created>
  <dcterms:modified xsi:type="dcterms:W3CDTF">2019-04-03T12:12:00Z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464326829</vt:i4>
  </property>
</Properties>
</file>