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4A0" w:firstRow="1" w:lastRow="0" w:firstColumn="1" w:lastColumn="0" w:noHBand="0" w:noVBand="1"/>
      </w:tblPr>
      <w:tblGrid>
        <w:gridCol w:w="1259"/>
        <w:gridCol w:w="2236"/>
        <w:gridCol w:w="6144"/>
      </w:tblGrid>
      <w:tr w:rsidR="0018224E" w14:paraId="4B06B1B5" w14:textId="77777777">
        <w:trPr>
          <w:trHeight w:val="851"/>
        </w:trPr>
        <w:tc>
          <w:tcPr>
            <w:tcW w:w="1259" w:type="dxa"/>
            <w:tcBorders>
              <w:bottom w:val="single" w:sz="4" w:space="0" w:color="auto"/>
            </w:tcBorders>
            <w:shd w:val="clear" w:color="auto" w:fill="auto"/>
          </w:tcPr>
          <w:p w14:paraId="0CE3E11A" w14:textId="77777777" w:rsidR="0018224E" w:rsidRDefault="0018224E">
            <w:pPr>
              <w:spacing w:after="80" w:line="340" w:lineRule="exact"/>
            </w:pPr>
          </w:p>
        </w:tc>
        <w:tc>
          <w:tcPr>
            <w:tcW w:w="2236" w:type="dxa"/>
            <w:tcBorders>
              <w:bottom w:val="single" w:sz="4" w:space="0" w:color="auto"/>
            </w:tcBorders>
            <w:shd w:val="clear" w:color="auto" w:fill="auto"/>
            <w:vAlign w:val="bottom"/>
          </w:tcPr>
          <w:p w14:paraId="1D3F5327" w14:textId="77777777" w:rsidR="0018224E" w:rsidRDefault="0018224E">
            <w:pPr>
              <w:spacing w:after="80" w:line="340" w:lineRule="exact"/>
              <w:rPr>
                <w:sz w:val="28"/>
                <w:szCs w:val="28"/>
              </w:rPr>
            </w:pPr>
          </w:p>
        </w:tc>
        <w:tc>
          <w:tcPr>
            <w:tcW w:w="6144" w:type="dxa"/>
            <w:tcBorders>
              <w:bottom w:val="single" w:sz="4" w:space="0" w:color="auto"/>
            </w:tcBorders>
            <w:shd w:val="clear" w:color="auto" w:fill="auto"/>
            <w:vAlign w:val="bottom"/>
          </w:tcPr>
          <w:p w14:paraId="2165B532" w14:textId="77777777" w:rsidR="0018224E" w:rsidRDefault="00E913CE">
            <w:pPr>
              <w:jc w:val="right"/>
              <w:rPr>
                <w:b/>
                <w:sz w:val="40"/>
                <w:szCs w:val="40"/>
              </w:rPr>
            </w:pPr>
            <w:r>
              <w:rPr>
                <w:b/>
                <w:sz w:val="40"/>
                <w:szCs w:val="40"/>
              </w:rPr>
              <w:t>UN/SCETDG/5</w:t>
            </w:r>
            <w:r>
              <w:rPr>
                <w:rFonts w:eastAsia="SimSun" w:hint="eastAsia"/>
                <w:b/>
                <w:sz w:val="40"/>
                <w:szCs w:val="40"/>
                <w:lang w:val="en-US" w:eastAsia="zh-CN"/>
              </w:rPr>
              <w:t>6</w:t>
            </w:r>
            <w:r>
              <w:rPr>
                <w:b/>
                <w:sz w:val="40"/>
                <w:szCs w:val="40"/>
              </w:rPr>
              <w:t>/INF.</w:t>
            </w:r>
            <w:r w:rsidR="0003016A">
              <w:rPr>
                <w:b/>
                <w:sz w:val="40"/>
                <w:szCs w:val="40"/>
              </w:rPr>
              <w:t>29</w:t>
            </w:r>
          </w:p>
          <w:p w14:paraId="55E4F137" w14:textId="77777777" w:rsidR="0018224E" w:rsidRDefault="0018224E">
            <w:pPr>
              <w:jc w:val="right"/>
            </w:pPr>
          </w:p>
        </w:tc>
      </w:tr>
    </w:tbl>
    <w:tbl>
      <w:tblPr>
        <w:tblW w:w="9645" w:type="dxa"/>
        <w:tblInd w:w="108" w:type="dxa"/>
        <w:tblLayout w:type="fixed"/>
        <w:tblLook w:val="04A0" w:firstRow="1" w:lastRow="0" w:firstColumn="1" w:lastColumn="0" w:noHBand="0" w:noVBand="1"/>
      </w:tblPr>
      <w:tblGrid>
        <w:gridCol w:w="5832"/>
        <w:gridCol w:w="3813"/>
      </w:tblGrid>
      <w:tr w:rsidR="0018224E" w14:paraId="4FB824F3" w14:textId="77777777">
        <w:tc>
          <w:tcPr>
            <w:tcW w:w="9645" w:type="dxa"/>
            <w:gridSpan w:val="2"/>
            <w:tcMar>
              <w:top w:w="142" w:type="dxa"/>
              <w:left w:w="108" w:type="dxa"/>
              <w:bottom w:w="142" w:type="dxa"/>
              <w:right w:w="108" w:type="dxa"/>
            </w:tcMar>
          </w:tcPr>
          <w:p w14:paraId="5ADC47B7" w14:textId="77777777" w:rsidR="0018224E" w:rsidRDefault="00E913CE" w:rsidP="004D7EF2">
            <w:pPr>
              <w:tabs>
                <w:tab w:val="right" w:pos="9214"/>
              </w:tabs>
              <w:rPr>
                <w:bCs/>
              </w:rPr>
            </w:pPr>
            <w:r>
              <w:rPr>
                <w:b/>
                <w:sz w:val="24"/>
                <w:szCs w:val="24"/>
              </w:rPr>
              <w:t>Committee of Experts on the Transport of Dangerous Goods</w:t>
            </w:r>
            <w:r>
              <w:rPr>
                <w:b/>
                <w:sz w:val="24"/>
                <w:szCs w:val="24"/>
              </w:rPr>
              <w:tab/>
            </w:r>
            <w:r>
              <w:rPr>
                <w:b/>
                <w:sz w:val="24"/>
                <w:szCs w:val="24"/>
              </w:rPr>
              <w:br/>
              <w:t>and on the Globally Harmonized System of Classification</w:t>
            </w:r>
            <w:r>
              <w:rPr>
                <w:b/>
                <w:sz w:val="24"/>
                <w:szCs w:val="24"/>
              </w:rPr>
              <w:br/>
              <w:t>and Labelling of Chemicals</w:t>
            </w:r>
            <w:r>
              <w:rPr>
                <w:bCs/>
              </w:rPr>
              <w:tab/>
            </w:r>
            <w:r w:rsidR="0003016A">
              <w:rPr>
                <w:b/>
                <w:bCs/>
              </w:rPr>
              <w:t>27 November 2019</w:t>
            </w:r>
          </w:p>
        </w:tc>
      </w:tr>
      <w:tr w:rsidR="0018224E" w14:paraId="30FDB754" w14:textId="77777777">
        <w:tc>
          <w:tcPr>
            <w:tcW w:w="5832" w:type="dxa"/>
            <w:tcMar>
              <w:top w:w="57" w:type="dxa"/>
              <w:left w:w="108" w:type="dxa"/>
              <w:bottom w:w="0" w:type="dxa"/>
              <w:right w:w="108" w:type="dxa"/>
            </w:tcMar>
            <w:vAlign w:val="center"/>
          </w:tcPr>
          <w:p w14:paraId="666E6693" w14:textId="77777777" w:rsidR="0018224E" w:rsidRDefault="00E913CE">
            <w:pPr>
              <w:spacing w:before="40"/>
              <w:rPr>
                <w:b/>
              </w:rPr>
            </w:pPr>
            <w:r>
              <w:rPr>
                <w:b/>
              </w:rPr>
              <w:t xml:space="preserve">Sub-Committee of Experts on the Transport of Dangerous Goods </w:t>
            </w:r>
          </w:p>
        </w:tc>
        <w:tc>
          <w:tcPr>
            <w:tcW w:w="3813" w:type="dxa"/>
            <w:tcMar>
              <w:top w:w="57" w:type="dxa"/>
              <w:left w:w="108" w:type="dxa"/>
              <w:bottom w:w="0" w:type="dxa"/>
              <w:right w:w="108" w:type="dxa"/>
            </w:tcMar>
            <w:vAlign w:val="center"/>
          </w:tcPr>
          <w:p w14:paraId="34620F9D" w14:textId="77777777" w:rsidR="0018224E" w:rsidRDefault="0018224E">
            <w:pPr>
              <w:spacing w:before="120"/>
              <w:rPr>
                <w:b/>
              </w:rPr>
            </w:pPr>
          </w:p>
        </w:tc>
      </w:tr>
      <w:tr w:rsidR="0018224E" w14:paraId="51B601B8" w14:textId="77777777">
        <w:trPr>
          <w:trHeight w:val="201"/>
        </w:trPr>
        <w:tc>
          <w:tcPr>
            <w:tcW w:w="5832" w:type="dxa"/>
            <w:tcMar>
              <w:top w:w="57" w:type="dxa"/>
              <w:left w:w="108" w:type="dxa"/>
              <w:bottom w:w="0" w:type="dxa"/>
              <w:right w:w="108" w:type="dxa"/>
            </w:tcMar>
          </w:tcPr>
          <w:p w14:paraId="106EDB53" w14:textId="77777777" w:rsidR="0018224E" w:rsidRDefault="00E913CE">
            <w:pPr>
              <w:spacing w:line="240" w:lineRule="auto"/>
              <w:ind w:left="34" w:hanging="34"/>
              <w:rPr>
                <w:b/>
              </w:rPr>
            </w:pPr>
            <w:r>
              <w:rPr>
                <w:b/>
              </w:rPr>
              <w:t>Fifty-</w:t>
            </w:r>
            <w:r>
              <w:rPr>
                <w:rFonts w:eastAsia="SimSun" w:hint="eastAsia"/>
                <w:b/>
                <w:lang w:val="en-US" w:eastAsia="zh-CN"/>
              </w:rPr>
              <w:t>six</w:t>
            </w:r>
            <w:proofErr w:type="spellStart"/>
            <w:r>
              <w:rPr>
                <w:b/>
              </w:rPr>
              <w:t>th</w:t>
            </w:r>
            <w:proofErr w:type="spellEnd"/>
            <w:r>
              <w:rPr>
                <w:b/>
              </w:rPr>
              <w:t xml:space="preserve"> session</w:t>
            </w:r>
          </w:p>
        </w:tc>
        <w:tc>
          <w:tcPr>
            <w:tcW w:w="3813" w:type="dxa"/>
            <w:tcMar>
              <w:top w:w="57" w:type="dxa"/>
              <w:left w:w="108" w:type="dxa"/>
              <w:bottom w:w="0" w:type="dxa"/>
              <w:right w:w="108" w:type="dxa"/>
            </w:tcMar>
          </w:tcPr>
          <w:p w14:paraId="07E0AF69" w14:textId="77777777" w:rsidR="0018224E" w:rsidRDefault="0018224E">
            <w:pPr>
              <w:spacing w:line="240" w:lineRule="auto"/>
              <w:ind w:left="34" w:hanging="34"/>
              <w:rPr>
                <w:b/>
              </w:rPr>
            </w:pPr>
          </w:p>
        </w:tc>
      </w:tr>
      <w:tr w:rsidR="0018224E" w14:paraId="6F100353" w14:textId="77777777">
        <w:tc>
          <w:tcPr>
            <w:tcW w:w="5832" w:type="dxa"/>
            <w:tcMar>
              <w:top w:w="28" w:type="dxa"/>
              <w:left w:w="108" w:type="dxa"/>
              <w:bottom w:w="0" w:type="dxa"/>
              <w:right w:w="108" w:type="dxa"/>
            </w:tcMar>
          </w:tcPr>
          <w:p w14:paraId="4E6CE0FC" w14:textId="77777777" w:rsidR="0018224E" w:rsidRDefault="00E913CE" w:rsidP="0003016A">
            <w:pPr>
              <w:tabs>
                <w:tab w:val="left" w:pos="6361"/>
                <w:tab w:val="left" w:pos="6939"/>
              </w:tabs>
              <w:outlineLvl w:val="0"/>
              <w:rPr>
                <w:bCs/>
              </w:rPr>
            </w:pPr>
            <w:r>
              <w:t>Geneva,</w:t>
            </w:r>
            <w:r>
              <w:rPr>
                <w:rFonts w:eastAsia="SimSun" w:hint="eastAsia"/>
                <w:lang w:val="en-US" w:eastAsia="zh-CN"/>
              </w:rPr>
              <w:t xml:space="preserve"> </w:t>
            </w:r>
            <w:r>
              <w:rPr>
                <w:rFonts w:eastAsia="SimSun" w:hint="eastAsia"/>
                <w:color w:val="333333"/>
                <w:lang w:val="en-US" w:eastAsia="zh-CN"/>
              </w:rPr>
              <w:t xml:space="preserve">2-11 </w:t>
            </w:r>
            <w:r>
              <w:rPr>
                <w:rFonts w:hint="eastAsia"/>
                <w:color w:val="333333"/>
                <w:lang w:eastAsia="it-IT"/>
              </w:rPr>
              <w:t>December</w:t>
            </w:r>
            <w:r>
              <w:t xml:space="preserve"> 2019</w:t>
            </w:r>
          </w:p>
          <w:p w14:paraId="42000807" w14:textId="77777777" w:rsidR="0018224E" w:rsidRDefault="00E913CE" w:rsidP="0003016A">
            <w:pPr>
              <w:ind w:left="34" w:hanging="34"/>
            </w:pPr>
            <w:r>
              <w:t>Item 4 (</w:t>
            </w:r>
            <w:r>
              <w:rPr>
                <w:rFonts w:eastAsia="SimSun" w:hint="eastAsia"/>
                <w:lang w:val="en-US" w:eastAsia="zh-CN"/>
              </w:rPr>
              <w:t>f</w:t>
            </w:r>
            <w:r>
              <w:t>) of the provisional agenda</w:t>
            </w:r>
          </w:p>
          <w:p w14:paraId="1640BE46" w14:textId="77777777" w:rsidR="0018224E" w:rsidRDefault="00E913CE" w:rsidP="0003016A">
            <w:pPr>
              <w:ind w:left="-4" w:firstLine="4"/>
              <w:rPr>
                <w:b/>
                <w:bCs/>
              </w:rPr>
            </w:pPr>
            <w:r>
              <w:rPr>
                <w:b/>
                <w:bCs/>
              </w:rPr>
              <w:t>Electric storage systems:</w:t>
            </w:r>
            <w:r>
              <w:rPr>
                <w:b/>
              </w:rPr>
              <w:t xml:space="preserve"> miscellaneous</w:t>
            </w:r>
          </w:p>
        </w:tc>
        <w:tc>
          <w:tcPr>
            <w:tcW w:w="3813" w:type="dxa"/>
            <w:tcMar>
              <w:top w:w="28" w:type="dxa"/>
              <w:left w:w="108" w:type="dxa"/>
              <w:bottom w:w="0" w:type="dxa"/>
              <w:right w:w="108" w:type="dxa"/>
            </w:tcMar>
          </w:tcPr>
          <w:p w14:paraId="4CD05314" w14:textId="77777777" w:rsidR="0018224E" w:rsidRDefault="0018224E" w:rsidP="0003016A">
            <w:pPr>
              <w:rPr>
                <w:b/>
                <w:bCs/>
              </w:rPr>
            </w:pPr>
          </w:p>
        </w:tc>
      </w:tr>
    </w:tbl>
    <w:p w14:paraId="545C77EB" w14:textId="77777777" w:rsidR="0018224E" w:rsidRDefault="00E913CE">
      <w:pPr>
        <w:pStyle w:val="HChG"/>
        <w:rPr>
          <w:rFonts w:eastAsia="SimSun"/>
          <w:lang w:val="en-US" w:eastAsia="zh-CN"/>
        </w:rPr>
      </w:pPr>
      <w:r w:rsidRPr="001A49B2">
        <w:rPr>
          <w:lang w:val="en-US"/>
        </w:rPr>
        <w:tab/>
      </w:r>
      <w:r w:rsidRPr="001A49B2">
        <w:rPr>
          <w:lang w:val="en-US"/>
        </w:rPr>
        <w:tab/>
      </w:r>
      <w:r w:rsidRPr="001A49B2">
        <w:rPr>
          <w:lang w:val="en-US" w:eastAsia="ja-JP"/>
        </w:rPr>
        <w:t xml:space="preserve">Classification of </w:t>
      </w:r>
      <w:r w:rsidR="00C41BFB">
        <w:rPr>
          <w:rFonts w:eastAsia="SimSun"/>
          <w:lang w:val="en-US" w:eastAsia="zh-CN"/>
        </w:rPr>
        <w:t>v</w:t>
      </w:r>
      <w:r w:rsidRPr="001A49B2">
        <w:rPr>
          <w:lang w:val="en-US"/>
        </w:rPr>
        <w:t xml:space="preserve">anadium </w:t>
      </w:r>
      <w:r w:rsidR="00C41BFB">
        <w:rPr>
          <w:lang w:val="en-US"/>
        </w:rPr>
        <w:t>r</w:t>
      </w:r>
      <w:r w:rsidRPr="001A49B2">
        <w:rPr>
          <w:lang w:val="en-US"/>
        </w:rPr>
        <w:t>edox</w:t>
      </w:r>
      <w:r>
        <w:rPr>
          <w:rFonts w:eastAsia="SimSun" w:hint="eastAsia"/>
          <w:lang w:val="en-US" w:eastAsia="zh-CN"/>
        </w:rPr>
        <w:t xml:space="preserve"> </w:t>
      </w:r>
      <w:r w:rsidR="00C41BFB">
        <w:rPr>
          <w:rFonts w:eastAsia="SimSun"/>
          <w:lang w:val="en-US" w:eastAsia="zh-CN"/>
        </w:rPr>
        <w:t>f</w:t>
      </w:r>
      <w:r w:rsidRPr="001A49B2">
        <w:rPr>
          <w:lang w:val="en-US" w:eastAsia="ru-RU"/>
        </w:rPr>
        <w:t xml:space="preserve">low </w:t>
      </w:r>
      <w:r w:rsidR="00C41BFB">
        <w:rPr>
          <w:lang w:val="en-US" w:eastAsia="ru-RU"/>
        </w:rPr>
        <w:t>b</w:t>
      </w:r>
      <w:r w:rsidRPr="001A49B2">
        <w:rPr>
          <w:lang w:val="en-US" w:eastAsia="ru-RU"/>
        </w:rPr>
        <w:t>atter</w:t>
      </w:r>
      <w:r>
        <w:rPr>
          <w:rFonts w:eastAsia="SimSun" w:hint="eastAsia"/>
          <w:lang w:val="en-US" w:eastAsia="zh-CN"/>
        </w:rPr>
        <w:t>y</w:t>
      </w:r>
    </w:p>
    <w:p w14:paraId="7A715A71" w14:textId="77777777" w:rsidR="0018224E" w:rsidRDefault="00E913CE">
      <w:pPr>
        <w:pStyle w:val="H1G"/>
      </w:pPr>
      <w:r>
        <w:tab/>
      </w:r>
      <w:r>
        <w:tab/>
      </w:r>
      <w:r>
        <w:rPr>
          <w:lang w:val="en-US"/>
        </w:rPr>
        <w:t xml:space="preserve">Transmitted by </w:t>
      </w:r>
      <w:r>
        <w:rPr>
          <w:rFonts w:eastAsia="SimSun" w:hint="eastAsia"/>
          <w:lang w:val="en-US" w:eastAsia="zh-CN"/>
        </w:rPr>
        <w:t>the expert from</w:t>
      </w:r>
      <w:r>
        <w:rPr>
          <w:lang w:val="en-US"/>
        </w:rPr>
        <w:t xml:space="preserve"> China</w:t>
      </w:r>
    </w:p>
    <w:p w14:paraId="69A7ACB7" w14:textId="77777777" w:rsidR="0018224E" w:rsidRDefault="00E913CE">
      <w:pPr>
        <w:pStyle w:val="HChG"/>
        <w:rPr>
          <w:szCs w:val="28"/>
        </w:rPr>
      </w:pPr>
      <w:r w:rsidRPr="001A49B2">
        <w:rPr>
          <w:lang w:val="en-US"/>
        </w:rPr>
        <w:tab/>
      </w:r>
      <w:r w:rsidRPr="001A49B2">
        <w:rPr>
          <w:lang w:val="en-US"/>
        </w:rPr>
        <w:tab/>
      </w:r>
      <w:r>
        <w:t>Background</w:t>
      </w:r>
    </w:p>
    <w:p w14:paraId="6099D87F" w14:textId="77777777" w:rsidR="0018224E" w:rsidRDefault="00E913CE">
      <w:pPr>
        <w:pStyle w:val="SingleTxtG"/>
        <w:numPr>
          <w:ilvl w:val="0"/>
          <w:numId w:val="13"/>
        </w:numPr>
        <w:tabs>
          <w:tab w:val="left" w:pos="1701"/>
        </w:tabs>
        <w:ind w:left="1134" w:firstLine="0"/>
        <w:rPr>
          <w:lang w:val="en-US"/>
        </w:rPr>
      </w:pPr>
      <w:r w:rsidRPr="001A49B2">
        <w:rPr>
          <w:lang w:val="en-US"/>
        </w:rPr>
        <w:t>At the f</w:t>
      </w:r>
      <w:r>
        <w:rPr>
          <w:rFonts w:eastAsia="SimSun" w:hint="eastAsia"/>
          <w:lang w:val="en-US" w:eastAsia="zh-CN"/>
        </w:rPr>
        <w:t>or</w:t>
      </w:r>
      <w:r>
        <w:rPr>
          <w:rFonts w:hint="eastAsia"/>
          <w:lang w:val="en-US" w:eastAsia="zh-CN"/>
        </w:rPr>
        <w:t>t</w:t>
      </w:r>
      <w:r>
        <w:rPr>
          <w:lang w:val="en-US"/>
        </w:rPr>
        <w:t>y-third and forty-</w:t>
      </w:r>
      <w:r>
        <w:rPr>
          <w:rFonts w:hint="eastAsia"/>
          <w:lang w:val="en-US" w:eastAsia="zh-CN"/>
        </w:rPr>
        <w:t>four</w:t>
      </w:r>
      <w:r>
        <w:rPr>
          <w:lang w:val="en-US"/>
        </w:rPr>
        <w:t xml:space="preserve">th sessions of the Sub-Committee </w:t>
      </w:r>
      <w:r>
        <w:rPr>
          <w:lang w:val="en-US" w:eastAsia="ru-RU"/>
        </w:rPr>
        <w:t>Austria</w:t>
      </w:r>
      <w:r>
        <w:rPr>
          <w:lang w:val="en-US"/>
        </w:rPr>
        <w:t xml:space="preserve"> presented </w:t>
      </w:r>
      <w:r>
        <w:rPr>
          <w:rFonts w:hint="eastAsia"/>
          <w:lang w:val="en-US" w:eastAsia="zh-CN"/>
        </w:rPr>
        <w:t>two</w:t>
      </w:r>
      <w:r>
        <w:rPr>
          <w:lang w:val="en-US"/>
        </w:rPr>
        <w:t xml:space="preserve"> documents INF.22</w:t>
      </w:r>
      <w:r>
        <w:rPr>
          <w:rFonts w:eastAsia="SimSun" w:hint="eastAsia"/>
          <w:lang w:val="en-US" w:eastAsia="zh-CN"/>
        </w:rPr>
        <w:t xml:space="preserve"> </w:t>
      </w:r>
      <w:r w:rsidR="00C41BFB">
        <w:rPr>
          <w:rFonts w:eastAsia="SimSun"/>
          <w:lang w:val="en-US" w:eastAsia="zh-CN"/>
        </w:rPr>
        <w:t>(43</w:t>
      </w:r>
      <w:r w:rsidR="00C41BFB" w:rsidRPr="00C41BFB">
        <w:rPr>
          <w:rFonts w:eastAsia="SimSun"/>
          <w:vertAlign w:val="superscript"/>
          <w:lang w:val="en-US" w:eastAsia="zh-CN"/>
        </w:rPr>
        <w:t>rd</w:t>
      </w:r>
      <w:r w:rsidR="00C41BFB">
        <w:rPr>
          <w:rFonts w:eastAsia="SimSun"/>
          <w:lang w:val="en-US" w:eastAsia="zh-CN"/>
        </w:rPr>
        <w:t xml:space="preserve"> session) </w:t>
      </w:r>
      <w:r>
        <w:rPr>
          <w:rFonts w:eastAsia="SimSun" w:hint="eastAsia"/>
          <w:lang w:val="en-US" w:eastAsia="zh-CN"/>
        </w:rPr>
        <w:t xml:space="preserve">and </w:t>
      </w:r>
      <w:r>
        <w:rPr>
          <w:lang w:val="en-US"/>
        </w:rPr>
        <w:t xml:space="preserve">ST/SG/AC.10/C.3/2013/60 regarding </w:t>
      </w:r>
      <w:r w:rsidRPr="001A49B2">
        <w:rPr>
          <w:lang w:val="en-US"/>
        </w:rPr>
        <w:t>flow batter</w:t>
      </w:r>
      <w:r>
        <w:rPr>
          <w:rFonts w:eastAsia="SimSun" w:hint="eastAsia"/>
          <w:lang w:val="en-US" w:eastAsia="zh-CN"/>
        </w:rPr>
        <w:t>ies</w:t>
      </w:r>
      <w:r>
        <w:rPr>
          <w:lang w:val="en-US"/>
        </w:rPr>
        <w:t>.</w:t>
      </w:r>
      <w:r>
        <w:rPr>
          <w:rFonts w:eastAsia="SimSun" w:hint="eastAsia"/>
          <w:lang w:val="en-US" w:eastAsia="zh-CN"/>
        </w:rPr>
        <w:t xml:space="preserve"> </w:t>
      </w:r>
      <w:r w:rsidRPr="001A49B2">
        <w:rPr>
          <w:lang w:val="en-US"/>
        </w:rPr>
        <w:t xml:space="preserve">The expert from Austria asked a question concerning the classification of redox flow batteries – possibly as UN No. 2794 or 3363. </w:t>
      </w:r>
    </w:p>
    <w:p w14:paraId="09136F2F" w14:textId="77777777" w:rsidR="0018224E" w:rsidRDefault="00E913CE">
      <w:pPr>
        <w:pStyle w:val="SingleTxtG"/>
        <w:numPr>
          <w:ilvl w:val="0"/>
          <w:numId w:val="13"/>
        </w:numPr>
        <w:tabs>
          <w:tab w:val="left" w:pos="1701"/>
        </w:tabs>
        <w:ind w:left="1134" w:firstLine="0"/>
        <w:rPr>
          <w:lang w:val="en-US"/>
        </w:rPr>
      </w:pPr>
      <w:r>
        <w:rPr>
          <w:rFonts w:eastAsia="SimSun" w:hint="eastAsia"/>
          <w:lang w:val="en-US" w:eastAsia="zh-CN"/>
        </w:rPr>
        <w:t xml:space="preserve">According to the report of the </w:t>
      </w:r>
      <w:r w:rsidRPr="001A49B2">
        <w:rPr>
          <w:lang w:val="en-US"/>
        </w:rPr>
        <w:t>Sub-Committee</w:t>
      </w:r>
      <w:r>
        <w:rPr>
          <w:rFonts w:eastAsia="SimSun" w:hint="eastAsia"/>
          <w:lang w:val="en-US" w:eastAsia="zh-CN"/>
        </w:rPr>
        <w:t xml:space="preserve"> in its </w:t>
      </w:r>
      <w:r>
        <w:rPr>
          <w:lang w:val="en-US"/>
        </w:rPr>
        <w:t>forty-</w:t>
      </w:r>
      <w:r>
        <w:rPr>
          <w:rFonts w:hint="eastAsia"/>
          <w:lang w:val="en-US" w:eastAsia="zh-CN"/>
        </w:rPr>
        <w:t>four</w:t>
      </w:r>
      <w:r>
        <w:rPr>
          <w:lang w:val="en-US"/>
        </w:rPr>
        <w:t>th session</w:t>
      </w:r>
      <w:r>
        <w:rPr>
          <w:rFonts w:eastAsia="SimSun" w:hint="eastAsia"/>
          <w:lang w:val="en-US" w:eastAsia="zh-CN"/>
        </w:rPr>
        <w:t>, t</w:t>
      </w:r>
      <w:r w:rsidRPr="001A49B2">
        <w:rPr>
          <w:lang w:val="en-US"/>
        </w:rPr>
        <w:t>he Sub-Committee noted, however, that there are various kinds of electrodes and electrolytes and there seemed to be no easy answer to the question; it was probably best to address it on a case-by-case basis.</w:t>
      </w:r>
      <w:r>
        <w:rPr>
          <w:rFonts w:eastAsia="SimSun" w:hint="eastAsia"/>
          <w:lang w:val="en-US" w:eastAsia="zh-CN"/>
        </w:rPr>
        <w:t xml:space="preserve"> </w:t>
      </w:r>
      <w:r w:rsidRPr="001A49B2">
        <w:rPr>
          <w:lang w:val="en-US"/>
        </w:rPr>
        <w:t>The Sub-Committee agreed to return to the question at a later date provided that a delegation submitted another proposal.</w:t>
      </w:r>
      <w:r>
        <w:rPr>
          <w:lang w:val="en-US"/>
        </w:rPr>
        <w:t xml:space="preserve"> </w:t>
      </w:r>
    </w:p>
    <w:p w14:paraId="499D18E5" w14:textId="77777777" w:rsidR="0018224E" w:rsidRDefault="00C41BFB" w:rsidP="00C41BFB">
      <w:pPr>
        <w:pStyle w:val="HChG"/>
        <w:rPr>
          <w:lang w:val="en-US"/>
        </w:rPr>
      </w:pPr>
      <w:r>
        <w:rPr>
          <w:rFonts w:eastAsiaTheme="minorEastAsia"/>
          <w:lang w:eastAsia="zh-CN"/>
        </w:rPr>
        <w:tab/>
      </w:r>
      <w:r>
        <w:rPr>
          <w:rFonts w:eastAsiaTheme="minorEastAsia"/>
          <w:lang w:eastAsia="zh-CN"/>
        </w:rPr>
        <w:tab/>
      </w:r>
      <w:r w:rsidR="00E913CE">
        <w:t xml:space="preserve">Introduction </w:t>
      </w:r>
    </w:p>
    <w:p w14:paraId="2AD0D339" w14:textId="77777777" w:rsidR="0018224E" w:rsidRDefault="00E913CE">
      <w:pPr>
        <w:pStyle w:val="SingleTxtG"/>
        <w:numPr>
          <w:ilvl w:val="0"/>
          <w:numId w:val="13"/>
        </w:numPr>
        <w:tabs>
          <w:tab w:val="left" w:pos="1701"/>
        </w:tabs>
        <w:ind w:left="1134" w:firstLine="0"/>
        <w:rPr>
          <w:lang w:val="en-US"/>
        </w:rPr>
      </w:pPr>
      <w:r w:rsidRPr="001A49B2">
        <w:rPr>
          <w:lang w:val="en-US"/>
        </w:rPr>
        <w:t xml:space="preserve">The </w:t>
      </w:r>
      <w:r>
        <w:rPr>
          <w:rFonts w:eastAsia="SimSun" w:hint="eastAsia"/>
          <w:lang w:val="en-US" w:eastAsia="zh-CN"/>
        </w:rPr>
        <w:t>v</w:t>
      </w:r>
      <w:r w:rsidRPr="001A49B2">
        <w:rPr>
          <w:lang w:val="en-US"/>
        </w:rPr>
        <w:t xml:space="preserve">anadium </w:t>
      </w:r>
      <w:r>
        <w:rPr>
          <w:rFonts w:eastAsia="SimSun" w:hint="eastAsia"/>
          <w:lang w:val="en-US" w:eastAsia="zh-CN"/>
        </w:rPr>
        <w:t>r</w:t>
      </w:r>
      <w:r w:rsidRPr="001A49B2">
        <w:rPr>
          <w:lang w:val="en-US"/>
        </w:rPr>
        <w:t>edox</w:t>
      </w:r>
      <w:r>
        <w:rPr>
          <w:rFonts w:eastAsia="SimSun" w:hint="eastAsia"/>
          <w:lang w:val="en-US" w:eastAsia="zh-CN"/>
        </w:rPr>
        <w:t xml:space="preserve"> flow</w:t>
      </w:r>
      <w:r w:rsidRPr="001A49B2">
        <w:rPr>
          <w:lang w:val="en-US"/>
        </w:rPr>
        <w:t xml:space="preserve"> </w:t>
      </w:r>
      <w:r>
        <w:rPr>
          <w:rFonts w:eastAsia="SimSun" w:hint="eastAsia"/>
          <w:lang w:val="en-US" w:eastAsia="zh-CN"/>
        </w:rPr>
        <w:t>b</w:t>
      </w:r>
      <w:r w:rsidRPr="001A49B2">
        <w:rPr>
          <w:lang w:val="en-US"/>
        </w:rPr>
        <w:t>attery</w:t>
      </w:r>
      <w:r>
        <w:rPr>
          <w:rFonts w:eastAsia="SimSun" w:hint="eastAsia"/>
          <w:lang w:val="en-US" w:eastAsia="zh-CN"/>
        </w:rPr>
        <w:t xml:space="preserve"> is one of flow batteries, which is widely </w:t>
      </w:r>
      <w:r>
        <w:rPr>
          <w:rFonts w:eastAsia="SimSun" w:hint="eastAsia"/>
          <w:color w:val="000000"/>
          <w:lang w:val="en-US" w:eastAsia="zh-CN"/>
        </w:rPr>
        <w:t xml:space="preserve">used as emergency power supply, renewable energy power generation such as wind energy and </w:t>
      </w:r>
      <w:hyperlink r:id="rId9" w:tgtFrame="https://www.baidu.com/_blank" w:history="1">
        <w:r>
          <w:rPr>
            <w:rFonts w:eastAsia="SimSun" w:hint="eastAsia"/>
            <w:color w:val="000000"/>
            <w:lang w:val="en-US" w:eastAsia="zh-CN"/>
          </w:rPr>
          <w:t>solar energy</w:t>
        </w:r>
      </w:hyperlink>
      <w:r>
        <w:rPr>
          <w:rFonts w:eastAsia="SimSun" w:hint="eastAsia"/>
          <w:color w:val="000000"/>
          <w:lang w:val="en-US" w:eastAsia="zh-CN"/>
        </w:rPr>
        <w:t xml:space="preserve">, and </w:t>
      </w:r>
      <w:r w:rsidRPr="001A49B2">
        <w:rPr>
          <w:lang w:val="en-US"/>
        </w:rPr>
        <w:t>play</w:t>
      </w:r>
      <w:r>
        <w:rPr>
          <w:rFonts w:eastAsia="SimSun" w:hint="eastAsia"/>
          <w:lang w:val="en-US" w:eastAsia="zh-CN"/>
        </w:rPr>
        <w:t>s</w:t>
      </w:r>
      <w:r w:rsidRPr="001A49B2">
        <w:rPr>
          <w:lang w:val="en-US"/>
        </w:rPr>
        <w:t xml:space="preserve"> the role of cutting peaks, filling the valley, balancing the load and improving the power quality</w:t>
      </w:r>
      <w:r>
        <w:rPr>
          <w:rFonts w:eastAsia="SimSun" w:hint="eastAsia"/>
          <w:lang w:val="en-US" w:eastAsia="zh-CN"/>
        </w:rPr>
        <w:t>.</w:t>
      </w:r>
    </w:p>
    <w:p w14:paraId="2843F6DE" w14:textId="77777777" w:rsidR="001D6B08" w:rsidRDefault="00E913CE">
      <w:pPr>
        <w:pStyle w:val="SingleTxtG"/>
        <w:numPr>
          <w:ilvl w:val="0"/>
          <w:numId w:val="13"/>
        </w:numPr>
        <w:tabs>
          <w:tab w:val="left" w:pos="1701"/>
        </w:tabs>
        <w:ind w:left="1134" w:firstLine="0"/>
        <w:rPr>
          <w:lang w:val="en-US"/>
        </w:rPr>
      </w:pPr>
      <w:r>
        <w:rPr>
          <w:rFonts w:eastAsia="SimSun" w:hint="eastAsia"/>
          <w:lang w:val="en-US" w:eastAsia="zh-CN"/>
        </w:rPr>
        <w:t>V</w:t>
      </w:r>
      <w:r w:rsidRPr="001A49B2">
        <w:rPr>
          <w:lang w:val="en-US"/>
        </w:rPr>
        <w:t xml:space="preserve">anadium </w:t>
      </w:r>
      <w:r>
        <w:rPr>
          <w:rFonts w:eastAsia="SimSun" w:hint="eastAsia"/>
          <w:lang w:val="en-US" w:eastAsia="zh-CN"/>
        </w:rPr>
        <w:t>r</w:t>
      </w:r>
      <w:r w:rsidRPr="001A49B2">
        <w:rPr>
          <w:lang w:val="en-US"/>
        </w:rPr>
        <w:t>edox</w:t>
      </w:r>
      <w:r>
        <w:rPr>
          <w:rFonts w:eastAsia="SimSun" w:hint="eastAsia"/>
          <w:lang w:val="en-US" w:eastAsia="zh-CN"/>
        </w:rPr>
        <w:t xml:space="preserve"> flow</w:t>
      </w:r>
      <w:r w:rsidRPr="001A49B2">
        <w:rPr>
          <w:lang w:val="en-US"/>
        </w:rPr>
        <w:t xml:space="preserve"> </w:t>
      </w:r>
      <w:r>
        <w:rPr>
          <w:rFonts w:eastAsia="SimSun" w:hint="eastAsia"/>
          <w:lang w:val="en-US" w:eastAsia="zh-CN"/>
        </w:rPr>
        <w:t>b</w:t>
      </w:r>
      <w:r w:rsidRPr="001A49B2">
        <w:rPr>
          <w:lang w:val="en-US"/>
        </w:rPr>
        <w:t>attery is</w:t>
      </w:r>
      <w:r>
        <w:rPr>
          <w:rFonts w:eastAsia="SimSun" w:hint="eastAsia"/>
          <w:color w:val="000000"/>
          <w:lang w:val="en-US" w:eastAsia="zh-CN"/>
        </w:rPr>
        <w:t xml:space="preserve"> mainly composed of a stack, electrolyte circulating pumps, a cooling fan, two </w:t>
      </w:r>
      <w:r w:rsidR="001D6B08">
        <w:rPr>
          <w:rFonts w:eastAsia="SimSun"/>
          <w:color w:val="000000"/>
          <w:lang w:val="en-US" w:eastAsia="zh-CN"/>
        </w:rPr>
        <w:t>high-density polyethylene (</w:t>
      </w:r>
      <w:r>
        <w:rPr>
          <w:rFonts w:eastAsia="SimSun" w:hint="eastAsia"/>
          <w:color w:val="000000"/>
          <w:lang w:val="en-US" w:eastAsia="zh-CN"/>
        </w:rPr>
        <w:t>HDPE</w:t>
      </w:r>
      <w:r w:rsidR="001D6B08">
        <w:rPr>
          <w:rFonts w:eastAsia="SimSun"/>
          <w:color w:val="000000"/>
          <w:lang w:val="en-US" w:eastAsia="zh-CN"/>
        </w:rPr>
        <w:t>)</w:t>
      </w:r>
      <w:r>
        <w:rPr>
          <w:rFonts w:eastAsia="SimSun" w:hint="eastAsia"/>
          <w:color w:val="000000"/>
          <w:lang w:val="en-US" w:eastAsia="zh-CN"/>
        </w:rPr>
        <w:t xml:space="preserve"> electrolyte storage tanks, a battery control system, related pipeline systems, electrolyte and a steel outer container, and the basic structure i</w:t>
      </w:r>
      <w:r w:rsidRPr="001A49B2">
        <w:rPr>
          <w:lang w:val="en-US"/>
        </w:rPr>
        <w:t xml:space="preserve">s shown in Figure </w:t>
      </w:r>
      <w:r>
        <w:rPr>
          <w:rFonts w:hint="eastAsia"/>
          <w:lang w:val="en-US" w:eastAsia="zh-CN"/>
        </w:rPr>
        <w:t>1</w:t>
      </w:r>
      <w:r w:rsidRPr="001A49B2">
        <w:rPr>
          <w:lang w:val="en-US"/>
        </w:rPr>
        <w:t>.</w:t>
      </w:r>
    </w:p>
    <w:p w14:paraId="52626F39" w14:textId="77777777" w:rsidR="001D6B08" w:rsidRDefault="001D6B08">
      <w:pPr>
        <w:suppressAutoHyphens w:val="0"/>
        <w:spacing w:line="240" w:lineRule="auto"/>
        <w:rPr>
          <w:lang w:val="en-US"/>
        </w:rPr>
      </w:pPr>
      <w:r>
        <w:rPr>
          <w:lang w:val="en-US"/>
        </w:rPr>
        <w:br w:type="page"/>
      </w:r>
    </w:p>
    <w:p w14:paraId="2551CFFA" w14:textId="77777777" w:rsidR="001D6B08" w:rsidRPr="001A49B2" w:rsidRDefault="001D6B08" w:rsidP="001D6B08">
      <w:pPr>
        <w:pStyle w:val="SingleTxtG"/>
        <w:tabs>
          <w:tab w:val="left" w:pos="1701"/>
        </w:tabs>
        <w:ind w:left="0"/>
        <w:jc w:val="center"/>
        <w:rPr>
          <w:lang w:val="en-US"/>
        </w:rPr>
      </w:pPr>
      <w:r w:rsidRPr="001A49B2">
        <w:rPr>
          <w:lang w:val="en-US"/>
        </w:rPr>
        <w:lastRenderedPageBreak/>
        <w:t xml:space="preserve">Figure </w:t>
      </w:r>
      <w:r>
        <w:rPr>
          <w:rFonts w:hint="eastAsia"/>
          <w:lang w:val="en-US" w:eastAsia="zh-CN"/>
        </w:rPr>
        <w:t>1</w:t>
      </w:r>
      <w:r>
        <w:rPr>
          <w:lang w:val="en-US" w:eastAsia="zh-CN"/>
        </w:rPr>
        <w:t>:</w:t>
      </w:r>
      <w:r>
        <w:rPr>
          <w:rFonts w:hint="eastAsia"/>
          <w:lang w:val="en-US" w:eastAsia="zh-CN"/>
        </w:rPr>
        <w:t xml:space="preserve"> basic structure of v</w:t>
      </w:r>
      <w:r w:rsidRPr="001A49B2">
        <w:rPr>
          <w:lang w:val="en-US"/>
        </w:rPr>
        <w:t xml:space="preserve">anadium </w:t>
      </w:r>
      <w:r>
        <w:rPr>
          <w:rFonts w:eastAsia="SimSun" w:hint="eastAsia"/>
          <w:lang w:val="en-US" w:eastAsia="zh-CN"/>
        </w:rPr>
        <w:t>r</w:t>
      </w:r>
      <w:r w:rsidRPr="001A49B2">
        <w:rPr>
          <w:lang w:val="en-US"/>
        </w:rPr>
        <w:t>edox</w:t>
      </w:r>
      <w:r>
        <w:rPr>
          <w:rFonts w:eastAsia="SimSun" w:hint="eastAsia"/>
          <w:lang w:val="en-US" w:eastAsia="zh-CN"/>
        </w:rPr>
        <w:t xml:space="preserve"> flow</w:t>
      </w:r>
      <w:r w:rsidRPr="001A49B2">
        <w:rPr>
          <w:lang w:val="en-US"/>
        </w:rPr>
        <w:t xml:space="preserve"> </w:t>
      </w:r>
      <w:r>
        <w:rPr>
          <w:rFonts w:eastAsia="SimSun" w:hint="eastAsia"/>
          <w:lang w:val="en-US" w:eastAsia="zh-CN"/>
        </w:rPr>
        <w:t>b</w:t>
      </w:r>
      <w:r w:rsidRPr="001A49B2">
        <w:rPr>
          <w:lang w:val="en-US"/>
        </w:rPr>
        <w:t>attery</w:t>
      </w:r>
    </w:p>
    <w:p w14:paraId="4EA45D5F" w14:textId="77777777" w:rsidR="0018224E" w:rsidRDefault="00E913CE">
      <w:pPr>
        <w:pStyle w:val="SingleTxtG"/>
        <w:tabs>
          <w:tab w:val="left" w:pos="1701"/>
        </w:tabs>
        <w:ind w:left="0"/>
        <w:rPr>
          <w:rFonts w:eastAsia="SimSun"/>
          <w:sz w:val="21"/>
          <w:szCs w:val="22"/>
          <w:lang w:eastAsia="zh-CN"/>
        </w:rPr>
      </w:pPr>
      <w:r>
        <w:rPr>
          <w:rFonts w:eastAsia="SimSun" w:hint="eastAsia"/>
          <w:noProof/>
          <w:sz w:val="21"/>
          <w:szCs w:val="22"/>
          <w:lang w:val="en-US" w:eastAsia="zh-CN"/>
        </w:rPr>
        <w:drawing>
          <wp:inline distT="0" distB="0" distL="114300" distR="114300" wp14:anchorId="54EEF11B" wp14:editId="6DA48587">
            <wp:extent cx="6116955" cy="4325620"/>
            <wp:effectExtent l="0" t="0" r="17145" b="17780"/>
            <wp:docPr id="9" name="图片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1"/>
                    </pic:cNvPicPr>
                  </pic:nvPicPr>
                  <pic:blipFill>
                    <a:blip r:embed="rId10"/>
                    <a:stretch>
                      <a:fillRect/>
                    </a:stretch>
                  </pic:blipFill>
                  <pic:spPr>
                    <a:xfrm>
                      <a:off x="0" y="0"/>
                      <a:ext cx="6116955" cy="4325620"/>
                    </a:xfrm>
                    <a:prstGeom prst="rect">
                      <a:avLst/>
                    </a:prstGeom>
                  </pic:spPr>
                </pic:pic>
              </a:graphicData>
            </a:graphic>
          </wp:inline>
        </w:drawing>
      </w:r>
    </w:p>
    <w:p w14:paraId="129EDE28" w14:textId="77777777" w:rsidR="0018224E" w:rsidRDefault="00E913CE">
      <w:pPr>
        <w:pStyle w:val="SingleTxtG"/>
        <w:numPr>
          <w:ilvl w:val="0"/>
          <w:numId w:val="13"/>
        </w:numPr>
        <w:tabs>
          <w:tab w:val="left" w:pos="1701"/>
        </w:tabs>
        <w:ind w:left="1134" w:firstLine="0"/>
        <w:rPr>
          <w:lang w:val="en-US"/>
        </w:rPr>
      </w:pPr>
      <w:r>
        <w:rPr>
          <w:rFonts w:eastAsia="SimSun" w:hint="eastAsia"/>
          <w:color w:val="000000"/>
          <w:lang w:val="en-US" w:eastAsia="zh-CN"/>
        </w:rPr>
        <w:t>T</w:t>
      </w:r>
      <w:r>
        <w:rPr>
          <w:rFonts w:eastAsia="SimSun"/>
          <w:color w:val="000000"/>
          <w:lang w:val="en-US" w:eastAsia="zh-CN"/>
        </w:rPr>
        <w:t xml:space="preserve">he electrolyte </w:t>
      </w:r>
      <w:r>
        <w:rPr>
          <w:rFonts w:eastAsia="SimSun" w:hint="eastAsia"/>
          <w:color w:val="000000"/>
          <w:lang w:val="en-US" w:eastAsia="zh-CN"/>
        </w:rPr>
        <w:t xml:space="preserve">of </w:t>
      </w:r>
      <w:r>
        <w:rPr>
          <w:rFonts w:eastAsia="SimSun" w:hint="eastAsia"/>
          <w:lang w:val="en-US" w:eastAsia="zh-CN"/>
        </w:rPr>
        <w:t>v</w:t>
      </w:r>
      <w:r w:rsidRPr="001A49B2">
        <w:rPr>
          <w:lang w:val="en-US"/>
        </w:rPr>
        <w:t xml:space="preserve">anadium </w:t>
      </w:r>
      <w:r>
        <w:rPr>
          <w:rFonts w:eastAsia="SimSun" w:hint="eastAsia"/>
          <w:lang w:val="en-US" w:eastAsia="zh-CN"/>
        </w:rPr>
        <w:t>r</w:t>
      </w:r>
      <w:r w:rsidRPr="001A49B2">
        <w:rPr>
          <w:lang w:val="en-US"/>
        </w:rPr>
        <w:t>edox</w:t>
      </w:r>
      <w:r>
        <w:rPr>
          <w:rFonts w:eastAsia="SimSun" w:hint="eastAsia"/>
          <w:lang w:val="en-US" w:eastAsia="zh-CN"/>
        </w:rPr>
        <w:t xml:space="preserve"> flow</w:t>
      </w:r>
      <w:r w:rsidRPr="001A49B2">
        <w:rPr>
          <w:lang w:val="en-US"/>
        </w:rPr>
        <w:t xml:space="preserve"> </w:t>
      </w:r>
      <w:r>
        <w:rPr>
          <w:rFonts w:eastAsia="SimSun" w:hint="eastAsia"/>
          <w:lang w:val="en-US" w:eastAsia="zh-CN"/>
        </w:rPr>
        <w:t>b</w:t>
      </w:r>
      <w:r w:rsidRPr="001A49B2">
        <w:rPr>
          <w:lang w:val="en-US"/>
        </w:rPr>
        <w:t>attery</w:t>
      </w:r>
      <w:r>
        <w:rPr>
          <w:rFonts w:eastAsia="SimSun" w:hint="eastAsia"/>
          <w:lang w:val="en-US" w:eastAsia="zh-CN"/>
        </w:rPr>
        <w:t xml:space="preserve"> </w:t>
      </w:r>
      <w:r>
        <w:rPr>
          <w:rFonts w:eastAsia="SimSun"/>
          <w:color w:val="000000"/>
          <w:lang w:val="en-US" w:eastAsia="zh-CN"/>
        </w:rPr>
        <w:t xml:space="preserve">is an acid vanadium ion electrolyte, which is a kind of acidic corrosive liquid </w:t>
      </w:r>
      <w:r w:rsidR="002D2DB8">
        <w:rPr>
          <w:rFonts w:eastAsia="SimSun"/>
          <w:color w:val="000000"/>
          <w:lang w:val="en-US" w:eastAsia="zh-CN"/>
        </w:rPr>
        <w:t xml:space="preserve">normally </w:t>
      </w:r>
      <w:r>
        <w:rPr>
          <w:rFonts w:eastAsia="SimSun"/>
          <w:color w:val="000000"/>
          <w:lang w:val="en-US" w:eastAsia="zh-CN"/>
        </w:rPr>
        <w:t>and belongs to class 8</w:t>
      </w:r>
      <w:r>
        <w:rPr>
          <w:rFonts w:eastAsia="SimSun" w:hint="eastAsia"/>
          <w:color w:val="000000"/>
          <w:lang w:val="en-US" w:eastAsia="zh-CN"/>
        </w:rPr>
        <w:t>. Although</w:t>
      </w:r>
      <w:r>
        <w:rPr>
          <w:rFonts w:hint="eastAsia"/>
          <w:lang w:val="en-US" w:eastAsia="zh-CN"/>
        </w:rPr>
        <w:t xml:space="preserve"> stored </w:t>
      </w:r>
      <w:r w:rsidRPr="001A49B2">
        <w:rPr>
          <w:lang w:val="en-US"/>
        </w:rPr>
        <w:t>separately</w:t>
      </w:r>
      <w:r>
        <w:rPr>
          <w:rFonts w:hint="eastAsia"/>
          <w:lang w:val="en-US" w:eastAsia="zh-CN"/>
        </w:rPr>
        <w:t xml:space="preserve"> in </w:t>
      </w:r>
      <w:r w:rsidRPr="001A49B2">
        <w:rPr>
          <w:lang w:val="en-US"/>
        </w:rPr>
        <w:t>positive electrolyte storage tank and negative electrolyte storage tank</w:t>
      </w:r>
      <w:r>
        <w:rPr>
          <w:rFonts w:eastAsia="SimSun" w:hint="eastAsia"/>
          <w:lang w:val="en-US" w:eastAsia="zh-CN"/>
        </w:rPr>
        <w:t xml:space="preserve">, the </w:t>
      </w:r>
      <w:r>
        <w:rPr>
          <w:rFonts w:eastAsia="SimSun"/>
          <w:color w:val="000000"/>
          <w:lang w:val="en-US" w:eastAsia="zh-CN"/>
        </w:rPr>
        <w:t>electrolyte</w:t>
      </w:r>
      <w:r>
        <w:rPr>
          <w:rFonts w:eastAsia="SimSun" w:hint="eastAsia"/>
          <w:color w:val="000000"/>
          <w:lang w:val="en-US" w:eastAsia="zh-CN"/>
        </w:rPr>
        <w:t xml:space="preserve"> </w:t>
      </w:r>
      <w:r w:rsidR="004D7EF2">
        <w:rPr>
          <w:rFonts w:eastAsia="SimSun"/>
          <w:color w:val="000000"/>
          <w:lang w:val="en-US" w:eastAsia="zh-CN"/>
        </w:rPr>
        <w:t>is</w:t>
      </w:r>
      <w:r>
        <w:rPr>
          <w:rFonts w:eastAsia="SimSun" w:hint="eastAsia"/>
          <w:color w:val="000000"/>
          <w:lang w:val="en-US" w:eastAsia="zh-CN"/>
        </w:rPr>
        <w:t xml:space="preserve"> the same material in two tanks. </w:t>
      </w:r>
    </w:p>
    <w:p w14:paraId="73BD536F" w14:textId="77777777" w:rsidR="001D6B08" w:rsidRDefault="00E913CE">
      <w:pPr>
        <w:pStyle w:val="SingleTxtG"/>
        <w:numPr>
          <w:ilvl w:val="0"/>
          <w:numId w:val="13"/>
        </w:numPr>
        <w:tabs>
          <w:tab w:val="left" w:pos="1701"/>
        </w:tabs>
        <w:ind w:left="1134" w:firstLine="0"/>
        <w:rPr>
          <w:rFonts w:eastAsia="SimSun"/>
          <w:color w:val="000000"/>
          <w:lang w:val="en-US" w:eastAsia="zh-CN"/>
        </w:rPr>
      </w:pPr>
      <w:r>
        <w:rPr>
          <w:rFonts w:eastAsia="SimSun"/>
          <w:color w:val="000000"/>
          <w:lang w:val="en-US" w:eastAsia="zh-CN"/>
        </w:rPr>
        <w:t xml:space="preserve"> The weight of vanadium redox flow battery is at least </w:t>
      </w:r>
      <w:r>
        <w:rPr>
          <w:rFonts w:eastAsia="SimSun" w:hint="eastAsia"/>
          <w:color w:val="000000"/>
          <w:lang w:val="en-US" w:eastAsia="zh-CN"/>
        </w:rPr>
        <w:t>h</w:t>
      </w:r>
      <w:r>
        <w:rPr>
          <w:rFonts w:eastAsia="SimSun"/>
          <w:color w:val="000000"/>
          <w:lang w:val="en-US" w:eastAsia="zh-CN"/>
        </w:rPr>
        <w:t xml:space="preserve">undreds of kilograms, the </w:t>
      </w:r>
      <w:r w:rsidR="001A49B2">
        <w:rPr>
          <w:rFonts w:eastAsia="SimSun"/>
          <w:color w:val="000000"/>
          <w:lang w:val="en-US" w:eastAsia="zh-CN"/>
        </w:rPr>
        <w:t>construction</w:t>
      </w:r>
      <w:r>
        <w:rPr>
          <w:rFonts w:eastAsia="SimSun" w:hint="eastAsia"/>
          <w:color w:val="000000"/>
          <w:lang w:val="en-US" w:eastAsia="zh-CN"/>
        </w:rPr>
        <w:t xml:space="preserve"> and </w:t>
      </w:r>
      <w:r>
        <w:rPr>
          <w:rFonts w:eastAsia="SimSun"/>
          <w:color w:val="000000"/>
          <w:lang w:val="en-US" w:eastAsia="zh-CN"/>
        </w:rPr>
        <w:t>design of its structure</w:t>
      </w:r>
      <w:r>
        <w:rPr>
          <w:rFonts w:eastAsia="SimSun" w:hint="eastAsia"/>
          <w:color w:val="000000"/>
          <w:lang w:val="en-US" w:eastAsia="zh-CN"/>
        </w:rPr>
        <w:t xml:space="preserve"> could afford adequate protection. </w:t>
      </w:r>
      <w:r w:rsidR="004D7EF2">
        <w:rPr>
          <w:rFonts w:eastAsia="SimSun"/>
          <w:color w:val="000000"/>
          <w:lang w:val="en-US" w:eastAsia="zh-CN"/>
        </w:rPr>
        <w:t>As shown</w:t>
      </w:r>
      <w:r>
        <w:rPr>
          <w:rFonts w:eastAsia="SimSun"/>
          <w:color w:val="000000"/>
          <w:lang w:val="en-US" w:eastAsia="zh-CN"/>
        </w:rPr>
        <w:t xml:space="preserve"> in Figure</w:t>
      </w:r>
      <w:r w:rsidR="001D6B08">
        <w:rPr>
          <w:rFonts w:eastAsia="SimSun"/>
          <w:color w:val="000000"/>
          <w:lang w:val="en-US" w:eastAsia="zh-CN"/>
        </w:rPr>
        <w:t> </w:t>
      </w:r>
      <w:r>
        <w:rPr>
          <w:rFonts w:eastAsia="SimSun" w:hint="eastAsia"/>
          <w:color w:val="000000"/>
          <w:lang w:val="en-US" w:eastAsia="zh-CN"/>
        </w:rPr>
        <w:t xml:space="preserve">2, the product designed for mechanical handing can meet the requirements of Composite Intermediate Bulk Container. </w:t>
      </w:r>
      <w:r>
        <w:rPr>
          <w:rFonts w:eastAsia="SimSun"/>
          <w:color w:val="000000"/>
          <w:lang w:val="en-US" w:eastAsia="zh-CN"/>
        </w:rPr>
        <w:t xml:space="preserve">Therefore, vanadium redox flow battery can be transported without packing. </w:t>
      </w:r>
      <w:r>
        <w:rPr>
          <w:rFonts w:eastAsia="SimSun" w:hint="eastAsia"/>
          <w:color w:val="000000"/>
          <w:lang w:val="en-US" w:eastAsia="zh-CN"/>
        </w:rPr>
        <w:t>The outer packaging is not required.</w:t>
      </w:r>
    </w:p>
    <w:p w14:paraId="4136BE4A" w14:textId="77777777" w:rsidR="001D6B08" w:rsidRDefault="001D6B08">
      <w:pPr>
        <w:suppressAutoHyphens w:val="0"/>
        <w:spacing w:line="240" w:lineRule="auto"/>
        <w:rPr>
          <w:rFonts w:eastAsia="SimSun"/>
          <w:color w:val="000000"/>
          <w:lang w:val="en-US" w:eastAsia="zh-CN"/>
        </w:rPr>
      </w:pPr>
      <w:r>
        <w:rPr>
          <w:rFonts w:eastAsia="SimSun"/>
          <w:color w:val="000000"/>
          <w:lang w:val="en-US" w:eastAsia="zh-CN"/>
        </w:rPr>
        <w:br w:type="page"/>
      </w:r>
    </w:p>
    <w:p w14:paraId="6C2EE530" w14:textId="77777777" w:rsidR="001D6B08" w:rsidRDefault="001D6B08" w:rsidP="001D6B08">
      <w:pPr>
        <w:pStyle w:val="SingleTxtG"/>
        <w:tabs>
          <w:tab w:val="left" w:pos="1701"/>
        </w:tabs>
        <w:ind w:left="0"/>
        <w:jc w:val="center"/>
        <w:rPr>
          <w:rFonts w:asciiTheme="minorEastAsia" w:eastAsia="SimSun" w:hAnsiTheme="minorEastAsia"/>
          <w:sz w:val="24"/>
          <w:szCs w:val="24"/>
          <w:lang w:val="en-US" w:eastAsia="zh-CN"/>
        </w:rPr>
      </w:pPr>
      <w:r w:rsidRPr="001A49B2">
        <w:rPr>
          <w:lang w:val="en-US"/>
        </w:rPr>
        <w:lastRenderedPageBreak/>
        <w:t xml:space="preserve">Figure </w:t>
      </w:r>
      <w:r>
        <w:rPr>
          <w:rFonts w:eastAsia="SimSun" w:hint="eastAsia"/>
          <w:lang w:val="en-US" w:eastAsia="zh-CN"/>
        </w:rPr>
        <w:t>2</w:t>
      </w:r>
      <w:r>
        <w:rPr>
          <w:rFonts w:eastAsia="SimSun"/>
          <w:lang w:val="en-US" w:eastAsia="zh-CN"/>
        </w:rPr>
        <w:t>:</w:t>
      </w:r>
      <w:bookmarkStart w:id="0" w:name="_GoBack"/>
      <w:bookmarkEnd w:id="0"/>
      <w:r>
        <w:rPr>
          <w:rFonts w:eastAsia="SimSun" w:hint="eastAsia"/>
          <w:lang w:val="en-US" w:eastAsia="zh-CN"/>
        </w:rPr>
        <w:t xml:space="preserve"> </w:t>
      </w:r>
      <w:r>
        <w:rPr>
          <w:rFonts w:eastAsia="SimSun"/>
          <w:color w:val="000000"/>
          <w:lang w:val="en-US" w:eastAsia="zh-CN"/>
        </w:rPr>
        <w:t>the construction</w:t>
      </w:r>
      <w:r>
        <w:rPr>
          <w:rFonts w:eastAsia="SimSun" w:hint="eastAsia"/>
          <w:color w:val="000000"/>
          <w:lang w:val="en-US" w:eastAsia="zh-CN"/>
        </w:rPr>
        <w:t xml:space="preserve"> and </w:t>
      </w:r>
      <w:r>
        <w:rPr>
          <w:rFonts w:eastAsia="SimSun"/>
          <w:color w:val="000000"/>
          <w:lang w:val="en-US" w:eastAsia="zh-CN"/>
        </w:rPr>
        <w:t>design of its structure</w:t>
      </w:r>
    </w:p>
    <w:p w14:paraId="5E1B4724" w14:textId="77777777" w:rsidR="0018224E" w:rsidRDefault="00E913CE">
      <w:pPr>
        <w:pStyle w:val="SingleTxtG"/>
        <w:tabs>
          <w:tab w:val="left" w:pos="1701"/>
        </w:tabs>
        <w:ind w:left="0"/>
        <w:jc w:val="center"/>
        <w:rPr>
          <w:rFonts w:asciiTheme="minorEastAsia" w:hAnsiTheme="minorEastAsia"/>
          <w:sz w:val="24"/>
          <w:szCs w:val="24"/>
        </w:rPr>
      </w:pPr>
      <w:r>
        <w:rPr>
          <w:rFonts w:asciiTheme="minorEastAsia" w:hAnsiTheme="minorEastAsia"/>
          <w:noProof/>
          <w:sz w:val="24"/>
          <w:szCs w:val="24"/>
          <w:lang w:val="en-US" w:eastAsia="zh-CN"/>
        </w:rPr>
        <w:drawing>
          <wp:inline distT="0" distB="0" distL="0" distR="0" wp14:anchorId="5BA37B63" wp14:editId="29C15BCF">
            <wp:extent cx="3006090" cy="3422650"/>
            <wp:effectExtent l="0" t="0" r="381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014219" cy="3422650"/>
                    </a:xfrm>
                    <a:prstGeom prst="rect">
                      <a:avLst/>
                    </a:prstGeom>
                  </pic:spPr>
                </pic:pic>
              </a:graphicData>
            </a:graphic>
          </wp:inline>
        </w:drawing>
      </w:r>
    </w:p>
    <w:p w14:paraId="57850EB6" w14:textId="77777777" w:rsidR="0018224E" w:rsidRPr="001A49B2" w:rsidRDefault="00C41BFB" w:rsidP="00C41BFB">
      <w:pPr>
        <w:pStyle w:val="SingleTxtG"/>
        <w:rPr>
          <w:rFonts w:asciiTheme="minorEastAsia" w:hAnsiTheme="minorEastAsia"/>
          <w:sz w:val="24"/>
          <w:szCs w:val="24"/>
          <w:lang w:val="en-US"/>
        </w:rPr>
      </w:pPr>
      <w:r>
        <w:rPr>
          <w:rFonts w:eastAsia="SimSun"/>
          <w:lang w:val="en-US" w:eastAsia="zh-CN"/>
        </w:rPr>
        <w:t>7.</w:t>
      </w:r>
      <w:r>
        <w:rPr>
          <w:rFonts w:eastAsia="SimSun"/>
          <w:lang w:val="en-US" w:eastAsia="zh-CN"/>
        </w:rPr>
        <w:tab/>
      </w:r>
      <w:r w:rsidR="00E913CE">
        <w:rPr>
          <w:rFonts w:eastAsia="SimSun" w:hint="eastAsia"/>
          <w:lang w:val="en-US" w:eastAsia="zh-CN"/>
        </w:rPr>
        <w:t>The whole system of v</w:t>
      </w:r>
      <w:r w:rsidR="00E913CE" w:rsidRPr="001A49B2">
        <w:rPr>
          <w:lang w:val="en-US"/>
        </w:rPr>
        <w:t xml:space="preserve">anadium </w:t>
      </w:r>
      <w:r w:rsidR="00E913CE">
        <w:rPr>
          <w:rFonts w:eastAsia="SimSun" w:hint="eastAsia"/>
          <w:lang w:val="en-US" w:eastAsia="zh-CN"/>
        </w:rPr>
        <w:t>r</w:t>
      </w:r>
      <w:r w:rsidR="00E913CE" w:rsidRPr="001A49B2">
        <w:rPr>
          <w:lang w:val="en-US"/>
        </w:rPr>
        <w:t>edox</w:t>
      </w:r>
      <w:r w:rsidR="00E913CE">
        <w:rPr>
          <w:rFonts w:eastAsia="SimSun" w:hint="eastAsia"/>
          <w:lang w:val="en-US" w:eastAsia="zh-CN"/>
        </w:rPr>
        <w:t xml:space="preserve"> flow battery does not run during transportation and is not charged. </w:t>
      </w:r>
      <w:r w:rsidR="00E913CE">
        <w:rPr>
          <w:rFonts w:eastAsia="SimSun"/>
          <w:lang w:val="en-US" w:eastAsia="zh-CN"/>
        </w:rPr>
        <w:t>Since the deep discharge of v</w:t>
      </w:r>
      <w:r w:rsidR="00E913CE" w:rsidRPr="001A49B2">
        <w:rPr>
          <w:lang w:val="en-US"/>
        </w:rPr>
        <w:t xml:space="preserve">anadium </w:t>
      </w:r>
      <w:r w:rsidR="00E913CE">
        <w:rPr>
          <w:rFonts w:eastAsia="SimSun"/>
          <w:lang w:val="en-US" w:eastAsia="zh-CN"/>
        </w:rPr>
        <w:t>r</w:t>
      </w:r>
      <w:r w:rsidR="00E913CE" w:rsidRPr="001A49B2">
        <w:rPr>
          <w:lang w:val="en-US"/>
        </w:rPr>
        <w:t>edox</w:t>
      </w:r>
      <w:r w:rsidR="00E913CE">
        <w:rPr>
          <w:rFonts w:eastAsia="SimSun"/>
          <w:lang w:val="en-US" w:eastAsia="zh-CN"/>
        </w:rPr>
        <w:t xml:space="preserve"> flow</w:t>
      </w:r>
      <w:r w:rsidR="00E913CE" w:rsidRPr="001A49B2">
        <w:rPr>
          <w:lang w:val="en-US"/>
        </w:rPr>
        <w:t xml:space="preserve"> </w:t>
      </w:r>
      <w:r w:rsidR="00E913CE">
        <w:rPr>
          <w:rFonts w:eastAsia="SimSun"/>
          <w:lang w:val="en-US" w:eastAsia="zh-CN"/>
        </w:rPr>
        <w:t>b</w:t>
      </w:r>
      <w:r w:rsidR="00E913CE" w:rsidRPr="001A49B2">
        <w:rPr>
          <w:lang w:val="en-US"/>
        </w:rPr>
        <w:t>attery</w:t>
      </w:r>
      <w:r w:rsidR="00E913CE">
        <w:rPr>
          <w:rFonts w:eastAsia="SimSun"/>
          <w:lang w:val="en-US" w:eastAsia="zh-CN"/>
        </w:rPr>
        <w:t xml:space="preserve"> does not influence its lifetime, so the battery can be transported without </w:t>
      </w:r>
      <w:r w:rsidR="004D7EF2">
        <w:rPr>
          <w:rFonts w:eastAsia="SimSun"/>
          <w:lang w:val="en-US" w:eastAsia="zh-CN"/>
        </w:rPr>
        <w:t>charge. The</w:t>
      </w:r>
      <w:r w:rsidR="00E913CE">
        <w:rPr>
          <w:rFonts w:eastAsia="SimSun"/>
          <w:lang w:val="en-US" w:eastAsia="zh-CN"/>
        </w:rPr>
        <w:t xml:space="preserve"> protection of preventing short-circuiting </w:t>
      </w:r>
      <w:r w:rsidR="004D7EF2">
        <w:rPr>
          <w:rFonts w:eastAsia="SimSun"/>
          <w:lang w:val="en-US" w:eastAsia="zh-CN"/>
        </w:rPr>
        <w:t>is</w:t>
      </w:r>
      <w:r w:rsidR="00E913CE">
        <w:rPr>
          <w:rFonts w:eastAsia="SimSun"/>
          <w:lang w:val="en-US" w:eastAsia="zh-CN"/>
        </w:rPr>
        <w:t xml:space="preserve"> not needed in this instance. </w:t>
      </w:r>
      <w:r w:rsidR="00E913CE">
        <w:rPr>
          <w:rFonts w:eastAsia="SimSun" w:hint="eastAsia"/>
          <w:lang w:val="en-US" w:eastAsia="zh-CN"/>
        </w:rPr>
        <w:t xml:space="preserve">During transportation, the </w:t>
      </w:r>
      <w:r w:rsidR="00E913CE">
        <w:rPr>
          <w:rFonts w:eastAsia="SimSun"/>
          <w:lang w:val="en-US" w:eastAsia="zh-CN"/>
        </w:rPr>
        <w:t>appearance</w:t>
      </w:r>
      <w:r w:rsidR="00E913CE">
        <w:rPr>
          <w:rFonts w:eastAsia="SimSun" w:hint="eastAsia"/>
          <w:lang w:val="en-US" w:eastAsia="zh-CN"/>
        </w:rPr>
        <w:t xml:space="preserve"> of </w:t>
      </w:r>
      <w:r w:rsidR="00E913CE">
        <w:rPr>
          <w:rFonts w:hint="eastAsia"/>
          <w:lang w:val="en-US" w:eastAsia="zh-CN"/>
        </w:rPr>
        <w:t>v</w:t>
      </w:r>
      <w:r w:rsidR="00E913CE" w:rsidRPr="001A49B2">
        <w:rPr>
          <w:lang w:val="en-US"/>
        </w:rPr>
        <w:t xml:space="preserve">anadium </w:t>
      </w:r>
      <w:r w:rsidR="00E913CE">
        <w:rPr>
          <w:rFonts w:hint="eastAsia"/>
          <w:lang w:val="en-US" w:eastAsia="zh-CN"/>
        </w:rPr>
        <w:t>r</w:t>
      </w:r>
      <w:r w:rsidR="00E913CE" w:rsidRPr="001A49B2">
        <w:rPr>
          <w:lang w:val="en-US"/>
        </w:rPr>
        <w:t>edox</w:t>
      </w:r>
      <w:r w:rsidR="00E913CE">
        <w:rPr>
          <w:rFonts w:hint="eastAsia"/>
          <w:lang w:val="en-US" w:eastAsia="zh-CN"/>
        </w:rPr>
        <w:t xml:space="preserve"> flow</w:t>
      </w:r>
      <w:r w:rsidR="00E913CE" w:rsidRPr="001A49B2">
        <w:rPr>
          <w:lang w:val="en-US"/>
        </w:rPr>
        <w:t xml:space="preserve"> </w:t>
      </w:r>
      <w:r w:rsidR="00E913CE">
        <w:rPr>
          <w:rFonts w:hint="eastAsia"/>
          <w:lang w:val="en-US" w:eastAsia="zh-CN"/>
        </w:rPr>
        <w:t>b</w:t>
      </w:r>
      <w:r w:rsidR="00E913CE" w:rsidRPr="001A49B2">
        <w:rPr>
          <w:lang w:val="en-US"/>
        </w:rPr>
        <w:t>attery</w:t>
      </w:r>
      <w:r w:rsidR="00E913CE">
        <w:rPr>
          <w:rFonts w:eastAsia="SimSun" w:hint="eastAsia"/>
          <w:lang w:val="en-US" w:eastAsia="zh-CN"/>
        </w:rPr>
        <w:t xml:space="preserve"> is more like a machinery or apparatus, except that the quantity of dangerous goods in battery is very large. </w:t>
      </w:r>
    </w:p>
    <w:p w14:paraId="269245C5" w14:textId="77777777" w:rsidR="0018224E" w:rsidRDefault="00E913CE">
      <w:pPr>
        <w:pStyle w:val="HChG"/>
        <w:rPr>
          <w:lang w:val="en-US"/>
        </w:rPr>
      </w:pPr>
      <w:r w:rsidRPr="001A49B2">
        <w:rPr>
          <w:lang w:val="en-US"/>
        </w:rPr>
        <w:tab/>
      </w:r>
      <w:r w:rsidRPr="001A49B2">
        <w:rPr>
          <w:lang w:val="en-US"/>
        </w:rPr>
        <w:tab/>
      </w:r>
      <w:r>
        <w:t xml:space="preserve">Analysis </w:t>
      </w:r>
    </w:p>
    <w:p w14:paraId="548B4E63" w14:textId="77777777" w:rsidR="0018224E" w:rsidRDefault="00C41BFB" w:rsidP="00C41BFB">
      <w:pPr>
        <w:pStyle w:val="SingleTxtG"/>
        <w:tabs>
          <w:tab w:val="left" w:pos="1701"/>
        </w:tabs>
        <w:rPr>
          <w:rFonts w:eastAsia="SimSun"/>
          <w:lang w:val="en-US" w:eastAsia="zh-CN"/>
        </w:rPr>
      </w:pPr>
      <w:r>
        <w:rPr>
          <w:rFonts w:eastAsia="SimSun"/>
          <w:lang w:val="en-US" w:eastAsia="zh-CN"/>
        </w:rPr>
        <w:t>8.</w:t>
      </w:r>
      <w:r>
        <w:rPr>
          <w:rFonts w:eastAsia="SimSun"/>
          <w:lang w:val="en-US" w:eastAsia="zh-CN"/>
        </w:rPr>
        <w:tab/>
      </w:r>
      <w:r w:rsidR="00E913CE">
        <w:rPr>
          <w:rFonts w:eastAsia="SimSun" w:hint="eastAsia"/>
          <w:lang w:val="en-US" w:eastAsia="zh-CN"/>
        </w:rPr>
        <w:t xml:space="preserve">In Dangerous Goods List of Model Regulations, UN 2794 applies to BATTERIES, WET, FILLED WITH ACID, electric storage. Obviously, vanadium redox flow battery is different from traditional battery. In any case, the state of charge of UN 2794, whatever new or used, </w:t>
      </w:r>
      <w:r w:rsidR="004D7EF2">
        <w:rPr>
          <w:rFonts w:eastAsia="SimSun"/>
          <w:lang w:val="en-US" w:eastAsia="zh-CN"/>
        </w:rPr>
        <w:t>cannot</w:t>
      </w:r>
      <w:r w:rsidR="00E913CE">
        <w:rPr>
          <w:rFonts w:eastAsia="SimSun" w:hint="eastAsia"/>
          <w:lang w:val="en-US" w:eastAsia="zh-CN"/>
        </w:rPr>
        <w:t xml:space="preserve"> be 0%. But the state of charge of vanadium redox flow battery is 0%, because the batter</w:t>
      </w:r>
      <w:r w:rsidR="002D2DB8">
        <w:rPr>
          <w:rFonts w:eastAsia="SimSun"/>
          <w:lang w:val="en-US" w:eastAsia="zh-CN"/>
        </w:rPr>
        <w:t>y</w:t>
      </w:r>
      <w:r w:rsidR="00E913CE">
        <w:rPr>
          <w:rFonts w:eastAsia="SimSun" w:hint="eastAsia"/>
          <w:lang w:val="en-US" w:eastAsia="zh-CN"/>
        </w:rPr>
        <w:t xml:space="preserve"> is not charged, so the protection against short circuit is not necessary. The packing instruction P801 of UN 2794 is too strict </w:t>
      </w:r>
      <w:r w:rsidR="002D2DB8">
        <w:rPr>
          <w:rFonts w:eastAsia="SimSun"/>
          <w:lang w:val="en-US" w:eastAsia="zh-CN"/>
        </w:rPr>
        <w:t>for</w:t>
      </w:r>
      <w:r w:rsidR="00E913CE">
        <w:rPr>
          <w:rFonts w:eastAsia="SimSun" w:hint="eastAsia"/>
          <w:lang w:val="en-US" w:eastAsia="zh-CN"/>
        </w:rPr>
        <w:t xml:space="preserve"> vanadium redox flow battery, the additional provisions in P801 is not applicable to it. </w:t>
      </w:r>
      <w:r w:rsidR="00E913CE">
        <w:rPr>
          <w:rFonts w:eastAsia="SimSun"/>
          <w:lang w:val="en-US" w:eastAsia="zh-CN"/>
        </w:rPr>
        <w:t>The weight of electrolyte</w:t>
      </w:r>
      <w:r w:rsidR="00E913CE">
        <w:rPr>
          <w:rFonts w:eastAsia="SimSun" w:hint="eastAsia"/>
          <w:lang w:val="en-US" w:eastAsia="zh-CN"/>
        </w:rPr>
        <w:t xml:space="preserve"> in </w:t>
      </w:r>
      <w:r w:rsidR="00E913CE">
        <w:rPr>
          <w:rFonts w:eastAsia="SimSun"/>
          <w:lang w:val="en-US" w:eastAsia="zh-CN"/>
        </w:rPr>
        <w:t xml:space="preserve">vanadium redox flow battery is at least </w:t>
      </w:r>
      <w:r w:rsidR="00E913CE">
        <w:rPr>
          <w:rFonts w:eastAsia="SimSun" w:hint="eastAsia"/>
          <w:lang w:val="en-US" w:eastAsia="zh-CN"/>
        </w:rPr>
        <w:t>h</w:t>
      </w:r>
      <w:r w:rsidR="00E913CE">
        <w:rPr>
          <w:rFonts w:eastAsia="SimSun"/>
          <w:lang w:val="en-US" w:eastAsia="zh-CN"/>
        </w:rPr>
        <w:t>undreds of kilogram</w:t>
      </w:r>
      <w:r w:rsidR="00E913CE">
        <w:rPr>
          <w:rFonts w:eastAsia="SimSun" w:hint="eastAsia"/>
          <w:lang w:val="en-US" w:eastAsia="zh-CN"/>
        </w:rPr>
        <w:t xml:space="preserve">s, so the limited quantities and excepted quantities of UN 2794 is not applicable to it. </w:t>
      </w:r>
      <w:r w:rsidR="00E913CE">
        <w:rPr>
          <w:rFonts w:hint="eastAsia"/>
          <w:lang w:val="en-US" w:eastAsia="zh-CN"/>
        </w:rPr>
        <w:t>Therefore, the requi</w:t>
      </w:r>
      <w:r w:rsidR="004D7EF2">
        <w:rPr>
          <w:lang w:val="en-US" w:eastAsia="zh-CN"/>
        </w:rPr>
        <w:t>re</w:t>
      </w:r>
      <w:r w:rsidR="00E913CE">
        <w:rPr>
          <w:rFonts w:hint="eastAsia"/>
          <w:lang w:val="en-US" w:eastAsia="zh-CN"/>
        </w:rPr>
        <w:t xml:space="preserve">ments of </w:t>
      </w:r>
      <w:r w:rsidR="00E913CE">
        <w:rPr>
          <w:rFonts w:eastAsia="SimSun" w:hint="eastAsia"/>
          <w:lang w:val="en-US" w:eastAsia="zh-CN"/>
        </w:rPr>
        <w:t>UN 2794</w:t>
      </w:r>
      <w:r w:rsidR="00E913CE">
        <w:rPr>
          <w:rFonts w:hint="eastAsia"/>
          <w:lang w:val="en-US" w:eastAsia="zh-CN"/>
        </w:rPr>
        <w:t xml:space="preserve"> </w:t>
      </w:r>
      <w:r w:rsidR="004D7EF2">
        <w:rPr>
          <w:lang w:val="en-US" w:eastAsia="zh-CN"/>
        </w:rPr>
        <w:t>are</w:t>
      </w:r>
      <w:r w:rsidR="00E913CE">
        <w:rPr>
          <w:rFonts w:hint="eastAsia"/>
          <w:lang w:val="en-US" w:eastAsia="zh-CN"/>
        </w:rPr>
        <w:t xml:space="preserve"> not suitable to transport v</w:t>
      </w:r>
      <w:r w:rsidR="00E913CE" w:rsidRPr="001A49B2">
        <w:rPr>
          <w:lang w:val="en-US"/>
        </w:rPr>
        <w:t xml:space="preserve">anadium </w:t>
      </w:r>
      <w:r w:rsidR="00E913CE">
        <w:rPr>
          <w:rFonts w:eastAsia="SimSun" w:hint="eastAsia"/>
          <w:lang w:val="en-US" w:eastAsia="zh-CN"/>
        </w:rPr>
        <w:t>r</w:t>
      </w:r>
      <w:r w:rsidR="00E913CE" w:rsidRPr="001A49B2">
        <w:rPr>
          <w:lang w:val="en-US"/>
        </w:rPr>
        <w:t>edox</w:t>
      </w:r>
      <w:r w:rsidR="00E913CE">
        <w:rPr>
          <w:rFonts w:eastAsia="SimSun" w:hint="eastAsia"/>
          <w:lang w:val="en-US" w:eastAsia="zh-CN"/>
        </w:rPr>
        <w:t xml:space="preserve"> flow</w:t>
      </w:r>
      <w:r w:rsidR="00E913CE" w:rsidRPr="001A49B2">
        <w:rPr>
          <w:lang w:val="en-US"/>
        </w:rPr>
        <w:t xml:space="preserve"> </w:t>
      </w:r>
      <w:r w:rsidR="00E913CE">
        <w:rPr>
          <w:rFonts w:eastAsia="SimSun" w:hint="eastAsia"/>
          <w:lang w:val="en-US" w:eastAsia="zh-CN"/>
        </w:rPr>
        <w:t>b</w:t>
      </w:r>
      <w:r w:rsidR="00E913CE" w:rsidRPr="001A49B2">
        <w:rPr>
          <w:lang w:val="en-US"/>
        </w:rPr>
        <w:t>attery</w:t>
      </w:r>
      <w:r w:rsidR="00E913CE">
        <w:rPr>
          <w:rFonts w:eastAsia="SimSun" w:hint="eastAsia"/>
          <w:lang w:val="en-US" w:eastAsia="zh-CN"/>
        </w:rPr>
        <w:t>.</w:t>
      </w:r>
    </w:p>
    <w:p w14:paraId="7F4B122A" w14:textId="77777777" w:rsidR="0018224E" w:rsidRPr="001A49B2" w:rsidRDefault="00C41BFB" w:rsidP="00C41BFB">
      <w:pPr>
        <w:pStyle w:val="SingleTxtG"/>
        <w:tabs>
          <w:tab w:val="left" w:pos="1701"/>
        </w:tabs>
        <w:rPr>
          <w:b/>
          <w:bCs/>
          <w:lang w:val="en-US"/>
        </w:rPr>
      </w:pPr>
      <w:r>
        <w:rPr>
          <w:rFonts w:eastAsia="SimSun"/>
          <w:lang w:val="en-US" w:eastAsia="zh-CN"/>
        </w:rPr>
        <w:t>9.</w:t>
      </w:r>
      <w:r>
        <w:rPr>
          <w:rFonts w:eastAsia="SimSun"/>
          <w:lang w:val="en-US" w:eastAsia="zh-CN"/>
        </w:rPr>
        <w:tab/>
      </w:r>
      <w:r w:rsidR="00E913CE">
        <w:rPr>
          <w:rFonts w:eastAsia="SimSun" w:hint="eastAsia"/>
          <w:lang w:val="en-US" w:eastAsia="zh-CN"/>
        </w:rPr>
        <w:t xml:space="preserve">According to special provision 301, UN 3363 only applies to machinery or apparatus containing dangerous goods as a residue or an integral element </w:t>
      </w:r>
      <w:r w:rsidR="004D7EF2">
        <w:rPr>
          <w:rFonts w:eastAsia="SimSun"/>
          <w:lang w:val="en-US" w:eastAsia="zh-CN"/>
        </w:rPr>
        <w:t>of the</w:t>
      </w:r>
      <w:r w:rsidR="00E913CE">
        <w:rPr>
          <w:rFonts w:eastAsia="SimSun" w:hint="eastAsia"/>
          <w:lang w:val="en-US" w:eastAsia="zh-CN"/>
        </w:rPr>
        <w:t xml:space="preserve"> machinery or apparatus, and the quantity of dangerous goods in machinery or apparatus shall not exceed the quantity specified in Column 7a of the Dangerous Goods List of chapter 3.2 for each item of dangerous goods contained</w:t>
      </w:r>
      <w:r w:rsidR="00E913CE">
        <w:rPr>
          <w:lang w:val="en-US"/>
        </w:rPr>
        <w:t>.</w:t>
      </w:r>
      <w:r w:rsidR="00E913CE">
        <w:rPr>
          <w:rFonts w:eastAsia="SimSun" w:hint="eastAsia"/>
          <w:lang w:val="en-US" w:eastAsia="zh-CN"/>
        </w:rPr>
        <w:t xml:space="preserve"> Apparently, UN 3363 is applied to machinery or apparatus containing small quantity of dangerous goods. The net weight of </w:t>
      </w:r>
      <w:r w:rsidR="00E913CE">
        <w:rPr>
          <w:rFonts w:eastAsia="SimSun" w:hint="eastAsia"/>
          <w:color w:val="000000"/>
          <w:lang w:val="en-US" w:eastAsia="zh-CN"/>
        </w:rPr>
        <w:t xml:space="preserve">electrolyte in </w:t>
      </w:r>
      <w:r w:rsidR="00E913CE">
        <w:rPr>
          <w:rFonts w:eastAsia="SimSun" w:hint="eastAsia"/>
          <w:lang w:val="en-US" w:eastAsia="zh-CN"/>
        </w:rPr>
        <w:t>vanadium redox flow battery is usually hundreds of kilograms. Therefore, it is not appropriate to transport v</w:t>
      </w:r>
      <w:r w:rsidR="00E913CE" w:rsidRPr="001A49B2">
        <w:rPr>
          <w:lang w:val="en-US"/>
        </w:rPr>
        <w:t xml:space="preserve">anadium </w:t>
      </w:r>
      <w:r w:rsidR="00E913CE">
        <w:rPr>
          <w:rFonts w:eastAsia="SimSun" w:hint="eastAsia"/>
          <w:lang w:val="en-US" w:eastAsia="zh-CN"/>
        </w:rPr>
        <w:t>r</w:t>
      </w:r>
      <w:r w:rsidR="00E913CE" w:rsidRPr="001A49B2">
        <w:rPr>
          <w:lang w:val="en-US"/>
        </w:rPr>
        <w:t>edox</w:t>
      </w:r>
      <w:r w:rsidR="00E913CE">
        <w:rPr>
          <w:rFonts w:eastAsia="SimSun" w:hint="eastAsia"/>
          <w:lang w:val="en-US" w:eastAsia="zh-CN"/>
        </w:rPr>
        <w:t xml:space="preserve"> flow</w:t>
      </w:r>
      <w:r w:rsidR="00E913CE" w:rsidRPr="001A49B2">
        <w:rPr>
          <w:lang w:val="en-US"/>
        </w:rPr>
        <w:t xml:space="preserve"> </w:t>
      </w:r>
      <w:r w:rsidR="00E913CE">
        <w:rPr>
          <w:rFonts w:eastAsia="SimSun" w:hint="eastAsia"/>
          <w:lang w:val="en-US" w:eastAsia="zh-CN"/>
        </w:rPr>
        <w:t>b</w:t>
      </w:r>
      <w:r w:rsidR="00E913CE" w:rsidRPr="001A49B2">
        <w:rPr>
          <w:lang w:val="en-US"/>
        </w:rPr>
        <w:t>attery</w:t>
      </w:r>
      <w:r w:rsidR="00E913CE">
        <w:rPr>
          <w:rFonts w:eastAsia="SimSun" w:hint="eastAsia"/>
          <w:lang w:val="en-US" w:eastAsia="zh-CN"/>
        </w:rPr>
        <w:t xml:space="preserve"> as UN 3363.</w:t>
      </w:r>
    </w:p>
    <w:p w14:paraId="7E04CC2A" w14:textId="77777777" w:rsidR="0018224E" w:rsidRDefault="00C41BFB" w:rsidP="00C41BFB">
      <w:pPr>
        <w:pStyle w:val="SingleTxtG"/>
        <w:tabs>
          <w:tab w:val="left" w:pos="1701"/>
        </w:tabs>
        <w:rPr>
          <w:rFonts w:eastAsia="SimSun"/>
          <w:color w:val="000000"/>
          <w:lang w:val="en-US" w:eastAsia="zh-CN"/>
        </w:rPr>
      </w:pPr>
      <w:r>
        <w:rPr>
          <w:rFonts w:eastAsia="SimSun"/>
          <w:color w:val="000000"/>
          <w:lang w:val="en-US" w:eastAsia="zh-CN"/>
        </w:rPr>
        <w:lastRenderedPageBreak/>
        <w:t>10.</w:t>
      </w:r>
      <w:r>
        <w:rPr>
          <w:rFonts w:eastAsia="SimSun"/>
          <w:color w:val="000000"/>
          <w:lang w:val="en-US" w:eastAsia="zh-CN"/>
        </w:rPr>
        <w:tab/>
      </w:r>
      <w:r w:rsidR="00E913CE">
        <w:rPr>
          <w:rFonts w:eastAsia="SimSun" w:hint="eastAsia"/>
          <w:color w:val="000000"/>
          <w:lang w:val="en-US" w:eastAsia="zh-CN"/>
        </w:rPr>
        <w:t xml:space="preserve">In Dangerous Goods List of Model Regulations, UN 3547 applies to ARTICLES CONTAINING CORROSIVE SUBSTANCE, N.O.S. There are two Packing instructions P006 and LP03 in UN3547. According to P006, articles may be transported unpackaged or on pallets when the dangerous goods are </w:t>
      </w:r>
      <w:r w:rsidR="004D7EF2">
        <w:rPr>
          <w:rFonts w:eastAsia="SimSun"/>
          <w:color w:val="000000"/>
          <w:lang w:val="en-US" w:eastAsia="zh-CN"/>
        </w:rPr>
        <w:t>afforded</w:t>
      </w:r>
      <w:r w:rsidR="00E913CE">
        <w:rPr>
          <w:rFonts w:eastAsia="SimSun" w:hint="eastAsia"/>
          <w:color w:val="000000"/>
          <w:lang w:val="en-US" w:eastAsia="zh-CN"/>
        </w:rPr>
        <w:t xml:space="preserve"> equivalent protection by the article in which they are contained. In LP03, the instruction does not allow </w:t>
      </w:r>
      <w:r w:rsidR="004D7EF2">
        <w:rPr>
          <w:rFonts w:eastAsia="SimSun"/>
          <w:color w:val="000000"/>
          <w:lang w:val="en-US" w:eastAsia="zh-CN"/>
        </w:rPr>
        <w:t>articles</w:t>
      </w:r>
      <w:r w:rsidR="00E913CE">
        <w:rPr>
          <w:rFonts w:eastAsia="SimSun" w:hint="eastAsia"/>
          <w:color w:val="000000"/>
          <w:lang w:val="en-US" w:eastAsia="zh-CN"/>
        </w:rPr>
        <w:t xml:space="preserve"> to be transported unpackaged or on pallets. In </w:t>
      </w:r>
      <w:r w:rsidR="002D2DB8">
        <w:rPr>
          <w:rFonts w:eastAsia="SimSun"/>
          <w:color w:val="000000"/>
          <w:lang w:val="en-US" w:eastAsia="zh-CN"/>
        </w:rPr>
        <w:t>section</w:t>
      </w:r>
      <w:r w:rsidR="00E913CE">
        <w:rPr>
          <w:rFonts w:eastAsia="SimSun" w:hint="eastAsia"/>
          <w:color w:val="000000"/>
          <w:lang w:val="en-US" w:eastAsia="zh-CN"/>
        </w:rPr>
        <w:t xml:space="preserve"> 1.2.1 of Model Regulations, large </w:t>
      </w:r>
      <w:r w:rsidR="004D7EF2">
        <w:rPr>
          <w:rFonts w:eastAsia="SimSun"/>
          <w:color w:val="000000"/>
          <w:lang w:val="en-US" w:eastAsia="zh-CN"/>
        </w:rPr>
        <w:t>packaging</w:t>
      </w:r>
      <w:r w:rsidR="00E913CE">
        <w:rPr>
          <w:rFonts w:eastAsia="SimSun" w:hint="eastAsia"/>
          <w:color w:val="000000"/>
          <w:lang w:val="en-US" w:eastAsia="zh-CN"/>
        </w:rPr>
        <w:t xml:space="preserve"> means </w:t>
      </w:r>
      <w:r w:rsidR="004D7EF2">
        <w:rPr>
          <w:rFonts w:eastAsia="SimSun"/>
          <w:color w:val="000000"/>
          <w:lang w:val="en-US" w:eastAsia="zh-CN"/>
        </w:rPr>
        <w:t>packaging</w:t>
      </w:r>
      <w:r w:rsidR="00E913CE">
        <w:rPr>
          <w:rFonts w:eastAsia="SimSun" w:hint="eastAsia"/>
          <w:color w:val="000000"/>
          <w:lang w:val="en-US" w:eastAsia="zh-CN"/>
        </w:rPr>
        <w:t xml:space="preserve"> which exceed 400</w:t>
      </w:r>
      <w:r w:rsidR="00E913CE">
        <w:rPr>
          <w:rFonts w:eastAsia="SimSun" w:hint="eastAsia"/>
          <w:color w:val="000000"/>
          <w:lang w:val="en-US" w:eastAsia="zh-CN"/>
        </w:rPr>
        <w:t>㎏</w:t>
      </w:r>
      <w:r w:rsidR="00E913CE">
        <w:rPr>
          <w:rFonts w:eastAsia="SimSun" w:hint="eastAsia"/>
          <w:color w:val="000000"/>
          <w:lang w:val="en-US" w:eastAsia="zh-CN"/>
        </w:rPr>
        <w:t xml:space="preserve"> net mass or 450 </w:t>
      </w:r>
      <w:proofErr w:type="spellStart"/>
      <w:r w:rsidR="00E913CE">
        <w:rPr>
          <w:rFonts w:eastAsia="SimSun" w:hint="eastAsia"/>
          <w:color w:val="000000"/>
          <w:lang w:val="en-US" w:eastAsia="zh-CN"/>
        </w:rPr>
        <w:t>litre</w:t>
      </w:r>
      <w:proofErr w:type="spellEnd"/>
      <w:r w:rsidR="00E913CE">
        <w:rPr>
          <w:rFonts w:eastAsia="SimSun" w:hint="eastAsia"/>
          <w:color w:val="000000"/>
          <w:lang w:val="en-US" w:eastAsia="zh-CN"/>
        </w:rPr>
        <w:t xml:space="preserve"> capacity but has a volume of not more than 3 m</w:t>
      </w:r>
      <w:r w:rsidR="00E913CE">
        <w:rPr>
          <w:rFonts w:eastAsia="SimSun" w:hint="eastAsia"/>
          <w:color w:val="000000"/>
          <w:vertAlign w:val="superscript"/>
          <w:lang w:val="en-US" w:eastAsia="zh-CN"/>
        </w:rPr>
        <w:t>3</w:t>
      </w:r>
      <w:r w:rsidR="00E913CE">
        <w:rPr>
          <w:rFonts w:eastAsia="SimSun" w:hint="eastAsia"/>
          <w:color w:val="000000"/>
          <w:lang w:val="en-US" w:eastAsia="zh-CN"/>
        </w:rPr>
        <w:t xml:space="preserve">. According to </w:t>
      </w:r>
      <w:r w:rsidR="002D2DB8">
        <w:rPr>
          <w:rFonts w:eastAsia="SimSun"/>
          <w:color w:val="000000"/>
          <w:lang w:val="en-US" w:eastAsia="zh-CN"/>
        </w:rPr>
        <w:t>section</w:t>
      </w:r>
      <w:r w:rsidR="002D2DB8">
        <w:rPr>
          <w:rFonts w:eastAsia="SimSun" w:hint="eastAsia"/>
          <w:color w:val="000000"/>
          <w:lang w:val="en-US" w:eastAsia="zh-CN"/>
        </w:rPr>
        <w:t xml:space="preserve"> </w:t>
      </w:r>
      <w:r w:rsidR="00E913CE">
        <w:rPr>
          <w:rFonts w:eastAsia="SimSun" w:hint="eastAsia"/>
          <w:color w:val="000000"/>
          <w:lang w:val="en-US" w:eastAsia="zh-CN"/>
        </w:rPr>
        <w:t>6.1.1</w:t>
      </w:r>
      <w:proofErr w:type="gramStart"/>
      <w:r w:rsidR="00E913CE">
        <w:rPr>
          <w:rFonts w:eastAsia="SimSun" w:hint="eastAsia"/>
          <w:color w:val="000000"/>
          <w:lang w:val="en-US" w:eastAsia="zh-CN"/>
        </w:rPr>
        <w:t>,  the</w:t>
      </w:r>
      <w:proofErr w:type="gramEnd"/>
      <w:r w:rsidR="00E913CE">
        <w:rPr>
          <w:rFonts w:eastAsia="SimSun" w:hint="eastAsia"/>
          <w:color w:val="000000"/>
          <w:lang w:val="en-US" w:eastAsia="zh-CN"/>
        </w:rPr>
        <w:t xml:space="preserve"> </w:t>
      </w:r>
      <w:r w:rsidR="00E913CE">
        <w:rPr>
          <w:rFonts w:eastAsia="SimSun" w:hint="eastAsia"/>
          <w:color w:val="000000"/>
          <w:lang w:val="en-US" w:eastAsia="zh-CN"/>
        </w:rPr>
        <w:t>“</w:t>
      </w:r>
      <w:r w:rsidR="00E913CE">
        <w:rPr>
          <w:rFonts w:eastAsia="SimSun" w:hint="eastAsia"/>
          <w:color w:val="000000"/>
          <w:lang w:val="en-US" w:eastAsia="zh-CN"/>
        </w:rPr>
        <w:t>P</w:t>
      </w:r>
      <w:r w:rsidR="00E913CE">
        <w:rPr>
          <w:rFonts w:eastAsia="SimSun" w:hint="eastAsia"/>
          <w:color w:val="000000"/>
          <w:lang w:val="en-US" w:eastAsia="zh-CN"/>
        </w:rPr>
        <w:t>”</w:t>
      </w:r>
      <w:r w:rsidR="00E913CE">
        <w:rPr>
          <w:rFonts w:eastAsia="SimSun" w:hint="eastAsia"/>
          <w:color w:val="000000"/>
          <w:lang w:val="en-US" w:eastAsia="zh-CN"/>
        </w:rPr>
        <w:t xml:space="preserve"> packing instructions apply to packages whose net mass do not exceed 400</w:t>
      </w:r>
      <w:r w:rsidR="00E913CE">
        <w:rPr>
          <w:rFonts w:eastAsia="SimSun" w:hint="eastAsia"/>
          <w:color w:val="000000"/>
          <w:lang w:val="en-US" w:eastAsia="zh-CN"/>
        </w:rPr>
        <w:t>㎏</w:t>
      </w:r>
      <w:r w:rsidR="00E913CE">
        <w:rPr>
          <w:rFonts w:eastAsia="SimSun" w:hint="eastAsia"/>
          <w:color w:val="000000"/>
          <w:lang w:val="en-US" w:eastAsia="zh-CN"/>
        </w:rPr>
        <w:t xml:space="preserve">or packages for liquids with a capacity not exceeding 450 </w:t>
      </w:r>
      <w:proofErr w:type="spellStart"/>
      <w:r w:rsidR="00E913CE">
        <w:rPr>
          <w:rFonts w:eastAsia="SimSun" w:hint="eastAsia"/>
          <w:color w:val="000000"/>
          <w:lang w:val="en-US" w:eastAsia="zh-CN"/>
        </w:rPr>
        <w:t>litre</w:t>
      </w:r>
      <w:proofErr w:type="spellEnd"/>
      <w:r w:rsidR="00E913CE">
        <w:rPr>
          <w:rFonts w:eastAsia="SimSun" w:hint="eastAsia"/>
          <w:color w:val="000000"/>
          <w:lang w:val="en-US" w:eastAsia="zh-CN"/>
        </w:rPr>
        <w:t>. There is confusion that if the net mass of a packaging exceeds 450 L/400</w:t>
      </w:r>
      <w:r w:rsidR="00E913CE">
        <w:rPr>
          <w:rFonts w:eastAsia="SimSun" w:hint="eastAsia"/>
          <w:color w:val="000000"/>
          <w:lang w:val="en-US" w:eastAsia="zh-CN"/>
        </w:rPr>
        <w:t>㎏</w:t>
      </w:r>
      <w:r w:rsidR="00E913CE">
        <w:rPr>
          <w:rFonts w:eastAsia="SimSun" w:hint="eastAsia"/>
          <w:color w:val="000000"/>
          <w:lang w:val="en-US" w:eastAsia="zh-CN"/>
        </w:rPr>
        <w:t xml:space="preserve">, is it correct that the article be transported unpackaged or on pallets </w:t>
      </w:r>
      <w:r w:rsidR="00E913CE">
        <w:rPr>
          <w:lang w:val="en-US"/>
        </w:rPr>
        <w:t>in accordance with</w:t>
      </w:r>
      <w:r w:rsidR="00E913CE">
        <w:rPr>
          <w:rFonts w:eastAsia="SimSun" w:hint="eastAsia"/>
          <w:lang w:val="en-US" w:eastAsia="zh-CN"/>
        </w:rPr>
        <w:t xml:space="preserve"> P006? The net weight of </w:t>
      </w:r>
      <w:r w:rsidR="00E913CE">
        <w:rPr>
          <w:rFonts w:eastAsia="SimSun" w:hint="eastAsia"/>
          <w:color w:val="000000"/>
          <w:lang w:val="en-US" w:eastAsia="zh-CN"/>
        </w:rPr>
        <w:t xml:space="preserve">electrolyte in </w:t>
      </w:r>
      <w:r w:rsidR="00E913CE">
        <w:rPr>
          <w:rFonts w:eastAsia="SimSun" w:hint="eastAsia"/>
          <w:lang w:val="en-US" w:eastAsia="zh-CN"/>
        </w:rPr>
        <w:t xml:space="preserve">vanadium redox flow battery usually exceeds 450 </w:t>
      </w:r>
      <w:proofErr w:type="spellStart"/>
      <w:r w:rsidR="00E913CE">
        <w:rPr>
          <w:rFonts w:eastAsia="SimSun" w:hint="eastAsia"/>
          <w:color w:val="000000"/>
          <w:lang w:val="en-US" w:eastAsia="zh-CN"/>
        </w:rPr>
        <w:t>litre</w:t>
      </w:r>
      <w:proofErr w:type="spellEnd"/>
      <w:r w:rsidR="00E913CE">
        <w:rPr>
          <w:rFonts w:eastAsia="SimSun" w:hint="eastAsia"/>
          <w:color w:val="000000"/>
          <w:lang w:val="en-US" w:eastAsia="zh-CN"/>
        </w:rPr>
        <w:t xml:space="preserve">. Is it possible to </w:t>
      </w:r>
      <w:r w:rsidR="00E913CE">
        <w:rPr>
          <w:rFonts w:eastAsia="SimSun" w:hint="eastAsia"/>
          <w:lang w:val="en-US" w:eastAsia="zh-CN"/>
        </w:rPr>
        <w:t xml:space="preserve">transport </w:t>
      </w:r>
      <w:r w:rsidR="00E913CE">
        <w:rPr>
          <w:rFonts w:eastAsia="SimSun" w:hint="eastAsia"/>
          <w:color w:val="000000"/>
          <w:lang w:val="en-US" w:eastAsia="zh-CN"/>
        </w:rPr>
        <w:t xml:space="preserve">unpackaged </w:t>
      </w:r>
      <w:r w:rsidR="00E913CE">
        <w:rPr>
          <w:rFonts w:eastAsia="SimSun" w:hint="eastAsia"/>
          <w:lang w:val="en-US" w:eastAsia="zh-CN"/>
        </w:rPr>
        <w:t>v</w:t>
      </w:r>
      <w:r w:rsidR="00E913CE" w:rsidRPr="001A49B2">
        <w:rPr>
          <w:lang w:val="en-US"/>
        </w:rPr>
        <w:t xml:space="preserve">anadium </w:t>
      </w:r>
      <w:r w:rsidR="00E913CE">
        <w:rPr>
          <w:rFonts w:eastAsia="SimSun" w:hint="eastAsia"/>
          <w:lang w:val="en-US" w:eastAsia="zh-CN"/>
        </w:rPr>
        <w:t>r</w:t>
      </w:r>
      <w:r w:rsidR="00E913CE" w:rsidRPr="001A49B2">
        <w:rPr>
          <w:lang w:val="en-US"/>
        </w:rPr>
        <w:t>edox</w:t>
      </w:r>
      <w:r w:rsidR="00E913CE">
        <w:rPr>
          <w:rFonts w:eastAsia="SimSun" w:hint="eastAsia"/>
          <w:lang w:val="en-US" w:eastAsia="zh-CN"/>
        </w:rPr>
        <w:t xml:space="preserve"> flow</w:t>
      </w:r>
      <w:r w:rsidR="00E913CE" w:rsidRPr="001A49B2">
        <w:rPr>
          <w:lang w:val="en-US"/>
        </w:rPr>
        <w:t xml:space="preserve"> </w:t>
      </w:r>
      <w:r w:rsidR="00E913CE">
        <w:rPr>
          <w:rFonts w:eastAsia="SimSun" w:hint="eastAsia"/>
          <w:lang w:val="en-US" w:eastAsia="zh-CN"/>
        </w:rPr>
        <w:t>b</w:t>
      </w:r>
      <w:r w:rsidR="00E913CE" w:rsidRPr="001A49B2">
        <w:rPr>
          <w:lang w:val="en-US"/>
        </w:rPr>
        <w:t>attery</w:t>
      </w:r>
      <w:r w:rsidR="00E913CE">
        <w:rPr>
          <w:rFonts w:eastAsia="SimSun" w:hint="eastAsia"/>
          <w:lang w:val="en-US" w:eastAsia="zh-CN"/>
        </w:rPr>
        <w:t xml:space="preserve"> as UN 3547?</w:t>
      </w:r>
    </w:p>
    <w:p w14:paraId="191971A7" w14:textId="77777777" w:rsidR="0018224E" w:rsidRDefault="00E913CE">
      <w:pPr>
        <w:pStyle w:val="HChG"/>
      </w:pPr>
      <w:r w:rsidRPr="001A49B2">
        <w:rPr>
          <w:lang w:val="en-US"/>
        </w:rPr>
        <w:tab/>
      </w:r>
      <w:r w:rsidRPr="001A49B2">
        <w:rPr>
          <w:lang w:val="en-US"/>
        </w:rPr>
        <w:tab/>
      </w:r>
      <w:r>
        <w:t>Conclusion</w:t>
      </w:r>
    </w:p>
    <w:p w14:paraId="0029DA08" w14:textId="77777777" w:rsidR="0018224E" w:rsidRDefault="00C41BFB" w:rsidP="00C41BFB">
      <w:pPr>
        <w:pStyle w:val="SingleTxtG"/>
        <w:rPr>
          <w:lang w:val="en-US"/>
        </w:rPr>
      </w:pPr>
      <w:r>
        <w:rPr>
          <w:rFonts w:eastAsia="SimSun"/>
          <w:lang w:val="en-US" w:eastAsia="zh-CN"/>
        </w:rPr>
        <w:tab/>
        <w:t>11.</w:t>
      </w:r>
      <w:r>
        <w:rPr>
          <w:rFonts w:eastAsia="SimSun"/>
          <w:lang w:val="en-US" w:eastAsia="zh-CN"/>
        </w:rPr>
        <w:tab/>
      </w:r>
      <w:r w:rsidR="00E913CE">
        <w:rPr>
          <w:rFonts w:eastAsia="SimSun" w:hint="eastAsia"/>
          <w:lang w:val="en-US" w:eastAsia="zh-CN"/>
        </w:rPr>
        <w:t>In order to consider the new type of v</w:t>
      </w:r>
      <w:r w:rsidR="00E913CE" w:rsidRPr="001A49B2">
        <w:rPr>
          <w:lang w:val="en-US"/>
        </w:rPr>
        <w:t xml:space="preserve">anadium </w:t>
      </w:r>
      <w:r w:rsidR="00E913CE">
        <w:rPr>
          <w:rFonts w:eastAsia="SimSun" w:hint="eastAsia"/>
          <w:lang w:val="en-US" w:eastAsia="zh-CN"/>
        </w:rPr>
        <w:t>r</w:t>
      </w:r>
      <w:r w:rsidR="00E913CE" w:rsidRPr="001A49B2">
        <w:rPr>
          <w:lang w:val="en-US"/>
        </w:rPr>
        <w:t>edox</w:t>
      </w:r>
      <w:r w:rsidR="00E913CE">
        <w:rPr>
          <w:rFonts w:eastAsia="SimSun" w:hint="eastAsia"/>
          <w:lang w:val="en-US" w:eastAsia="zh-CN"/>
        </w:rPr>
        <w:t xml:space="preserve"> flow</w:t>
      </w:r>
      <w:r w:rsidR="00E913CE" w:rsidRPr="001A49B2">
        <w:rPr>
          <w:lang w:val="en-US"/>
        </w:rPr>
        <w:t xml:space="preserve"> </w:t>
      </w:r>
      <w:r w:rsidR="00E913CE">
        <w:rPr>
          <w:rFonts w:eastAsia="SimSun" w:hint="eastAsia"/>
          <w:lang w:val="en-US" w:eastAsia="zh-CN"/>
        </w:rPr>
        <w:t>b</w:t>
      </w:r>
      <w:r w:rsidR="00E913CE" w:rsidRPr="001A49B2">
        <w:rPr>
          <w:lang w:val="en-US"/>
        </w:rPr>
        <w:t>attery</w:t>
      </w:r>
      <w:r w:rsidR="00E913CE">
        <w:rPr>
          <w:rFonts w:eastAsia="SimSun" w:hint="eastAsia"/>
          <w:lang w:val="en-US" w:eastAsia="zh-CN"/>
        </w:rPr>
        <w:t xml:space="preserve"> and lay down its suitable </w:t>
      </w:r>
      <w:r w:rsidR="00E913CE" w:rsidRPr="00C41BFB">
        <w:rPr>
          <w:rFonts w:eastAsia="SimSun" w:hint="eastAsia"/>
        </w:rPr>
        <w:t>transport</w:t>
      </w:r>
      <w:r w:rsidR="00E913CE">
        <w:rPr>
          <w:rFonts w:eastAsia="SimSun" w:hint="eastAsia"/>
          <w:lang w:val="en-US" w:eastAsia="zh-CN"/>
        </w:rPr>
        <w:t xml:space="preserve"> condition, it is proposed </w:t>
      </w:r>
      <w:r w:rsidR="004D7EF2">
        <w:rPr>
          <w:rFonts w:eastAsia="SimSun"/>
          <w:lang w:val="en-US" w:eastAsia="zh-CN"/>
        </w:rPr>
        <w:t>to add</w:t>
      </w:r>
      <w:r w:rsidR="00E913CE">
        <w:rPr>
          <w:rFonts w:eastAsia="SimSun" w:hint="eastAsia"/>
          <w:lang w:val="en-US" w:eastAsia="zh-CN"/>
        </w:rPr>
        <w:t xml:space="preserve"> a special provision to UN 2794 or amend the instruction of LP</w:t>
      </w:r>
      <w:r w:rsidR="004D7EF2">
        <w:rPr>
          <w:rFonts w:eastAsia="SimSun"/>
          <w:lang w:val="en-US" w:eastAsia="zh-CN"/>
        </w:rPr>
        <w:t>03.</w:t>
      </w:r>
      <w:r w:rsidR="00E913CE">
        <w:rPr>
          <w:rFonts w:eastAsia="SimSun" w:hint="eastAsia"/>
          <w:lang w:val="en-US" w:eastAsia="zh-CN"/>
        </w:rPr>
        <w:t xml:space="preserve"> </w:t>
      </w:r>
    </w:p>
    <w:p w14:paraId="609E0785" w14:textId="77777777" w:rsidR="0018224E" w:rsidRDefault="00E913CE">
      <w:pPr>
        <w:pStyle w:val="HChG"/>
      </w:pPr>
      <w:r w:rsidRPr="001A49B2">
        <w:rPr>
          <w:lang w:val="en-US"/>
        </w:rPr>
        <w:tab/>
      </w:r>
      <w:r w:rsidRPr="001A49B2">
        <w:rPr>
          <w:lang w:val="en-US"/>
        </w:rPr>
        <w:tab/>
      </w:r>
      <w:r>
        <w:t>Proposal</w:t>
      </w:r>
    </w:p>
    <w:p w14:paraId="29937660" w14:textId="77777777" w:rsidR="0018224E" w:rsidRDefault="00C41BFB" w:rsidP="00C41BFB">
      <w:pPr>
        <w:pStyle w:val="SingleTxtG"/>
        <w:tabs>
          <w:tab w:val="left" w:pos="1701"/>
        </w:tabs>
        <w:rPr>
          <w:lang w:val="en-US"/>
        </w:rPr>
      </w:pPr>
      <w:r>
        <w:rPr>
          <w:lang w:val="en-US" w:eastAsia="zh-CN"/>
        </w:rPr>
        <w:t>12.</w:t>
      </w:r>
      <w:r>
        <w:rPr>
          <w:lang w:val="en-US" w:eastAsia="zh-CN"/>
        </w:rPr>
        <w:tab/>
      </w:r>
      <w:r w:rsidR="00E913CE">
        <w:rPr>
          <w:rFonts w:hint="eastAsia"/>
          <w:lang w:val="en-US" w:eastAsia="zh-CN"/>
        </w:rPr>
        <w:t>Option 1:</w:t>
      </w:r>
    </w:p>
    <w:p w14:paraId="193108CF" w14:textId="77777777" w:rsidR="0018224E" w:rsidRDefault="00E913CE">
      <w:pPr>
        <w:pStyle w:val="SingleTxtG"/>
        <w:tabs>
          <w:tab w:val="left" w:pos="1701"/>
        </w:tabs>
        <w:ind w:firstLineChars="300" w:firstLine="600"/>
        <w:rPr>
          <w:rFonts w:eastAsia="SimSun"/>
          <w:color w:val="000000"/>
          <w:lang w:val="en-US" w:eastAsia="zh-CN"/>
        </w:rPr>
      </w:pPr>
      <w:r>
        <w:rPr>
          <w:rFonts w:eastAsia="SimSun" w:hint="eastAsia"/>
          <w:color w:val="000000"/>
          <w:lang w:val="en-US" w:eastAsia="zh-CN"/>
        </w:rPr>
        <w:t>Add a special provision SPXXX to UN 2794, as follows:</w:t>
      </w:r>
    </w:p>
    <w:p w14:paraId="092BAF11" w14:textId="77777777" w:rsidR="0018224E" w:rsidRPr="005360B5" w:rsidRDefault="00E913CE" w:rsidP="00C41BFB">
      <w:pPr>
        <w:pStyle w:val="SingleTxtG"/>
        <w:tabs>
          <w:tab w:val="left" w:pos="1701"/>
        </w:tabs>
        <w:ind w:left="1701" w:firstLineChars="16" w:firstLine="32"/>
        <w:rPr>
          <w:rFonts w:eastAsia="SimSun"/>
          <w:color w:val="000000"/>
          <w:u w:val="single"/>
          <w:lang w:val="en-US" w:eastAsia="zh-CN"/>
        </w:rPr>
      </w:pPr>
      <w:r w:rsidRPr="005360B5">
        <w:rPr>
          <w:rFonts w:eastAsia="SimSun" w:hint="eastAsia"/>
          <w:color w:val="000000"/>
          <w:u w:val="single"/>
          <w:lang w:val="en-US" w:eastAsia="zh-CN"/>
        </w:rPr>
        <w:t xml:space="preserve">XXX This provision applies to </w:t>
      </w:r>
      <w:r w:rsidRPr="005360B5">
        <w:rPr>
          <w:rFonts w:eastAsia="SimSun" w:hint="eastAsia"/>
          <w:u w:val="single"/>
          <w:lang w:val="en-US" w:eastAsia="zh-CN"/>
        </w:rPr>
        <w:t>v</w:t>
      </w:r>
      <w:r w:rsidRPr="005360B5">
        <w:rPr>
          <w:u w:val="single"/>
          <w:lang w:val="en-US"/>
        </w:rPr>
        <w:t xml:space="preserve">anadium </w:t>
      </w:r>
      <w:r w:rsidRPr="005360B5">
        <w:rPr>
          <w:rFonts w:eastAsia="SimSun" w:hint="eastAsia"/>
          <w:u w:val="single"/>
          <w:lang w:val="en-US" w:eastAsia="zh-CN"/>
        </w:rPr>
        <w:t>r</w:t>
      </w:r>
      <w:r w:rsidRPr="005360B5">
        <w:rPr>
          <w:u w:val="single"/>
          <w:lang w:val="en-US"/>
        </w:rPr>
        <w:t>edox</w:t>
      </w:r>
      <w:r w:rsidRPr="005360B5">
        <w:rPr>
          <w:rFonts w:eastAsia="SimSun" w:hint="eastAsia"/>
          <w:u w:val="single"/>
          <w:lang w:val="en-US" w:eastAsia="zh-CN"/>
        </w:rPr>
        <w:t xml:space="preserve"> flow</w:t>
      </w:r>
      <w:r w:rsidRPr="005360B5">
        <w:rPr>
          <w:u w:val="single"/>
          <w:lang w:val="en-US"/>
        </w:rPr>
        <w:t xml:space="preserve"> </w:t>
      </w:r>
      <w:r w:rsidRPr="005360B5">
        <w:rPr>
          <w:rFonts w:eastAsia="SimSun" w:hint="eastAsia"/>
          <w:u w:val="single"/>
          <w:lang w:val="en-US" w:eastAsia="zh-CN"/>
        </w:rPr>
        <w:t>b</w:t>
      </w:r>
      <w:r w:rsidRPr="005360B5">
        <w:rPr>
          <w:u w:val="single"/>
          <w:lang w:val="en-US"/>
        </w:rPr>
        <w:t>attery</w:t>
      </w:r>
      <w:r w:rsidRPr="005360B5">
        <w:rPr>
          <w:rFonts w:eastAsia="SimSun" w:hint="eastAsia"/>
          <w:u w:val="single"/>
          <w:lang w:val="en-US" w:eastAsia="zh-CN"/>
        </w:rPr>
        <w:t xml:space="preserve"> which </w:t>
      </w:r>
      <w:r w:rsidRPr="005360B5">
        <w:rPr>
          <w:rFonts w:eastAsia="SimSun"/>
          <w:color w:val="000000"/>
          <w:u w:val="single"/>
          <w:lang w:val="en-US" w:eastAsia="zh-CN"/>
        </w:rPr>
        <w:t>electrolyte</w:t>
      </w:r>
      <w:r w:rsidRPr="005360B5">
        <w:rPr>
          <w:rFonts w:eastAsia="SimSun" w:hint="eastAsia"/>
          <w:color w:val="000000"/>
          <w:u w:val="single"/>
          <w:lang w:val="en-US" w:eastAsia="zh-CN"/>
        </w:rPr>
        <w:t xml:space="preserve"> </w:t>
      </w:r>
      <w:r w:rsidRPr="005360B5">
        <w:rPr>
          <w:rFonts w:eastAsia="SimSun"/>
          <w:color w:val="000000"/>
          <w:u w:val="single"/>
          <w:lang w:val="en-US" w:eastAsia="zh-CN"/>
        </w:rPr>
        <w:t>belongs to class 8</w:t>
      </w:r>
      <w:r w:rsidRPr="005360B5">
        <w:rPr>
          <w:rFonts w:eastAsia="SimSun" w:hint="eastAsia"/>
          <w:u w:val="single"/>
          <w:lang w:val="en-US" w:eastAsia="zh-CN"/>
        </w:rPr>
        <w:t xml:space="preserve"> other than any</w:t>
      </w:r>
      <w:r w:rsidR="004D7EF2" w:rsidRPr="005360B5">
        <w:rPr>
          <w:rFonts w:eastAsia="SimSun"/>
          <w:u w:val="single"/>
          <w:lang w:val="en-US" w:eastAsia="zh-CN"/>
        </w:rPr>
        <w:t xml:space="preserve"> </w:t>
      </w:r>
      <w:r w:rsidRPr="005360B5">
        <w:rPr>
          <w:rFonts w:eastAsia="SimSun" w:hint="eastAsia"/>
          <w:u w:val="single"/>
          <w:lang w:val="en-US" w:eastAsia="zh-CN"/>
        </w:rPr>
        <w:t>other classes</w:t>
      </w:r>
      <w:r w:rsidRPr="005360B5">
        <w:rPr>
          <w:rFonts w:eastAsia="SimSun" w:hint="eastAsia"/>
          <w:color w:val="000000"/>
          <w:u w:val="single"/>
          <w:lang w:val="en-US" w:eastAsia="zh-CN"/>
        </w:rPr>
        <w:t xml:space="preserve">. If </w:t>
      </w:r>
      <w:r w:rsidRPr="005360B5">
        <w:rPr>
          <w:rFonts w:eastAsia="SimSun" w:hint="eastAsia"/>
          <w:u w:val="single"/>
          <w:lang w:val="en-US" w:eastAsia="zh-CN"/>
        </w:rPr>
        <w:t xml:space="preserve">the battery is not </w:t>
      </w:r>
      <w:r w:rsidR="004D7EF2" w:rsidRPr="005360B5">
        <w:rPr>
          <w:rFonts w:eastAsia="SimSun"/>
          <w:u w:val="single"/>
          <w:lang w:val="en-US" w:eastAsia="zh-CN"/>
        </w:rPr>
        <w:t>charged, the</w:t>
      </w:r>
      <w:r w:rsidRPr="005360B5">
        <w:rPr>
          <w:rFonts w:eastAsia="SimSun" w:hint="eastAsia"/>
          <w:u w:val="single"/>
          <w:lang w:val="en-US" w:eastAsia="zh-CN"/>
        </w:rPr>
        <w:t xml:space="preserve"> protection against short circuit is not needed. I</w:t>
      </w:r>
      <w:r w:rsidRPr="005360B5">
        <w:rPr>
          <w:rFonts w:eastAsia="SimSun" w:hint="eastAsia"/>
          <w:color w:val="000000"/>
          <w:u w:val="single"/>
          <w:lang w:val="en-US" w:eastAsia="zh-CN"/>
        </w:rPr>
        <w:t xml:space="preserve">f the battery is constructed and designed so that the receptacles containing the dangerous goods are afforded adequate protection, an outer packaging is not required. The stacking on the battery is </w:t>
      </w:r>
      <w:r w:rsidR="004D7EF2" w:rsidRPr="005360B5">
        <w:rPr>
          <w:rFonts w:eastAsia="SimSun"/>
          <w:color w:val="000000"/>
          <w:u w:val="single"/>
          <w:lang w:val="en-US" w:eastAsia="zh-CN"/>
        </w:rPr>
        <w:t>forbidden</w:t>
      </w:r>
      <w:r w:rsidRPr="005360B5">
        <w:rPr>
          <w:rFonts w:eastAsia="SimSun" w:hint="eastAsia"/>
          <w:color w:val="000000"/>
          <w:u w:val="single"/>
          <w:lang w:val="en-US" w:eastAsia="zh-CN"/>
        </w:rPr>
        <w:t xml:space="preserve">. </w:t>
      </w:r>
    </w:p>
    <w:p w14:paraId="6BE7C5B0" w14:textId="77777777" w:rsidR="0018224E" w:rsidRDefault="00C41BFB">
      <w:pPr>
        <w:pStyle w:val="SingleTxtG"/>
        <w:rPr>
          <w:rFonts w:eastAsia="SimSun"/>
          <w:color w:val="000000"/>
          <w:lang w:val="en-US" w:eastAsia="zh-CN"/>
        </w:rPr>
      </w:pPr>
      <w:r>
        <w:rPr>
          <w:rFonts w:eastAsia="SimSun"/>
          <w:color w:val="000000"/>
          <w:lang w:val="en-US" w:eastAsia="zh-CN"/>
        </w:rPr>
        <w:tab/>
      </w:r>
      <w:r>
        <w:rPr>
          <w:rFonts w:eastAsia="SimSun"/>
          <w:color w:val="000000"/>
          <w:lang w:val="en-US" w:eastAsia="zh-CN"/>
        </w:rPr>
        <w:tab/>
      </w:r>
      <w:r w:rsidR="00E913CE">
        <w:rPr>
          <w:rFonts w:eastAsia="SimSun" w:hint="eastAsia"/>
          <w:color w:val="000000"/>
          <w:lang w:val="en-US" w:eastAsia="zh-CN"/>
        </w:rPr>
        <w:t>or</w:t>
      </w:r>
    </w:p>
    <w:p w14:paraId="3597D8B7" w14:textId="77777777" w:rsidR="0018224E" w:rsidRDefault="00C41BFB" w:rsidP="00C41BFB">
      <w:pPr>
        <w:pStyle w:val="SingleTxtG"/>
        <w:tabs>
          <w:tab w:val="left" w:pos="1701"/>
        </w:tabs>
        <w:rPr>
          <w:rFonts w:eastAsia="SimSun"/>
          <w:color w:val="000000"/>
          <w:lang w:val="en-US" w:eastAsia="zh-CN"/>
        </w:rPr>
      </w:pPr>
      <w:r>
        <w:rPr>
          <w:lang w:val="en-US" w:eastAsia="zh-CN"/>
        </w:rPr>
        <w:t>13.</w:t>
      </w:r>
      <w:r>
        <w:rPr>
          <w:lang w:val="en-US" w:eastAsia="zh-CN"/>
        </w:rPr>
        <w:tab/>
      </w:r>
      <w:r w:rsidR="00E913CE">
        <w:rPr>
          <w:rFonts w:hint="eastAsia"/>
          <w:lang w:val="en-US" w:eastAsia="zh-CN"/>
        </w:rPr>
        <w:t>Option2:</w:t>
      </w:r>
      <w:r w:rsidR="00E913CE">
        <w:rPr>
          <w:lang w:val="en-US"/>
        </w:rPr>
        <w:tab/>
      </w:r>
    </w:p>
    <w:p w14:paraId="1D61ADFD" w14:textId="77777777" w:rsidR="005360B5" w:rsidRDefault="005360B5" w:rsidP="00C41BFB">
      <w:pPr>
        <w:pStyle w:val="SingleTxtG"/>
        <w:tabs>
          <w:tab w:val="left" w:pos="1701"/>
        </w:tabs>
        <w:ind w:left="1701"/>
        <w:rPr>
          <w:rFonts w:eastAsia="SimSun"/>
          <w:color w:val="000000"/>
          <w:lang w:val="en-US" w:eastAsia="zh-CN"/>
        </w:rPr>
      </w:pPr>
      <w:r>
        <w:rPr>
          <w:rFonts w:eastAsia="SimSun" w:hint="eastAsia"/>
          <w:color w:val="000000"/>
          <w:lang w:val="en-US" w:eastAsia="zh-CN"/>
        </w:rPr>
        <w:t xml:space="preserve">Add a sentence </w:t>
      </w:r>
      <w:r w:rsidR="00492DAF">
        <w:rPr>
          <w:rFonts w:eastAsia="SimSun"/>
          <w:color w:val="000000"/>
          <w:lang w:val="en-US" w:eastAsia="zh-CN"/>
        </w:rPr>
        <w:t>in the end of</w:t>
      </w:r>
      <w:r>
        <w:rPr>
          <w:rFonts w:eastAsia="SimSun" w:hint="eastAsia"/>
          <w:color w:val="000000"/>
          <w:lang w:val="en-US" w:eastAsia="zh-CN"/>
        </w:rPr>
        <w:t xml:space="preserve"> LP03, as follows:</w:t>
      </w:r>
    </w:p>
    <w:tbl>
      <w:tblPr>
        <w:tblStyle w:val="TableGrid"/>
        <w:tblW w:w="0" w:type="auto"/>
        <w:tblInd w:w="1095" w:type="dxa"/>
        <w:tblCellMar>
          <w:left w:w="108" w:type="dxa"/>
          <w:right w:w="108" w:type="dxa"/>
        </w:tblCellMar>
        <w:tblLook w:val="04A0" w:firstRow="1" w:lastRow="0" w:firstColumn="1" w:lastColumn="0" w:noHBand="0" w:noVBand="1"/>
      </w:tblPr>
      <w:tblGrid>
        <w:gridCol w:w="7680"/>
      </w:tblGrid>
      <w:tr w:rsidR="005360B5" w14:paraId="424D5918" w14:textId="77777777" w:rsidTr="00C157CD">
        <w:tc>
          <w:tcPr>
            <w:tcW w:w="7680" w:type="dxa"/>
          </w:tcPr>
          <w:p w14:paraId="475C7DA7" w14:textId="77777777" w:rsidR="005360B5" w:rsidRDefault="005360B5" w:rsidP="00C6094C">
            <w:pPr>
              <w:pStyle w:val="SingleTxtG"/>
              <w:tabs>
                <w:tab w:val="left" w:pos="1701"/>
              </w:tabs>
              <w:ind w:left="0" w:right="0"/>
              <w:rPr>
                <w:rFonts w:eastAsia="SimSun"/>
                <w:color w:val="000000"/>
                <w:lang w:val="en-US" w:eastAsia="zh-CN"/>
              </w:rPr>
            </w:pPr>
            <w:r>
              <w:rPr>
                <w:rFonts w:eastAsia="SimSun" w:hint="eastAsia"/>
                <w:color w:val="000000"/>
                <w:lang w:val="en-US" w:eastAsia="zh-CN"/>
              </w:rPr>
              <w:t xml:space="preserve">LP03                      </w:t>
            </w:r>
            <w:r w:rsidR="00C6094C">
              <w:rPr>
                <w:rFonts w:eastAsia="SimSun"/>
                <w:color w:val="000000"/>
                <w:lang w:val="en-US" w:eastAsia="zh-CN"/>
              </w:rPr>
              <w:t xml:space="preserve">           </w:t>
            </w:r>
            <w:r>
              <w:rPr>
                <w:rFonts w:eastAsia="SimSun" w:hint="eastAsia"/>
                <w:color w:val="000000"/>
                <w:lang w:val="en-US" w:eastAsia="zh-CN"/>
              </w:rPr>
              <w:t xml:space="preserve"> PACKING INSTRUCTION                                       LP03</w:t>
            </w:r>
          </w:p>
        </w:tc>
      </w:tr>
      <w:tr w:rsidR="005360B5" w14:paraId="6EFC4733" w14:textId="77777777" w:rsidTr="00C157CD">
        <w:tc>
          <w:tcPr>
            <w:tcW w:w="7680" w:type="dxa"/>
          </w:tcPr>
          <w:p w14:paraId="2C5FB700" w14:textId="77777777" w:rsidR="005360B5" w:rsidRDefault="005360B5" w:rsidP="005360B5">
            <w:pPr>
              <w:pStyle w:val="SingleTxtG"/>
              <w:tabs>
                <w:tab w:val="left" w:pos="1701"/>
              </w:tabs>
              <w:ind w:left="0" w:right="0"/>
              <w:jc w:val="left"/>
              <w:rPr>
                <w:rFonts w:eastAsia="SimSun"/>
                <w:color w:val="000000"/>
                <w:lang w:val="en-US" w:eastAsia="zh-CN"/>
              </w:rPr>
            </w:pPr>
            <w:r>
              <w:rPr>
                <w:rFonts w:eastAsia="SimSun" w:hint="eastAsia"/>
                <w:color w:val="000000"/>
                <w:lang w:val="en-US" w:eastAsia="zh-CN"/>
              </w:rPr>
              <w:t>This instruction applies to UN Nos. 3537, 3538, 3540, 3541, 3546, 3547 and 3548.</w:t>
            </w:r>
          </w:p>
        </w:tc>
      </w:tr>
      <w:tr w:rsidR="005360B5" w14:paraId="059152B5" w14:textId="77777777" w:rsidTr="00C157CD">
        <w:tc>
          <w:tcPr>
            <w:tcW w:w="7680" w:type="dxa"/>
          </w:tcPr>
          <w:p w14:paraId="5F446550"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 xml:space="preserve">(1) The following large </w:t>
            </w:r>
            <w:proofErr w:type="spellStart"/>
            <w:r>
              <w:rPr>
                <w:rFonts w:eastAsia="SimSun" w:hint="eastAsia"/>
                <w:color w:val="000000"/>
                <w:lang w:val="en-US" w:eastAsia="zh-CN"/>
              </w:rPr>
              <w:t>packagings</w:t>
            </w:r>
            <w:proofErr w:type="spellEnd"/>
            <w:r>
              <w:rPr>
                <w:rFonts w:eastAsia="SimSun" w:hint="eastAsia"/>
                <w:color w:val="000000"/>
                <w:lang w:val="en-US" w:eastAsia="zh-CN"/>
              </w:rPr>
              <w:t xml:space="preserve"> are authorized, provided that the general provisions of 4.1.1 and 4.1.3 are met:</w:t>
            </w:r>
          </w:p>
          <w:p w14:paraId="5DEF9C95"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 xml:space="preserve">Rigid large </w:t>
            </w:r>
            <w:proofErr w:type="spellStart"/>
            <w:r>
              <w:rPr>
                <w:rFonts w:eastAsia="SimSun" w:hint="eastAsia"/>
                <w:color w:val="000000"/>
                <w:lang w:val="en-US" w:eastAsia="zh-CN"/>
              </w:rPr>
              <w:t>packagings</w:t>
            </w:r>
            <w:proofErr w:type="spellEnd"/>
            <w:r>
              <w:rPr>
                <w:rFonts w:eastAsia="SimSun" w:hint="eastAsia"/>
                <w:color w:val="000000"/>
                <w:lang w:val="en-US" w:eastAsia="zh-CN"/>
              </w:rPr>
              <w:t xml:space="preserve"> conforming to the packing group II performance level made of:</w:t>
            </w:r>
          </w:p>
          <w:p w14:paraId="4C56D6E5" w14:textId="77777777" w:rsidR="005360B5" w:rsidRDefault="005360B5" w:rsidP="005360B5">
            <w:pPr>
              <w:pStyle w:val="SingleTxtG"/>
              <w:tabs>
                <w:tab w:val="left" w:pos="1701"/>
              </w:tabs>
              <w:ind w:left="0" w:right="0" w:firstLineChars="200" w:firstLine="400"/>
              <w:rPr>
                <w:rFonts w:eastAsia="SimSun"/>
                <w:color w:val="000000"/>
                <w:lang w:val="en-US" w:eastAsia="zh-CN"/>
              </w:rPr>
            </w:pPr>
            <w:r>
              <w:rPr>
                <w:rFonts w:eastAsia="SimSun" w:hint="eastAsia"/>
                <w:color w:val="000000"/>
                <w:lang w:val="en-US" w:eastAsia="zh-CN"/>
              </w:rPr>
              <w:t>steel (50A);</w:t>
            </w:r>
          </w:p>
          <w:p w14:paraId="3A7EF612" w14:textId="77777777" w:rsidR="005360B5" w:rsidRDefault="005360B5" w:rsidP="005360B5">
            <w:pPr>
              <w:pStyle w:val="SingleTxtG"/>
              <w:tabs>
                <w:tab w:val="left" w:pos="1701"/>
              </w:tabs>
              <w:ind w:left="0" w:right="0" w:firstLineChars="200" w:firstLine="400"/>
              <w:rPr>
                <w:rFonts w:eastAsia="SimSun"/>
                <w:color w:val="000000"/>
                <w:lang w:val="en-US" w:eastAsia="zh-CN"/>
              </w:rPr>
            </w:pPr>
            <w:proofErr w:type="spellStart"/>
            <w:r>
              <w:rPr>
                <w:rFonts w:eastAsia="SimSun" w:hint="eastAsia"/>
                <w:color w:val="000000"/>
                <w:lang w:val="en-US" w:eastAsia="zh-CN"/>
              </w:rPr>
              <w:t>aluminium</w:t>
            </w:r>
            <w:proofErr w:type="spellEnd"/>
            <w:r>
              <w:rPr>
                <w:rFonts w:eastAsia="SimSun" w:hint="eastAsia"/>
                <w:color w:val="000000"/>
                <w:lang w:val="en-US" w:eastAsia="zh-CN"/>
              </w:rPr>
              <w:t xml:space="preserve"> (50B);</w:t>
            </w:r>
          </w:p>
          <w:p w14:paraId="33B2D314" w14:textId="77777777" w:rsidR="005360B5" w:rsidRDefault="005360B5" w:rsidP="005360B5">
            <w:pPr>
              <w:pStyle w:val="SingleTxtG"/>
              <w:tabs>
                <w:tab w:val="left" w:pos="1701"/>
              </w:tabs>
              <w:ind w:left="0" w:right="0" w:firstLineChars="200" w:firstLine="400"/>
              <w:rPr>
                <w:rFonts w:eastAsia="SimSun"/>
                <w:color w:val="000000"/>
                <w:lang w:val="en-US" w:eastAsia="zh-CN"/>
              </w:rPr>
            </w:pPr>
            <w:r>
              <w:rPr>
                <w:rFonts w:eastAsia="SimSun" w:hint="eastAsia"/>
                <w:color w:val="000000"/>
                <w:lang w:val="en-US" w:eastAsia="zh-CN"/>
              </w:rPr>
              <w:t xml:space="preserve">metal other than steel or </w:t>
            </w:r>
            <w:proofErr w:type="spellStart"/>
            <w:r>
              <w:rPr>
                <w:rFonts w:eastAsia="SimSun" w:hint="eastAsia"/>
                <w:color w:val="000000"/>
                <w:lang w:val="en-US" w:eastAsia="zh-CN"/>
              </w:rPr>
              <w:t>aluminium</w:t>
            </w:r>
            <w:proofErr w:type="spellEnd"/>
            <w:r>
              <w:rPr>
                <w:rFonts w:eastAsia="SimSun" w:hint="eastAsia"/>
                <w:color w:val="000000"/>
                <w:lang w:val="en-US" w:eastAsia="zh-CN"/>
              </w:rPr>
              <w:t xml:space="preserve"> (50N);</w:t>
            </w:r>
          </w:p>
          <w:p w14:paraId="6E586521" w14:textId="77777777" w:rsidR="005360B5" w:rsidRDefault="005360B5" w:rsidP="005360B5">
            <w:pPr>
              <w:pStyle w:val="SingleTxtG"/>
              <w:tabs>
                <w:tab w:val="left" w:pos="1701"/>
              </w:tabs>
              <w:ind w:left="0" w:right="0" w:firstLineChars="200" w:firstLine="400"/>
              <w:rPr>
                <w:rFonts w:eastAsia="SimSun"/>
                <w:color w:val="000000"/>
                <w:lang w:val="en-US" w:eastAsia="zh-CN"/>
              </w:rPr>
            </w:pPr>
            <w:r>
              <w:rPr>
                <w:rFonts w:eastAsia="SimSun" w:hint="eastAsia"/>
                <w:color w:val="000000"/>
                <w:lang w:val="en-US" w:eastAsia="zh-CN"/>
              </w:rPr>
              <w:t>rigid plastics (50H);</w:t>
            </w:r>
          </w:p>
          <w:p w14:paraId="502C8C09" w14:textId="77777777" w:rsidR="005360B5" w:rsidRDefault="005360B5" w:rsidP="005360B5">
            <w:pPr>
              <w:pStyle w:val="SingleTxtG"/>
              <w:tabs>
                <w:tab w:val="left" w:pos="1701"/>
              </w:tabs>
              <w:ind w:left="0" w:right="0" w:firstLineChars="200" w:firstLine="400"/>
              <w:rPr>
                <w:rFonts w:eastAsia="SimSun"/>
                <w:color w:val="000000"/>
                <w:lang w:val="en-US" w:eastAsia="zh-CN"/>
              </w:rPr>
            </w:pPr>
            <w:r>
              <w:rPr>
                <w:rFonts w:eastAsia="SimSun" w:hint="eastAsia"/>
                <w:color w:val="000000"/>
                <w:lang w:val="en-US" w:eastAsia="zh-CN"/>
              </w:rPr>
              <w:t>natural wood (50C);</w:t>
            </w:r>
          </w:p>
          <w:p w14:paraId="58052895" w14:textId="77777777" w:rsidR="005360B5" w:rsidRDefault="005360B5" w:rsidP="005360B5">
            <w:pPr>
              <w:pStyle w:val="SingleTxtG"/>
              <w:tabs>
                <w:tab w:val="left" w:pos="1701"/>
              </w:tabs>
              <w:ind w:left="0" w:right="0" w:firstLineChars="200" w:firstLine="400"/>
              <w:rPr>
                <w:rFonts w:eastAsia="SimSun"/>
                <w:color w:val="000000"/>
                <w:lang w:val="en-US" w:eastAsia="zh-CN"/>
              </w:rPr>
            </w:pPr>
            <w:r>
              <w:rPr>
                <w:rFonts w:eastAsia="SimSun" w:hint="eastAsia"/>
                <w:color w:val="000000"/>
                <w:lang w:val="en-US" w:eastAsia="zh-CN"/>
              </w:rPr>
              <w:t>plywood (50D);</w:t>
            </w:r>
          </w:p>
          <w:p w14:paraId="58F2CADF" w14:textId="77777777" w:rsidR="005360B5" w:rsidRDefault="005360B5" w:rsidP="005360B5">
            <w:pPr>
              <w:pStyle w:val="SingleTxtG"/>
              <w:tabs>
                <w:tab w:val="left" w:pos="1701"/>
              </w:tabs>
              <w:ind w:left="0" w:right="0" w:firstLineChars="200" w:firstLine="400"/>
              <w:rPr>
                <w:rFonts w:eastAsia="SimSun"/>
                <w:color w:val="000000"/>
                <w:lang w:val="en-US" w:eastAsia="zh-CN"/>
              </w:rPr>
            </w:pPr>
            <w:r>
              <w:rPr>
                <w:rFonts w:eastAsia="SimSun" w:hint="eastAsia"/>
                <w:color w:val="000000"/>
                <w:lang w:val="en-US" w:eastAsia="zh-CN"/>
              </w:rPr>
              <w:lastRenderedPageBreak/>
              <w:t>reconstituted wood (50F);</w:t>
            </w:r>
          </w:p>
          <w:p w14:paraId="755DB8AE" w14:textId="77777777" w:rsidR="005360B5" w:rsidRDefault="005360B5" w:rsidP="005360B5">
            <w:pPr>
              <w:pStyle w:val="SingleTxtG"/>
              <w:tabs>
                <w:tab w:val="left" w:pos="1701"/>
              </w:tabs>
              <w:ind w:left="0" w:right="0" w:firstLineChars="200" w:firstLine="400"/>
              <w:rPr>
                <w:rFonts w:eastAsia="SimSun"/>
                <w:color w:val="000000"/>
                <w:lang w:val="en-US" w:eastAsia="zh-CN"/>
              </w:rPr>
            </w:pPr>
            <w:r>
              <w:rPr>
                <w:rFonts w:eastAsia="SimSun" w:hint="eastAsia"/>
                <w:color w:val="000000"/>
                <w:lang w:val="en-US" w:eastAsia="zh-CN"/>
              </w:rPr>
              <w:t xml:space="preserve">rigid </w:t>
            </w:r>
            <w:r>
              <w:rPr>
                <w:rFonts w:eastAsia="SimSun"/>
                <w:color w:val="000000"/>
                <w:lang w:val="en-US" w:eastAsia="zh-CN"/>
              </w:rPr>
              <w:t>fiberboard</w:t>
            </w:r>
            <w:r>
              <w:rPr>
                <w:rFonts w:eastAsia="SimSun" w:hint="eastAsia"/>
                <w:color w:val="000000"/>
                <w:lang w:val="en-US" w:eastAsia="zh-CN"/>
              </w:rPr>
              <w:t xml:space="preserve"> (50G).</w:t>
            </w:r>
          </w:p>
          <w:p w14:paraId="2782EC17"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(2) Additionally, the following conditions shall be met:</w:t>
            </w:r>
          </w:p>
          <w:p w14:paraId="64A7F204"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(a) Receptacles within articles containing liquids or solids shall be constructed of suitable materials and secured in the article in such a way that, under normal conditions of transport, they cannot break, be punctured or leak their contents into the article itself or the outer packaging;</w:t>
            </w:r>
          </w:p>
          <w:p w14:paraId="19FC5E1E"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(b) Receptacles containing liquids with closures shall be packed with their closures correctly oriented. The receptacles shall in addition conform to the internal pressure test provisions of 6.1.5.5;</w:t>
            </w:r>
          </w:p>
          <w:p w14:paraId="01B37680"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(c) Receptacles that are liable to break or be punctured easily, such as those made of glass, porcelain or stoneware or of certain plastics materials shall be properly secured. Any leakage of the contents shall not substantially impair the protective properties of the article or of the outer packaging;</w:t>
            </w:r>
          </w:p>
          <w:p w14:paraId="5CD5B88E"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(d) Receptacles within articles containing gases shall meet the requirements of Section 4.1.6 and Chapter 6.2 as appropriate or be capable of providing an equivalent level of protection as packing instructions P200 or P208; and</w:t>
            </w:r>
          </w:p>
          <w:p w14:paraId="0E16184D"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(e) Where there is no receptacle within the article, the article shall fully enclose the dangerous substances and prevent their release under normal conditions of transport.</w:t>
            </w:r>
          </w:p>
          <w:p w14:paraId="00AEFDFF"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lang w:val="en-US" w:eastAsia="zh-CN"/>
              </w:rPr>
              <w:t>(3) Articles shall be packed to prevent movement and inadvertent operation during normal conditions of transport.</w:t>
            </w:r>
          </w:p>
          <w:p w14:paraId="5452BFB5" w14:textId="77777777" w:rsidR="005360B5" w:rsidRDefault="005360B5" w:rsidP="005360B5">
            <w:pPr>
              <w:pStyle w:val="SingleTxtG"/>
              <w:tabs>
                <w:tab w:val="left" w:pos="1701"/>
              </w:tabs>
              <w:ind w:left="0" w:right="0"/>
              <w:rPr>
                <w:rFonts w:eastAsia="SimSun"/>
                <w:color w:val="000000"/>
                <w:lang w:val="en-US" w:eastAsia="zh-CN"/>
              </w:rPr>
            </w:pPr>
            <w:r>
              <w:rPr>
                <w:rFonts w:eastAsia="SimSun" w:hint="eastAsia"/>
                <w:color w:val="000000"/>
                <w:u w:val="single"/>
                <w:lang w:val="en-US" w:eastAsia="zh-CN"/>
              </w:rPr>
              <w:t xml:space="preserve">(4) Articles may be transported unpackaged or on pallets when the dangerous goods are </w:t>
            </w:r>
            <w:r>
              <w:rPr>
                <w:rFonts w:eastAsia="SimSun"/>
                <w:color w:val="000000"/>
                <w:u w:val="single"/>
                <w:lang w:val="en-US" w:eastAsia="zh-CN"/>
              </w:rPr>
              <w:t>afforded</w:t>
            </w:r>
            <w:r>
              <w:rPr>
                <w:rFonts w:eastAsia="SimSun" w:hint="eastAsia"/>
                <w:color w:val="000000"/>
                <w:u w:val="single"/>
                <w:lang w:val="en-US" w:eastAsia="zh-CN"/>
              </w:rPr>
              <w:t xml:space="preserve"> equivalent protection to that provided by chapter 6.6 by the article in which they are contained.</w:t>
            </w:r>
          </w:p>
        </w:tc>
      </w:tr>
    </w:tbl>
    <w:p w14:paraId="331EA16D" w14:textId="77777777" w:rsidR="0018224E" w:rsidRDefault="00E913CE">
      <w:pPr>
        <w:spacing w:before="240"/>
        <w:jc w:val="center"/>
        <w:rPr>
          <w:u w:val="single"/>
          <w:lang w:eastAsia="zh-CN"/>
        </w:rPr>
      </w:pPr>
      <w:r>
        <w:rPr>
          <w:u w:val="single"/>
          <w:lang w:eastAsia="zh-CN"/>
        </w:rPr>
        <w:lastRenderedPageBreak/>
        <w:tab/>
      </w:r>
      <w:r>
        <w:rPr>
          <w:u w:val="single"/>
          <w:lang w:eastAsia="zh-CN"/>
        </w:rPr>
        <w:tab/>
      </w:r>
      <w:r>
        <w:rPr>
          <w:u w:val="single"/>
          <w:lang w:eastAsia="zh-CN"/>
        </w:rPr>
        <w:tab/>
      </w:r>
    </w:p>
    <w:p w14:paraId="3923AADD" w14:textId="77777777" w:rsidR="0018224E" w:rsidRPr="001A49B2" w:rsidRDefault="0018224E">
      <w:pPr>
        <w:pStyle w:val="SingleTxtG"/>
        <w:rPr>
          <w:u w:val="single"/>
          <w:lang w:val="en-US"/>
        </w:rPr>
      </w:pPr>
    </w:p>
    <w:p w14:paraId="285EB914" w14:textId="77777777" w:rsidR="0018224E" w:rsidRPr="001A49B2" w:rsidRDefault="0018224E">
      <w:pPr>
        <w:rPr>
          <w:lang w:val="en-US"/>
        </w:rPr>
      </w:pPr>
    </w:p>
    <w:sectPr w:rsidR="0018224E" w:rsidRPr="001A49B2">
      <w:headerReference w:type="even" r:id="rId12"/>
      <w:headerReference w:type="default" r:id="rId13"/>
      <w:footerReference w:type="even" r:id="rId14"/>
      <w:footerReference w:type="default" r:id="rId15"/>
      <w:pgSz w:w="11906" w:h="16838"/>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028CC" w14:textId="77777777" w:rsidR="00E913CE" w:rsidRDefault="00E913CE"/>
  </w:endnote>
  <w:endnote w:type="continuationSeparator" w:id="0">
    <w:p w14:paraId="65F627BB" w14:textId="77777777" w:rsidR="00E913CE" w:rsidRDefault="00E9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default"/>
    <w:sig w:usb0="00000000" w:usb1="00000000" w:usb2="00000000" w:usb3="00000000" w:csb0="00000001" w:csb1="00000000"/>
  </w:font>
  <w:font w:name="Times Roman">
    <w:altName w:val="Times New Roman"/>
    <w:charset w:val="00"/>
    <w:family w:val="roman"/>
    <w:pitch w:val="default"/>
    <w:sig w:usb0="00000000"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E2D6" w14:textId="77777777" w:rsidR="0018224E" w:rsidRDefault="00E913CE">
    <w:pPr>
      <w:pStyle w:val="Footer"/>
      <w:rPr>
        <w:rStyle w:val="PageNumber"/>
        <w:sz w:val="20"/>
        <w:szCs w:val="22"/>
      </w:rPr>
    </w:pPr>
    <w:r>
      <w:rPr>
        <w:rStyle w:val="PageNumber"/>
        <w:sz w:val="20"/>
        <w:szCs w:val="22"/>
      </w:rPr>
      <w:fldChar w:fldCharType="begin"/>
    </w:r>
    <w:r>
      <w:rPr>
        <w:rStyle w:val="PageNumber"/>
        <w:sz w:val="20"/>
        <w:szCs w:val="22"/>
      </w:rPr>
      <w:instrText xml:space="preserve"> PAGE  \* MERGEFORMAT </w:instrText>
    </w:r>
    <w:r>
      <w:rPr>
        <w:rStyle w:val="PageNumber"/>
        <w:sz w:val="20"/>
        <w:szCs w:val="22"/>
      </w:rPr>
      <w:fldChar w:fldCharType="separate"/>
    </w:r>
    <w:r w:rsidR="00C6094C">
      <w:rPr>
        <w:rStyle w:val="PageNumber"/>
        <w:noProof/>
        <w:sz w:val="20"/>
        <w:szCs w:val="22"/>
      </w:rPr>
      <w:t>4</w:t>
    </w:r>
    <w:r>
      <w:rPr>
        <w:rStyle w:val="PageNumber"/>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2BAE" w14:textId="77777777" w:rsidR="0018224E" w:rsidRDefault="00E913C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C6094C">
      <w:rPr>
        <w:b/>
        <w:noProof/>
        <w:sz w:val="18"/>
      </w:rPr>
      <w:t>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C9D41" w14:textId="77777777" w:rsidR="00E913CE" w:rsidRDefault="00E913CE"/>
  </w:footnote>
  <w:footnote w:type="continuationSeparator" w:id="0">
    <w:p w14:paraId="7915770B" w14:textId="77777777" w:rsidR="00E913CE" w:rsidRDefault="00E9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3FD7" w14:textId="77777777" w:rsidR="0018224E" w:rsidRDefault="00E913CE">
    <w:pPr>
      <w:pStyle w:val="Header"/>
      <w:rPr>
        <w:lang w:val="nl-NL"/>
      </w:rPr>
    </w:pPr>
    <w:r>
      <w:rPr>
        <w:lang w:val="nl-NL"/>
      </w:rPr>
      <w:t>UN/SCETDG/5</w:t>
    </w:r>
    <w:r>
      <w:rPr>
        <w:rFonts w:eastAsia="SimSun" w:hint="eastAsia"/>
        <w:lang w:val="en-US" w:eastAsia="zh-CN"/>
      </w:rPr>
      <w:t>6</w:t>
    </w:r>
    <w:r>
      <w:rPr>
        <w:lang w:val="nl-NL"/>
      </w:rPr>
      <w:t>/INF.</w:t>
    </w:r>
    <w:r w:rsidR="00C41BFB">
      <w:rPr>
        <w:rFonts w:eastAsia="SimSun"/>
        <w:color w:val="000000"/>
        <w:sz w:val="20"/>
        <w:lang w:val="en-US" w:eastAsia="zh-CN"/>
      </w:rPr>
      <w:t>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9596" w14:textId="77777777" w:rsidR="0018224E" w:rsidRDefault="00E913CE">
    <w:pPr>
      <w:pStyle w:val="Header"/>
      <w:jc w:val="right"/>
    </w:pPr>
    <w:r>
      <w:rPr>
        <w:lang w:val="nl-NL"/>
      </w:rPr>
      <w:t>UN/SCETDG/5</w:t>
    </w:r>
    <w:r>
      <w:rPr>
        <w:rFonts w:eastAsia="SimSun" w:hint="eastAsia"/>
        <w:lang w:val="en-US" w:eastAsia="zh-CN"/>
      </w:rPr>
      <w:t>6</w:t>
    </w:r>
    <w:r>
      <w:rPr>
        <w:lang w:val="nl-NL"/>
      </w:rPr>
      <w:t>/INF.</w:t>
    </w:r>
    <w:r w:rsidR="00C41BFB">
      <w:rPr>
        <w:rFonts w:eastAsia="SimSun"/>
        <w:color w:val="000000"/>
        <w:sz w:val="20"/>
        <w:lang w:val="en-US" w:eastAsia="zh-CN"/>
      </w:rP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ListNumber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10" w15:restartNumberingAfterBreak="0">
    <w:nsid w:val="30B3A38F"/>
    <w:multiLevelType w:val="singleLevel"/>
    <w:tmpl w:val="30B3A38F"/>
    <w:lvl w:ilvl="0">
      <w:start w:val="4"/>
      <w:numFmt w:val="decimal"/>
      <w:suff w:val="space"/>
      <w:lvlText w:val="(%1)"/>
      <w:lvlJc w:val="left"/>
    </w:lvl>
  </w:abstractNum>
  <w:abstractNum w:abstractNumId="11" w15:restartNumberingAfterBreak="0">
    <w:nsid w:val="65925DC1"/>
    <w:multiLevelType w:val="multilevel"/>
    <w:tmpl w:val="65925DC1"/>
    <w:lvl w:ilvl="0">
      <w:start w:val="1"/>
      <w:numFmt w:val="bullet"/>
      <w:pStyle w:val="Bullet1G"/>
      <w:lvlText w:val="•"/>
      <w:lvlJc w:val="left"/>
      <w:pPr>
        <w:tabs>
          <w:tab w:val="left" w:pos="1701"/>
        </w:tabs>
        <w:ind w:left="1701" w:hanging="170"/>
      </w:pPr>
      <w:rPr>
        <w:rFonts w:ascii="Times New Roman" w:hAnsi="Times New Roman" w:cs="Times New Roman" w:hint="default"/>
        <w:b w:val="0"/>
        <w:i w:val="0"/>
        <w:sz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735F448C"/>
    <w:multiLevelType w:val="multilevel"/>
    <w:tmpl w:val="735F448C"/>
    <w:lvl w:ilvl="0">
      <w:start w:val="1"/>
      <w:numFmt w:val="decimal"/>
      <w:lvlText w:val="%1."/>
      <w:lvlJc w:val="left"/>
      <w:pPr>
        <w:ind w:left="1854" w:hanging="360"/>
      </w:pPr>
    </w:lvl>
    <w:lvl w:ilvl="1">
      <w:start w:val="1"/>
      <w:numFmt w:val="lowerLetter"/>
      <w:lvlText w:val="(%2)"/>
      <w:lvlJc w:val="left"/>
      <w:pPr>
        <w:ind w:left="2574" w:hanging="360"/>
      </w:pPr>
      <w:rPr>
        <w:rFonts w:hint="default"/>
      </w:rPr>
    </w:lvl>
    <w:lvl w:ilvl="2">
      <w:start w:val="2"/>
      <w:numFmt w:val="bullet"/>
      <w:lvlText w:val="-"/>
      <w:lvlJc w:val="left"/>
      <w:pPr>
        <w:ind w:left="3474" w:hanging="360"/>
      </w:pPr>
      <w:rPr>
        <w:rFonts w:ascii="Times New Roman" w:eastAsia="Times New Roman" w:hAnsi="Times New Roman" w:cs="Times New Roman" w:hint="default"/>
      </w:rPr>
    </w:lvl>
    <w:lvl w:ilvl="3">
      <w:start w:val="3"/>
      <w:numFmt w:val="lowerRoman"/>
      <w:lvlText w:val="(%4)"/>
      <w:lvlJc w:val="left"/>
      <w:pPr>
        <w:ind w:left="4374" w:hanging="720"/>
      </w:pPr>
      <w:rPr>
        <w:rFonts w:hint="default"/>
      </w:r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3" w15:restartNumberingAfterBreak="0">
    <w:nsid w:val="75E223DA"/>
    <w:multiLevelType w:val="multilevel"/>
    <w:tmpl w:val="75E223DA"/>
    <w:lvl w:ilvl="0">
      <w:start w:val="1"/>
      <w:numFmt w:val="bullet"/>
      <w:pStyle w:val="Bullet2G"/>
      <w:lvlText w:val="•"/>
      <w:lvlJc w:val="left"/>
      <w:pPr>
        <w:tabs>
          <w:tab w:val="left" w:pos="2268"/>
        </w:tabs>
        <w:ind w:left="2268" w:hanging="170"/>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0"/>
  <w:activeWritingStyle w:appName="MSWord" w:lang="zh-CN" w:vendorID="64" w:dllVersion="5" w:nlCheck="1" w:checkStyle="1"/>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oNotUseMarginsForDrawingGridOrigin/>
  <w:drawingGridHorizontalOrigin w:val="1800"/>
  <w:drawingGridVerticalOrigin w:val="144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016A"/>
    <w:rsid w:val="0003375D"/>
    <w:rsid w:val="00035DD6"/>
    <w:rsid w:val="00043180"/>
    <w:rsid w:val="00045F2A"/>
    <w:rsid w:val="000504CE"/>
    <w:rsid w:val="00050922"/>
    <w:rsid w:val="00050F6B"/>
    <w:rsid w:val="00053492"/>
    <w:rsid w:val="0005710C"/>
    <w:rsid w:val="000615EE"/>
    <w:rsid w:val="00064402"/>
    <w:rsid w:val="00067E6D"/>
    <w:rsid w:val="00070183"/>
    <w:rsid w:val="00072C8C"/>
    <w:rsid w:val="00073129"/>
    <w:rsid w:val="00075F99"/>
    <w:rsid w:val="00076A0A"/>
    <w:rsid w:val="00082CE1"/>
    <w:rsid w:val="00083598"/>
    <w:rsid w:val="00084632"/>
    <w:rsid w:val="00087152"/>
    <w:rsid w:val="00091046"/>
    <w:rsid w:val="00091419"/>
    <w:rsid w:val="00091CB3"/>
    <w:rsid w:val="000931C0"/>
    <w:rsid w:val="000A14CA"/>
    <w:rsid w:val="000A2236"/>
    <w:rsid w:val="000A34FB"/>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0831"/>
    <w:rsid w:val="000F1113"/>
    <w:rsid w:val="000F52D6"/>
    <w:rsid w:val="000F649E"/>
    <w:rsid w:val="000F6A20"/>
    <w:rsid w:val="0010461A"/>
    <w:rsid w:val="00105589"/>
    <w:rsid w:val="00115303"/>
    <w:rsid w:val="00117787"/>
    <w:rsid w:val="00117D0D"/>
    <w:rsid w:val="00121EB7"/>
    <w:rsid w:val="00126A6E"/>
    <w:rsid w:val="00131B10"/>
    <w:rsid w:val="00131D42"/>
    <w:rsid w:val="00133C50"/>
    <w:rsid w:val="001406F4"/>
    <w:rsid w:val="00140F48"/>
    <w:rsid w:val="00162412"/>
    <w:rsid w:val="001633FB"/>
    <w:rsid w:val="00163A1B"/>
    <w:rsid w:val="0016408F"/>
    <w:rsid w:val="00165735"/>
    <w:rsid w:val="00167786"/>
    <w:rsid w:val="00174FCB"/>
    <w:rsid w:val="00180633"/>
    <w:rsid w:val="00181019"/>
    <w:rsid w:val="0018168F"/>
    <w:rsid w:val="0018224E"/>
    <w:rsid w:val="001835BF"/>
    <w:rsid w:val="00184B86"/>
    <w:rsid w:val="00195229"/>
    <w:rsid w:val="001A02A4"/>
    <w:rsid w:val="001A49B2"/>
    <w:rsid w:val="001A7113"/>
    <w:rsid w:val="001B35EE"/>
    <w:rsid w:val="001B4B04"/>
    <w:rsid w:val="001B6B72"/>
    <w:rsid w:val="001B6E30"/>
    <w:rsid w:val="001C429D"/>
    <w:rsid w:val="001C6663"/>
    <w:rsid w:val="001C7895"/>
    <w:rsid w:val="001D26DF"/>
    <w:rsid w:val="001D2B6E"/>
    <w:rsid w:val="001D2FDC"/>
    <w:rsid w:val="001D3123"/>
    <w:rsid w:val="001D3A88"/>
    <w:rsid w:val="001D49F7"/>
    <w:rsid w:val="001D4B2D"/>
    <w:rsid w:val="001D4E70"/>
    <w:rsid w:val="001D6B08"/>
    <w:rsid w:val="001E5978"/>
    <w:rsid w:val="001E797C"/>
    <w:rsid w:val="002062DE"/>
    <w:rsid w:val="00211B12"/>
    <w:rsid w:val="00211E0B"/>
    <w:rsid w:val="00212012"/>
    <w:rsid w:val="0021481D"/>
    <w:rsid w:val="00221589"/>
    <w:rsid w:val="00221AC2"/>
    <w:rsid w:val="00224CD9"/>
    <w:rsid w:val="002309A7"/>
    <w:rsid w:val="00235381"/>
    <w:rsid w:val="00237785"/>
    <w:rsid w:val="00241178"/>
    <w:rsid w:val="00241466"/>
    <w:rsid w:val="002440E7"/>
    <w:rsid w:val="00247570"/>
    <w:rsid w:val="002510FD"/>
    <w:rsid w:val="00257C1E"/>
    <w:rsid w:val="00261B71"/>
    <w:rsid w:val="002621F5"/>
    <w:rsid w:val="002622A9"/>
    <w:rsid w:val="002708B5"/>
    <w:rsid w:val="002725CA"/>
    <w:rsid w:val="00273A92"/>
    <w:rsid w:val="00277896"/>
    <w:rsid w:val="00280EB7"/>
    <w:rsid w:val="002913FD"/>
    <w:rsid w:val="00295C28"/>
    <w:rsid w:val="002976CF"/>
    <w:rsid w:val="002A0304"/>
    <w:rsid w:val="002A0BD2"/>
    <w:rsid w:val="002A5B17"/>
    <w:rsid w:val="002B067A"/>
    <w:rsid w:val="002B1514"/>
    <w:rsid w:val="002B1CDA"/>
    <w:rsid w:val="002C7F25"/>
    <w:rsid w:val="002D2DB8"/>
    <w:rsid w:val="002D51AC"/>
    <w:rsid w:val="002D5A85"/>
    <w:rsid w:val="002D5C7D"/>
    <w:rsid w:val="002E35BB"/>
    <w:rsid w:val="002F68FD"/>
    <w:rsid w:val="003107FA"/>
    <w:rsid w:val="00313AC2"/>
    <w:rsid w:val="00315D73"/>
    <w:rsid w:val="00316FF9"/>
    <w:rsid w:val="00321716"/>
    <w:rsid w:val="003229D8"/>
    <w:rsid w:val="003244D9"/>
    <w:rsid w:val="00325ECF"/>
    <w:rsid w:val="00327D0A"/>
    <w:rsid w:val="003419A6"/>
    <w:rsid w:val="00342844"/>
    <w:rsid w:val="003517C3"/>
    <w:rsid w:val="00355502"/>
    <w:rsid w:val="00356BC7"/>
    <w:rsid w:val="00357A20"/>
    <w:rsid w:val="003728C1"/>
    <w:rsid w:val="00372F06"/>
    <w:rsid w:val="00391647"/>
    <w:rsid w:val="0039260F"/>
    <w:rsid w:val="0039277A"/>
    <w:rsid w:val="00393B99"/>
    <w:rsid w:val="00396F6A"/>
    <w:rsid w:val="003972E0"/>
    <w:rsid w:val="003A1EC2"/>
    <w:rsid w:val="003A52D7"/>
    <w:rsid w:val="003A5A16"/>
    <w:rsid w:val="003B19D3"/>
    <w:rsid w:val="003C0657"/>
    <w:rsid w:val="003C18C9"/>
    <w:rsid w:val="003C2CC4"/>
    <w:rsid w:val="003C655D"/>
    <w:rsid w:val="003D4B23"/>
    <w:rsid w:val="003F23A4"/>
    <w:rsid w:val="003F54D8"/>
    <w:rsid w:val="003F5B52"/>
    <w:rsid w:val="00400408"/>
    <w:rsid w:val="00403EC6"/>
    <w:rsid w:val="00406CD4"/>
    <w:rsid w:val="00412C1F"/>
    <w:rsid w:val="004254D0"/>
    <w:rsid w:val="00430086"/>
    <w:rsid w:val="00430918"/>
    <w:rsid w:val="004317D1"/>
    <w:rsid w:val="004325CB"/>
    <w:rsid w:val="00434D5F"/>
    <w:rsid w:val="00437F3F"/>
    <w:rsid w:val="00441AD2"/>
    <w:rsid w:val="00445B5D"/>
    <w:rsid w:val="00446DE4"/>
    <w:rsid w:val="004526E8"/>
    <w:rsid w:val="00452D10"/>
    <w:rsid w:val="00454036"/>
    <w:rsid w:val="004562AA"/>
    <w:rsid w:val="00460B22"/>
    <w:rsid w:val="0046443A"/>
    <w:rsid w:val="004653B3"/>
    <w:rsid w:val="004654C4"/>
    <w:rsid w:val="0046668F"/>
    <w:rsid w:val="0046773D"/>
    <w:rsid w:val="0046788D"/>
    <w:rsid w:val="004767B8"/>
    <w:rsid w:val="0048304D"/>
    <w:rsid w:val="00484A9B"/>
    <w:rsid w:val="0049211A"/>
    <w:rsid w:val="00492AF9"/>
    <w:rsid w:val="00492DAF"/>
    <w:rsid w:val="00493065"/>
    <w:rsid w:val="00494C77"/>
    <w:rsid w:val="00497017"/>
    <w:rsid w:val="00497291"/>
    <w:rsid w:val="00497711"/>
    <w:rsid w:val="004B25F8"/>
    <w:rsid w:val="004B2C9D"/>
    <w:rsid w:val="004B5939"/>
    <w:rsid w:val="004B73D6"/>
    <w:rsid w:val="004C39D0"/>
    <w:rsid w:val="004C416E"/>
    <w:rsid w:val="004C4F1A"/>
    <w:rsid w:val="004C6D6D"/>
    <w:rsid w:val="004D5330"/>
    <w:rsid w:val="004D7EF2"/>
    <w:rsid w:val="004E0C5D"/>
    <w:rsid w:val="004F03D8"/>
    <w:rsid w:val="004F4240"/>
    <w:rsid w:val="004F6DF4"/>
    <w:rsid w:val="004F77CD"/>
    <w:rsid w:val="005009E3"/>
    <w:rsid w:val="00507CF1"/>
    <w:rsid w:val="005133EB"/>
    <w:rsid w:val="00522177"/>
    <w:rsid w:val="00526AFD"/>
    <w:rsid w:val="00527910"/>
    <w:rsid w:val="005360B5"/>
    <w:rsid w:val="005420F2"/>
    <w:rsid w:val="00542505"/>
    <w:rsid w:val="005456AF"/>
    <w:rsid w:val="00546A07"/>
    <w:rsid w:val="005475D4"/>
    <w:rsid w:val="00555CDB"/>
    <w:rsid w:val="00561B6D"/>
    <w:rsid w:val="00562D45"/>
    <w:rsid w:val="0056615B"/>
    <w:rsid w:val="00567DFB"/>
    <w:rsid w:val="00571DAA"/>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D7DE6"/>
    <w:rsid w:val="005E010D"/>
    <w:rsid w:val="005E3563"/>
    <w:rsid w:val="005E3AAD"/>
    <w:rsid w:val="005E5946"/>
    <w:rsid w:val="005F3A39"/>
    <w:rsid w:val="005F5C2F"/>
    <w:rsid w:val="005F7BB1"/>
    <w:rsid w:val="00602490"/>
    <w:rsid w:val="00603E3C"/>
    <w:rsid w:val="0060673A"/>
    <w:rsid w:val="00611FC4"/>
    <w:rsid w:val="00612812"/>
    <w:rsid w:val="006176FB"/>
    <w:rsid w:val="006216A1"/>
    <w:rsid w:val="006227A8"/>
    <w:rsid w:val="00626B06"/>
    <w:rsid w:val="006279AC"/>
    <w:rsid w:val="0063419C"/>
    <w:rsid w:val="00634779"/>
    <w:rsid w:val="006347CE"/>
    <w:rsid w:val="0063502B"/>
    <w:rsid w:val="00635381"/>
    <w:rsid w:val="00636986"/>
    <w:rsid w:val="00637542"/>
    <w:rsid w:val="00640B26"/>
    <w:rsid w:val="00641194"/>
    <w:rsid w:val="00645A0B"/>
    <w:rsid w:val="006500BA"/>
    <w:rsid w:val="006506DB"/>
    <w:rsid w:val="00662121"/>
    <w:rsid w:val="00662E09"/>
    <w:rsid w:val="00663E7D"/>
    <w:rsid w:val="00670CF0"/>
    <w:rsid w:val="00675F87"/>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26E0"/>
    <w:rsid w:val="00734F20"/>
    <w:rsid w:val="00736E6A"/>
    <w:rsid w:val="00741F59"/>
    <w:rsid w:val="0074697D"/>
    <w:rsid w:val="00755EBE"/>
    <w:rsid w:val="00761619"/>
    <w:rsid w:val="0076177C"/>
    <w:rsid w:val="00763C33"/>
    <w:rsid w:val="00766322"/>
    <w:rsid w:val="007703E2"/>
    <w:rsid w:val="00770BCD"/>
    <w:rsid w:val="00771904"/>
    <w:rsid w:val="00773353"/>
    <w:rsid w:val="00774129"/>
    <w:rsid w:val="00774E8F"/>
    <w:rsid w:val="00774EAA"/>
    <w:rsid w:val="0078123B"/>
    <w:rsid w:val="00781B57"/>
    <w:rsid w:val="00786434"/>
    <w:rsid w:val="00790791"/>
    <w:rsid w:val="00792477"/>
    <w:rsid w:val="00793510"/>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40B"/>
    <w:rsid w:val="007D7BC6"/>
    <w:rsid w:val="007E20D5"/>
    <w:rsid w:val="007E4BD3"/>
    <w:rsid w:val="007E5D7C"/>
    <w:rsid w:val="007F2A54"/>
    <w:rsid w:val="007F5104"/>
    <w:rsid w:val="007F56B7"/>
    <w:rsid w:val="007F6611"/>
    <w:rsid w:val="00800024"/>
    <w:rsid w:val="008037A2"/>
    <w:rsid w:val="00810B9C"/>
    <w:rsid w:val="00811263"/>
    <w:rsid w:val="00812BEB"/>
    <w:rsid w:val="00815BBF"/>
    <w:rsid w:val="00816582"/>
    <w:rsid w:val="008175E9"/>
    <w:rsid w:val="00820A2D"/>
    <w:rsid w:val="008242D7"/>
    <w:rsid w:val="00826C09"/>
    <w:rsid w:val="0083043E"/>
    <w:rsid w:val="0083069A"/>
    <w:rsid w:val="00832A1D"/>
    <w:rsid w:val="00832B64"/>
    <w:rsid w:val="00834479"/>
    <w:rsid w:val="00843AB2"/>
    <w:rsid w:val="00846809"/>
    <w:rsid w:val="00857789"/>
    <w:rsid w:val="0086107D"/>
    <w:rsid w:val="00864251"/>
    <w:rsid w:val="00864EF8"/>
    <w:rsid w:val="00871FD5"/>
    <w:rsid w:val="00881213"/>
    <w:rsid w:val="008830CC"/>
    <w:rsid w:val="008979B1"/>
    <w:rsid w:val="008A0B75"/>
    <w:rsid w:val="008A1542"/>
    <w:rsid w:val="008A6B25"/>
    <w:rsid w:val="008A6C4F"/>
    <w:rsid w:val="008A7679"/>
    <w:rsid w:val="008A7AB3"/>
    <w:rsid w:val="008A7E0F"/>
    <w:rsid w:val="008B602D"/>
    <w:rsid w:val="008B65FB"/>
    <w:rsid w:val="008C2CBB"/>
    <w:rsid w:val="008C3B3C"/>
    <w:rsid w:val="008C4283"/>
    <w:rsid w:val="008C74C3"/>
    <w:rsid w:val="008C7BF7"/>
    <w:rsid w:val="008D134F"/>
    <w:rsid w:val="008D3C75"/>
    <w:rsid w:val="008D6942"/>
    <w:rsid w:val="008E0E46"/>
    <w:rsid w:val="008E1DAE"/>
    <w:rsid w:val="008E295A"/>
    <w:rsid w:val="008F2D9A"/>
    <w:rsid w:val="008F44B8"/>
    <w:rsid w:val="008F504A"/>
    <w:rsid w:val="008F6076"/>
    <w:rsid w:val="0090092A"/>
    <w:rsid w:val="009045EE"/>
    <w:rsid w:val="00904EBC"/>
    <w:rsid w:val="00906C3D"/>
    <w:rsid w:val="00923019"/>
    <w:rsid w:val="00924B63"/>
    <w:rsid w:val="00931E13"/>
    <w:rsid w:val="009363B6"/>
    <w:rsid w:val="00940C70"/>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1B8A"/>
    <w:rsid w:val="009C6394"/>
    <w:rsid w:val="009D0E2A"/>
    <w:rsid w:val="009D0F0E"/>
    <w:rsid w:val="009D1AAE"/>
    <w:rsid w:val="009D634E"/>
    <w:rsid w:val="009E1560"/>
    <w:rsid w:val="009F0F06"/>
    <w:rsid w:val="009F1220"/>
    <w:rsid w:val="009F20B7"/>
    <w:rsid w:val="009F4FC5"/>
    <w:rsid w:val="00A0152E"/>
    <w:rsid w:val="00A12B58"/>
    <w:rsid w:val="00A1427D"/>
    <w:rsid w:val="00A15B43"/>
    <w:rsid w:val="00A235F1"/>
    <w:rsid w:val="00A23F62"/>
    <w:rsid w:val="00A34B00"/>
    <w:rsid w:val="00A3777A"/>
    <w:rsid w:val="00A4728C"/>
    <w:rsid w:val="00A50077"/>
    <w:rsid w:val="00A54CA8"/>
    <w:rsid w:val="00A600D5"/>
    <w:rsid w:val="00A60196"/>
    <w:rsid w:val="00A6199C"/>
    <w:rsid w:val="00A622AF"/>
    <w:rsid w:val="00A65F4A"/>
    <w:rsid w:val="00A66636"/>
    <w:rsid w:val="00A72ABB"/>
    <w:rsid w:val="00A72F22"/>
    <w:rsid w:val="00A73115"/>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41A0"/>
    <w:rsid w:val="00AD7C88"/>
    <w:rsid w:val="00AE45DE"/>
    <w:rsid w:val="00AF0878"/>
    <w:rsid w:val="00AF2309"/>
    <w:rsid w:val="00AF2F9D"/>
    <w:rsid w:val="00AF508D"/>
    <w:rsid w:val="00AF6710"/>
    <w:rsid w:val="00B013E6"/>
    <w:rsid w:val="00B04D66"/>
    <w:rsid w:val="00B10C19"/>
    <w:rsid w:val="00B1157C"/>
    <w:rsid w:val="00B1501F"/>
    <w:rsid w:val="00B22971"/>
    <w:rsid w:val="00B26710"/>
    <w:rsid w:val="00B26B3C"/>
    <w:rsid w:val="00B30179"/>
    <w:rsid w:val="00B304E1"/>
    <w:rsid w:val="00B30945"/>
    <w:rsid w:val="00B3317B"/>
    <w:rsid w:val="00B41384"/>
    <w:rsid w:val="00B4398E"/>
    <w:rsid w:val="00B5392B"/>
    <w:rsid w:val="00B666B2"/>
    <w:rsid w:val="00B71E2B"/>
    <w:rsid w:val="00B73DA8"/>
    <w:rsid w:val="00B74F78"/>
    <w:rsid w:val="00B74F7C"/>
    <w:rsid w:val="00B75E05"/>
    <w:rsid w:val="00B81E12"/>
    <w:rsid w:val="00B827E4"/>
    <w:rsid w:val="00B84AAC"/>
    <w:rsid w:val="00B90F54"/>
    <w:rsid w:val="00B91CC3"/>
    <w:rsid w:val="00B92A0C"/>
    <w:rsid w:val="00B93068"/>
    <w:rsid w:val="00BB176D"/>
    <w:rsid w:val="00BB3B28"/>
    <w:rsid w:val="00BC0164"/>
    <w:rsid w:val="00BC74E9"/>
    <w:rsid w:val="00BD2077"/>
    <w:rsid w:val="00BE1FF8"/>
    <w:rsid w:val="00BE382C"/>
    <w:rsid w:val="00BE50CA"/>
    <w:rsid w:val="00BE618E"/>
    <w:rsid w:val="00BF6DA7"/>
    <w:rsid w:val="00C0263F"/>
    <w:rsid w:val="00C03B44"/>
    <w:rsid w:val="00C05987"/>
    <w:rsid w:val="00C13A85"/>
    <w:rsid w:val="00C17563"/>
    <w:rsid w:val="00C218A4"/>
    <w:rsid w:val="00C31519"/>
    <w:rsid w:val="00C36D37"/>
    <w:rsid w:val="00C41BFB"/>
    <w:rsid w:val="00C463DD"/>
    <w:rsid w:val="00C46D5B"/>
    <w:rsid w:val="00C47B28"/>
    <w:rsid w:val="00C537D5"/>
    <w:rsid w:val="00C6094C"/>
    <w:rsid w:val="00C62F76"/>
    <w:rsid w:val="00C66D78"/>
    <w:rsid w:val="00C737DA"/>
    <w:rsid w:val="00C745C3"/>
    <w:rsid w:val="00C81212"/>
    <w:rsid w:val="00C84FF1"/>
    <w:rsid w:val="00C910D7"/>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254F"/>
    <w:rsid w:val="00D164BA"/>
    <w:rsid w:val="00D2031B"/>
    <w:rsid w:val="00D25E8C"/>
    <w:rsid w:val="00D25FE2"/>
    <w:rsid w:val="00D27E89"/>
    <w:rsid w:val="00D37E80"/>
    <w:rsid w:val="00D412B6"/>
    <w:rsid w:val="00D43252"/>
    <w:rsid w:val="00D46231"/>
    <w:rsid w:val="00D477C4"/>
    <w:rsid w:val="00D50DF8"/>
    <w:rsid w:val="00D5409C"/>
    <w:rsid w:val="00D54130"/>
    <w:rsid w:val="00D546AF"/>
    <w:rsid w:val="00D57C13"/>
    <w:rsid w:val="00D57FD9"/>
    <w:rsid w:val="00D610C1"/>
    <w:rsid w:val="00D658FA"/>
    <w:rsid w:val="00D730E3"/>
    <w:rsid w:val="00D73803"/>
    <w:rsid w:val="00D753D8"/>
    <w:rsid w:val="00D9274F"/>
    <w:rsid w:val="00D96248"/>
    <w:rsid w:val="00D96CC5"/>
    <w:rsid w:val="00D973B1"/>
    <w:rsid w:val="00D978C6"/>
    <w:rsid w:val="00D97B77"/>
    <w:rsid w:val="00DA1C89"/>
    <w:rsid w:val="00DA38CA"/>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461"/>
    <w:rsid w:val="00E4443D"/>
    <w:rsid w:val="00E52EB0"/>
    <w:rsid w:val="00E54352"/>
    <w:rsid w:val="00E5644E"/>
    <w:rsid w:val="00E5691C"/>
    <w:rsid w:val="00E56B35"/>
    <w:rsid w:val="00E60903"/>
    <w:rsid w:val="00E61538"/>
    <w:rsid w:val="00E631BA"/>
    <w:rsid w:val="00E63481"/>
    <w:rsid w:val="00E63DE8"/>
    <w:rsid w:val="00E6613A"/>
    <w:rsid w:val="00E7260F"/>
    <w:rsid w:val="00E730D8"/>
    <w:rsid w:val="00E81230"/>
    <w:rsid w:val="00E8535A"/>
    <w:rsid w:val="00E864BE"/>
    <w:rsid w:val="00E90647"/>
    <w:rsid w:val="00E913CE"/>
    <w:rsid w:val="00E96630"/>
    <w:rsid w:val="00EA0364"/>
    <w:rsid w:val="00EA083A"/>
    <w:rsid w:val="00EA3551"/>
    <w:rsid w:val="00EA48C4"/>
    <w:rsid w:val="00EA772F"/>
    <w:rsid w:val="00EB2AE3"/>
    <w:rsid w:val="00EB4196"/>
    <w:rsid w:val="00EB4C06"/>
    <w:rsid w:val="00EB51D5"/>
    <w:rsid w:val="00EB65EF"/>
    <w:rsid w:val="00EB6832"/>
    <w:rsid w:val="00EB71BA"/>
    <w:rsid w:val="00EB798F"/>
    <w:rsid w:val="00EC14E9"/>
    <w:rsid w:val="00EC1F27"/>
    <w:rsid w:val="00EC271A"/>
    <w:rsid w:val="00EC6BFD"/>
    <w:rsid w:val="00EC755A"/>
    <w:rsid w:val="00ED225F"/>
    <w:rsid w:val="00ED3508"/>
    <w:rsid w:val="00ED3F6F"/>
    <w:rsid w:val="00ED769C"/>
    <w:rsid w:val="00ED7A2A"/>
    <w:rsid w:val="00EE369A"/>
    <w:rsid w:val="00EE4D59"/>
    <w:rsid w:val="00EE6714"/>
    <w:rsid w:val="00EE73C3"/>
    <w:rsid w:val="00EF1D7F"/>
    <w:rsid w:val="00EF4AAC"/>
    <w:rsid w:val="00F01C57"/>
    <w:rsid w:val="00F030CA"/>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1CB5"/>
    <w:rsid w:val="00FC215C"/>
    <w:rsid w:val="00FC68B7"/>
    <w:rsid w:val="00FD3C5D"/>
    <w:rsid w:val="00FD3E70"/>
    <w:rsid w:val="00FD6B2B"/>
    <w:rsid w:val="00FE1080"/>
    <w:rsid w:val="00FE3EEA"/>
    <w:rsid w:val="00FF03BB"/>
    <w:rsid w:val="00FF071A"/>
    <w:rsid w:val="00FF51FB"/>
    <w:rsid w:val="00FF67F6"/>
    <w:rsid w:val="027F6E4B"/>
    <w:rsid w:val="03EA0ED5"/>
    <w:rsid w:val="048149AD"/>
    <w:rsid w:val="048E53E9"/>
    <w:rsid w:val="04F76CB6"/>
    <w:rsid w:val="050F54AA"/>
    <w:rsid w:val="05966949"/>
    <w:rsid w:val="07153415"/>
    <w:rsid w:val="07C16300"/>
    <w:rsid w:val="07CF3E21"/>
    <w:rsid w:val="0A1412C7"/>
    <w:rsid w:val="0E077CD1"/>
    <w:rsid w:val="0E1F19B8"/>
    <w:rsid w:val="0E6D5CA7"/>
    <w:rsid w:val="0E6F0072"/>
    <w:rsid w:val="0EAB27C9"/>
    <w:rsid w:val="0F5F774E"/>
    <w:rsid w:val="10D135D8"/>
    <w:rsid w:val="124A07F2"/>
    <w:rsid w:val="128414CA"/>
    <w:rsid w:val="133C75F3"/>
    <w:rsid w:val="14DE07CE"/>
    <w:rsid w:val="158B5358"/>
    <w:rsid w:val="1627152C"/>
    <w:rsid w:val="16E70E96"/>
    <w:rsid w:val="18C7736F"/>
    <w:rsid w:val="1A0D1E00"/>
    <w:rsid w:val="1A3A0ECD"/>
    <w:rsid w:val="1D112E3D"/>
    <w:rsid w:val="1DC218F2"/>
    <w:rsid w:val="1F2F3319"/>
    <w:rsid w:val="210E2977"/>
    <w:rsid w:val="2192070D"/>
    <w:rsid w:val="21C05AB5"/>
    <w:rsid w:val="2273118E"/>
    <w:rsid w:val="23EA63FD"/>
    <w:rsid w:val="26314FAB"/>
    <w:rsid w:val="266A7DB0"/>
    <w:rsid w:val="26EB63A3"/>
    <w:rsid w:val="26EF2290"/>
    <w:rsid w:val="26FA7261"/>
    <w:rsid w:val="2928232A"/>
    <w:rsid w:val="29AB5CAC"/>
    <w:rsid w:val="2BD4250A"/>
    <w:rsid w:val="2CD907DA"/>
    <w:rsid w:val="2F0E59DF"/>
    <w:rsid w:val="31B73F61"/>
    <w:rsid w:val="334653B2"/>
    <w:rsid w:val="33FA6F9B"/>
    <w:rsid w:val="34550F38"/>
    <w:rsid w:val="35247CD2"/>
    <w:rsid w:val="35441375"/>
    <w:rsid w:val="37A6256B"/>
    <w:rsid w:val="38167A62"/>
    <w:rsid w:val="38D86A54"/>
    <w:rsid w:val="39225C38"/>
    <w:rsid w:val="392848A6"/>
    <w:rsid w:val="3A645225"/>
    <w:rsid w:val="3AD761F1"/>
    <w:rsid w:val="3B4A015A"/>
    <w:rsid w:val="3B992A3E"/>
    <w:rsid w:val="3CBD6FC8"/>
    <w:rsid w:val="3D7809C0"/>
    <w:rsid w:val="3E863D50"/>
    <w:rsid w:val="3E8771FC"/>
    <w:rsid w:val="3E8774A4"/>
    <w:rsid w:val="40CA3987"/>
    <w:rsid w:val="42F36B84"/>
    <w:rsid w:val="442727C0"/>
    <w:rsid w:val="443410B2"/>
    <w:rsid w:val="444C7E5A"/>
    <w:rsid w:val="44EE70A4"/>
    <w:rsid w:val="48031EC8"/>
    <w:rsid w:val="49576F5B"/>
    <w:rsid w:val="49EC6CEB"/>
    <w:rsid w:val="4ADE523C"/>
    <w:rsid w:val="4C387809"/>
    <w:rsid w:val="4C511F52"/>
    <w:rsid w:val="4D1D7B57"/>
    <w:rsid w:val="4D7723E1"/>
    <w:rsid w:val="4E8C628C"/>
    <w:rsid w:val="4EBE1C20"/>
    <w:rsid w:val="518C4883"/>
    <w:rsid w:val="52AF15ED"/>
    <w:rsid w:val="53A73870"/>
    <w:rsid w:val="545E35D7"/>
    <w:rsid w:val="548E5FF9"/>
    <w:rsid w:val="551270A4"/>
    <w:rsid w:val="56141ACB"/>
    <w:rsid w:val="569F3EA6"/>
    <w:rsid w:val="578C2408"/>
    <w:rsid w:val="57D33544"/>
    <w:rsid w:val="5A797B6A"/>
    <w:rsid w:val="5B5D19AD"/>
    <w:rsid w:val="5B85651D"/>
    <w:rsid w:val="5C060B5A"/>
    <w:rsid w:val="5D617725"/>
    <w:rsid w:val="5E2323C2"/>
    <w:rsid w:val="5E4734F4"/>
    <w:rsid w:val="5FDE7499"/>
    <w:rsid w:val="60566C25"/>
    <w:rsid w:val="60C372C0"/>
    <w:rsid w:val="61566056"/>
    <w:rsid w:val="62CC0A29"/>
    <w:rsid w:val="62F118CF"/>
    <w:rsid w:val="63956164"/>
    <w:rsid w:val="653E17C5"/>
    <w:rsid w:val="657670D1"/>
    <w:rsid w:val="65CB252A"/>
    <w:rsid w:val="66704C01"/>
    <w:rsid w:val="68D209CF"/>
    <w:rsid w:val="69934CCE"/>
    <w:rsid w:val="69B05DD6"/>
    <w:rsid w:val="6A743782"/>
    <w:rsid w:val="6E4A4FC4"/>
    <w:rsid w:val="70046D2C"/>
    <w:rsid w:val="71314361"/>
    <w:rsid w:val="721C7B8F"/>
    <w:rsid w:val="72C81B49"/>
    <w:rsid w:val="72CC05D6"/>
    <w:rsid w:val="75FA7E25"/>
    <w:rsid w:val="77FB3B1E"/>
    <w:rsid w:val="78E73F0E"/>
    <w:rsid w:val="794B486E"/>
    <w:rsid w:val="79E02B76"/>
    <w:rsid w:val="7A1377F3"/>
    <w:rsid w:val="7EA661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7E05E7"/>
  <w15:docId w15:val="{5A88B09F-BA81-4F64-9883-2563BB3A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qFormat="1"/>
    <w:lsdException w:name="envelope return" w:semiHidden="1" w:qFormat="1"/>
    <w:lsdException w:name="footnote reference" w:qFormat="1"/>
    <w:lsdException w:name="annotation reference" w:uiPriority="99" w:qFormat="1"/>
    <w:lsdException w:name="line number" w:semiHidden="1"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qFormat="1"/>
    <w:lsdException w:name="List Bullet" w:semiHidden="1" w:qFormat="1"/>
    <w:lsdException w:name="List Number" w:semiHidden="1" w:qFormat="1"/>
    <w:lsdException w:name="List 2" w:semiHidden="1" w:qFormat="1"/>
    <w:lsdException w:name="List 3" w:semiHidden="1" w:qFormat="1"/>
    <w:lsdException w:name="List 4" w:semiHidden="1" w:qFormat="1"/>
    <w:lsdException w:name="List 5" w:qFormat="1"/>
    <w:lsdException w:name="List Bullet 2" w:semiHidden="1" w:qFormat="1"/>
    <w:lsdException w:name="List Bullet 3" w:semiHidden="1" w:qFormat="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qFormat="1"/>
    <w:lsdException w:name="Closing" w:semiHidden="1" w:qFormat="1"/>
    <w:lsdException w:name="Signature" w:semiHidden="1" w:qFormat="1"/>
    <w:lsdException w:name="Default Paragraph Font" w:semiHidden="1" w:uiPriority="1" w:unhideWhenUsed="1" w:qFormat="1"/>
    <w:lsdException w:name="Body Text" w:semiHidden="1" w:qFormat="1"/>
    <w:lsdException w:name="Body Text Indent" w:semiHidden="1" w:qFormat="1"/>
    <w:lsdException w:name="List Continue" w:semiHidden="1" w:qFormat="1"/>
    <w:lsdException w:name="List Continue 2" w:semiHidden="1" w:qFormat="1"/>
    <w:lsdException w:name="List Continue 3" w:semiHidden="1" w:qFormat="1"/>
    <w:lsdException w:name="List Continue 4" w:semiHidden="1" w:qFormat="1"/>
    <w:lsdException w:name="List Continue 5" w:semiHidden="1" w:qFormat="1"/>
    <w:lsdException w:name="Message Header" w:semiHidden="1" w:qFormat="1"/>
    <w:lsdException w:name="Subtitle" w:qFormat="1"/>
    <w:lsdException w:name="Salutation" w:semiHidden="1" w:qFormat="1"/>
    <w:lsdException w:name="Date" w:semiHidden="1" w:qFormat="1"/>
    <w:lsdException w:name="Body Text First Indent" w:semiHidden="1" w:qFormat="1"/>
    <w:lsdException w:name="Body Text First Indent 2" w:semiHidden="1" w:qFormat="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qFormat="1"/>
    <w:lsdException w:name="Strong" w:qFormat="1"/>
    <w:lsdException w:name="Emphasis" w:qFormat="1"/>
    <w:lsdException w:name="Document Map" w:semiHidden="1" w:unhideWhenUsed="1"/>
    <w:lsdException w:name="Plain Text" w:semiHidden="1" w:qFormat="1"/>
    <w:lsdException w:name="E-mail Signature" w:semiHidden="1" w:qFormat="1"/>
    <w:lsdException w:name="HTML Top of Form" w:semiHidden="1" w:uiPriority="99" w:unhideWhenUsed="1"/>
    <w:lsdException w:name="HTML Bottom of Form" w:semiHidden="1" w:uiPriority="99" w:unhideWhenUsed="1"/>
    <w:lsdException w:name="Normal (Web)" w:uiPriority="99" w:qFormat="1"/>
    <w:lsdException w:name="HTML Acronym" w:semiHidden="1" w:qFormat="1"/>
    <w:lsdException w:name="HTML Address" w:semiHidden="1" w:qFormat="1"/>
    <w:lsdException w:name="HTML Cite" w:semiHidden="1" w:qFormat="1"/>
    <w:lsdException w:name="HTML Code" w:semiHidden="1" w:qFormat="1"/>
    <w:lsdException w:name="HTML Definition" w:semiHidden="1" w:qFormat="1"/>
    <w:lsdException w:name="HTML Keyboard" w:semiHidden="1" w:qFormat="1"/>
    <w:lsdException w:name="HTML Preformatted" w:semiHidden="1" w:uiPriority="99" w:unhideWhenUsed="1" w:qFormat="1"/>
    <w:lsdException w:name="HTML Sample" w:semiHidden="1" w:qFormat="1"/>
    <w:lsdException w:name="HTML Typewriter" w:semiHidden="1" w:qFormat="1"/>
    <w:lsdException w:name="HTML Variable" w:semiHidden="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line="240" w:lineRule="atLeast"/>
    </w:pPr>
    <w:rPr>
      <w:rFonts w:eastAsia="Times New Roman"/>
      <w:lang w:val="en-GB" w:eastAsia="en-US"/>
    </w:rPr>
  </w:style>
  <w:style w:type="paragraph" w:styleId="Heading1">
    <w:name w:val="heading 1"/>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rPr>
      <w:lang w:val="zh-CN"/>
    </w:rPr>
  </w:style>
  <w:style w:type="paragraph" w:styleId="List3">
    <w:name w:val="List 3"/>
    <w:basedOn w:val="Normal"/>
    <w:semiHidden/>
    <w:qFormat/>
    <w:pPr>
      <w:ind w:left="849" w:hanging="283"/>
    </w:pPr>
  </w:style>
  <w:style w:type="paragraph" w:styleId="ListNumber2">
    <w:name w:val="List Number 2"/>
    <w:basedOn w:val="Normal"/>
    <w:semiHidden/>
    <w:qFormat/>
    <w:pPr>
      <w:numPr>
        <w:numId w:val="1"/>
      </w:numPr>
    </w:pPr>
  </w:style>
  <w:style w:type="paragraph" w:styleId="NoteHeading">
    <w:name w:val="Note Heading"/>
    <w:basedOn w:val="Normal"/>
    <w:next w:val="Normal"/>
    <w:semiHidden/>
    <w:qFormat/>
  </w:style>
  <w:style w:type="paragraph" w:styleId="ListBullet4">
    <w:name w:val="List Bullet 4"/>
    <w:basedOn w:val="Normal"/>
    <w:semiHidden/>
    <w:qFormat/>
    <w:pPr>
      <w:numPr>
        <w:numId w:val="2"/>
      </w:numPr>
    </w:pPr>
  </w:style>
  <w:style w:type="paragraph" w:styleId="E-mailSignature">
    <w:name w:val="E-mail Signature"/>
    <w:basedOn w:val="Normal"/>
    <w:semiHidden/>
    <w:qFormat/>
  </w:style>
  <w:style w:type="paragraph" w:styleId="ListNumber">
    <w:name w:val="List Number"/>
    <w:basedOn w:val="Normal"/>
    <w:semiHidden/>
    <w:qFormat/>
    <w:pPr>
      <w:numPr>
        <w:numId w:val="3"/>
      </w:numPr>
    </w:pPr>
  </w:style>
  <w:style w:type="paragraph" w:styleId="NormalIndent">
    <w:name w:val="Normal Indent"/>
    <w:basedOn w:val="Normal"/>
    <w:semiHidden/>
    <w:qFormat/>
    <w:pPr>
      <w:ind w:left="567"/>
    </w:pPr>
  </w:style>
  <w:style w:type="paragraph" w:styleId="Caption">
    <w:name w:val="caption"/>
    <w:basedOn w:val="Normal"/>
    <w:next w:val="Normal"/>
    <w:qFormat/>
    <w:pPr>
      <w:tabs>
        <w:tab w:val="left" w:pos="1418"/>
      </w:tabs>
      <w:suppressAutoHyphens w:val="0"/>
      <w:spacing w:line="240" w:lineRule="auto"/>
      <w:jc w:val="center"/>
    </w:pPr>
    <w:rPr>
      <w:b/>
      <w:bCs/>
      <w:sz w:val="22"/>
    </w:rPr>
  </w:style>
  <w:style w:type="paragraph" w:styleId="ListBullet">
    <w:name w:val="List Bullet"/>
    <w:basedOn w:val="Normal"/>
    <w:semiHidden/>
    <w:qFormat/>
    <w:pPr>
      <w:numPr>
        <w:numId w:val="4"/>
      </w:numPr>
    </w:pPr>
  </w:style>
  <w:style w:type="paragraph" w:styleId="EnvelopeAddress">
    <w:name w:val="envelope address"/>
    <w:basedOn w:val="Normal"/>
    <w:semiHidden/>
    <w:qFormat/>
    <w:pPr>
      <w:framePr w:w="7920" w:h="1980" w:hRule="exact" w:hSpace="180" w:wrap="around" w:hAnchor="page" w:xAlign="center" w:yAlign="bottom"/>
      <w:ind w:left="2880"/>
    </w:pPr>
    <w:rPr>
      <w:rFonts w:ascii="Arial" w:hAnsi="Arial" w:cs="Arial"/>
      <w:sz w:val="24"/>
      <w:szCs w:val="24"/>
    </w:rPr>
  </w:style>
  <w:style w:type="paragraph" w:styleId="CommentText">
    <w:name w:val="annotation text"/>
    <w:basedOn w:val="Normal"/>
    <w:link w:val="CommentTextChar"/>
    <w:uiPriority w:val="99"/>
    <w:qFormat/>
    <w:rPr>
      <w:lang w:eastAsia="zh-CN"/>
    </w:rPr>
  </w:style>
  <w:style w:type="paragraph" w:styleId="Salutation">
    <w:name w:val="Salutation"/>
    <w:basedOn w:val="Normal"/>
    <w:next w:val="Normal"/>
    <w:semiHidden/>
    <w:qFormat/>
  </w:style>
  <w:style w:type="paragraph" w:styleId="BodyText3">
    <w:name w:val="Body Text 3"/>
    <w:basedOn w:val="Normal"/>
    <w:semiHidden/>
    <w:qFormat/>
    <w:pPr>
      <w:spacing w:after="120"/>
    </w:pPr>
    <w:rPr>
      <w:sz w:val="16"/>
      <w:szCs w:val="16"/>
    </w:rPr>
  </w:style>
  <w:style w:type="paragraph" w:styleId="Closing">
    <w:name w:val="Closing"/>
    <w:basedOn w:val="Normal"/>
    <w:semiHidden/>
    <w:qFormat/>
    <w:pPr>
      <w:ind w:left="4252"/>
    </w:pPr>
  </w:style>
  <w:style w:type="paragraph" w:styleId="ListBullet3">
    <w:name w:val="List Bullet 3"/>
    <w:basedOn w:val="Normal"/>
    <w:semiHidden/>
    <w:qFormat/>
    <w:pPr>
      <w:numPr>
        <w:numId w:val="5"/>
      </w:numPr>
    </w:pPr>
  </w:style>
  <w:style w:type="paragraph" w:styleId="BodyText">
    <w:name w:val="Body Text"/>
    <w:basedOn w:val="Normal"/>
    <w:next w:val="Normal"/>
    <w:link w:val="BodyTextChar"/>
    <w:semiHidden/>
    <w:qFormat/>
  </w:style>
  <w:style w:type="paragraph" w:styleId="BodyTextIndent">
    <w:name w:val="Body Text Indent"/>
    <w:basedOn w:val="Normal"/>
    <w:link w:val="BodyTextIndentChar"/>
    <w:semiHidden/>
    <w:qFormat/>
    <w:pPr>
      <w:spacing w:after="120"/>
      <w:ind w:left="283"/>
    </w:pPr>
  </w:style>
  <w:style w:type="paragraph" w:styleId="ListNumber3">
    <w:name w:val="List Number 3"/>
    <w:basedOn w:val="Normal"/>
    <w:semiHidden/>
    <w:qFormat/>
    <w:pPr>
      <w:numPr>
        <w:numId w:val="6"/>
      </w:numPr>
    </w:pPr>
  </w:style>
  <w:style w:type="paragraph" w:styleId="List2">
    <w:name w:val="List 2"/>
    <w:basedOn w:val="Normal"/>
    <w:semiHidden/>
    <w:qFormat/>
    <w:pPr>
      <w:ind w:left="566" w:hanging="283"/>
    </w:pPr>
  </w:style>
  <w:style w:type="paragraph" w:styleId="ListContinue">
    <w:name w:val="List Continue"/>
    <w:basedOn w:val="Normal"/>
    <w:semiHidden/>
    <w:qFormat/>
    <w:pPr>
      <w:spacing w:after="120"/>
      <w:ind w:left="283"/>
    </w:pPr>
  </w:style>
  <w:style w:type="paragraph" w:styleId="BlockText">
    <w:name w:val="Block Text"/>
    <w:basedOn w:val="Normal"/>
    <w:semiHidden/>
    <w:qFormat/>
    <w:pPr>
      <w:ind w:left="1440" w:right="1440"/>
    </w:pPr>
  </w:style>
  <w:style w:type="paragraph" w:styleId="ListBullet2">
    <w:name w:val="List Bullet 2"/>
    <w:basedOn w:val="Normal"/>
    <w:semiHidden/>
    <w:qFormat/>
    <w:pPr>
      <w:numPr>
        <w:numId w:val="7"/>
      </w:numPr>
    </w:pPr>
  </w:style>
  <w:style w:type="paragraph" w:styleId="HTMLAddress">
    <w:name w:val="HTML Address"/>
    <w:basedOn w:val="Normal"/>
    <w:semiHidden/>
    <w:qFormat/>
    <w:rPr>
      <w:i/>
      <w:iCs/>
    </w:rPr>
  </w:style>
  <w:style w:type="paragraph" w:styleId="PlainText">
    <w:name w:val="Plain Text"/>
    <w:basedOn w:val="Normal"/>
    <w:semiHidden/>
    <w:qFormat/>
    <w:rPr>
      <w:rFonts w:cs="Courier New"/>
    </w:rPr>
  </w:style>
  <w:style w:type="paragraph" w:styleId="ListBullet5">
    <w:name w:val="List Bullet 5"/>
    <w:basedOn w:val="Normal"/>
    <w:semiHidden/>
    <w:qFormat/>
    <w:pPr>
      <w:numPr>
        <w:numId w:val="8"/>
      </w:numPr>
    </w:pPr>
  </w:style>
  <w:style w:type="paragraph" w:styleId="ListNumber4">
    <w:name w:val="List Number 4"/>
    <w:basedOn w:val="Normal"/>
    <w:semiHidden/>
    <w:qFormat/>
    <w:pPr>
      <w:numPr>
        <w:numId w:val="9"/>
      </w:numPr>
    </w:pPr>
  </w:style>
  <w:style w:type="paragraph" w:styleId="Date">
    <w:name w:val="Date"/>
    <w:basedOn w:val="Normal"/>
    <w:next w:val="Normal"/>
    <w:semiHidden/>
    <w:qFormat/>
  </w:style>
  <w:style w:type="paragraph" w:styleId="BodyTextIndent2">
    <w:name w:val="Body Text Indent 2"/>
    <w:basedOn w:val="Normal"/>
    <w:link w:val="BodyTextIndent2Char"/>
    <w:semiHidden/>
    <w:qFormat/>
    <w:pPr>
      <w:spacing w:after="120" w:line="480" w:lineRule="auto"/>
      <w:ind w:left="283"/>
    </w:pPr>
  </w:style>
  <w:style w:type="paragraph" w:styleId="EndnoteText">
    <w:name w:val="endnote text"/>
    <w:basedOn w:val="FootnoteText"/>
    <w:link w:val="EndnoteTextChar"/>
    <w:qFormat/>
  </w:style>
  <w:style w:type="paragraph" w:styleId="FootnoteText">
    <w:name w:val="footnote text"/>
    <w:basedOn w:val="Normal"/>
    <w:link w:val="FootnoteTextChar"/>
    <w:qFormat/>
    <w:pPr>
      <w:tabs>
        <w:tab w:val="right" w:pos="1021"/>
      </w:tabs>
      <w:spacing w:line="220" w:lineRule="exact"/>
      <w:ind w:left="1134" w:right="1134" w:hanging="1134"/>
    </w:pPr>
    <w:rPr>
      <w:sz w:val="18"/>
      <w:lang w:val="zh-CN"/>
    </w:rPr>
  </w:style>
  <w:style w:type="paragraph" w:styleId="ListContinue5">
    <w:name w:val="List Continue 5"/>
    <w:basedOn w:val="Normal"/>
    <w:semiHidden/>
    <w:qFormat/>
    <w:pPr>
      <w:spacing w:after="120"/>
      <w:ind w:left="1415"/>
    </w:pPr>
  </w:style>
  <w:style w:type="paragraph" w:styleId="BalloonText">
    <w:name w:val="Balloon Text"/>
    <w:basedOn w:val="Normal"/>
    <w:link w:val="BalloonTextChar"/>
    <w:qFormat/>
    <w:pPr>
      <w:spacing w:line="240" w:lineRule="auto"/>
    </w:pPr>
    <w:rPr>
      <w:rFonts w:ascii="Tahoma" w:hAnsi="Tahoma"/>
      <w:sz w:val="16"/>
      <w:szCs w:val="16"/>
      <w:lang w:val="zh-CN"/>
    </w:rPr>
  </w:style>
  <w:style w:type="paragraph" w:styleId="Footer">
    <w:name w:val="footer"/>
    <w:basedOn w:val="Normal"/>
    <w:link w:val="FooterChar"/>
    <w:uiPriority w:val="99"/>
    <w:qFormat/>
    <w:pPr>
      <w:spacing w:line="240" w:lineRule="auto"/>
    </w:pPr>
    <w:rPr>
      <w:sz w:val="16"/>
    </w:rPr>
  </w:style>
  <w:style w:type="paragraph" w:styleId="EnvelopeReturn">
    <w:name w:val="envelope return"/>
    <w:basedOn w:val="Normal"/>
    <w:semiHidden/>
    <w:qFormat/>
    <w:rPr>
      <w:rFonts w:ascii="Arial" w:hAnsi="Arial" w:cs="Arial"/>
    </w:rPr>
  </w:style>
  <w:style w:type="paragraph" w:styleId="Header">
    <w:name w:val="header"/>
    <w:basedOn w:val="Normal"/>
    <w:link w:val="HeaderChar"/>
    <w:qFormat/>
    <w:pPr>
      <w:pBdr>
        <w:bottom w:val="single" w:sz="4" w:space="4" w:color="auto"/>
      </w:pBdr>
      <w:spacing w:line="240" w:lineRule="auto"/>
    </w:pPr>
    <w:rPr>
      <w:b/>
      <w:sz w:val="18"/>
    </w:rPr>
  </w:style>
  <w:style w:type="paragraph" w:styleId="Signature">
    <w:name w:val="Signature"/>
    <w:basedOn w:val="Normal"/>
    <w:semiHidden/>
    <w:qFormat/>
    <w:pPr>
      <w:ind w:left="4252"/>
    </w:pPr>
  </w:style>
  <w:style w:type="paragraph" w:styleId="ListContinue4">
    <w:name w:val="List Continue 4"/>
    <w:basedOn w:val="Normal"/>
    <w:semiHidden/>
    <w:qFormat/>
    <w:pPr>
      <w:spacing w:after="120"/>
      <w:ind w:left="1132"/>
    </w:pPr>
  </w:style>
  <w:style w:type="paragraph" w:styleId="Subtitle">
    <w:name w:val="Subtitle"/>
    <w:basedOn w:val="Normal"/>
    <w:qFormat/>
    <w:pPr>
      <w:spacing w:after="60"/>
      <w:jc w:val="center"/>
      <w:outlineLvl w:val="1"/>
    </w:pPr>
    <w:rPr>
      <w:rFonts w:ascii="Arial" w:hAnsi="Arial" w:cs="Arial"/>
      <w:sz w:val="24"/>
      <w:szCs w:val="24"/>
    </w:rPr>
  </w:style>
  <w:style w:type="paragraph" w:styleId="ListNumber5">
    <w:name w:val="List Number 5"/>
    <w:basedOn w:val="Normal"/>
    <w:semiHidden/>
    <w:qFormat/>
    <w:pPr>
      <w:numPr>
        <w:numId w:val="10"/>
      </w:numPr>
    </w:pPr>
  </w:style>
  <w:style w:type="paragraph" w:styleId="List">
    <w:name w:val="List"/>
    <w:basedOn w:val="Normal"/>
    <w:semiHidden/>
    <w:qFormat/>
    <w:pPr>
      <w:ind w:left="283" w:hanging="283"/>
    </w:pPr>
  </w:style>
  <w:style w:type="paragraph" w:styleId="List5">
    <w:name w:val="List 5"/>
    <w:basedOn w:val="Normal"/>
    <w:qFormat/>
    <w:pPr>
      <w:ind w:left="1415" w:hanging="283"/>
    </w:pPr>
  </w:style>
  <w:style w:type="paragraph" w:styleId="BodyTextIndent3">
    <w:name w:val="Body Text Indent 3"/>
    <w:basedOn w:val="Normal"/>
    <w:link w:val="BodyTextIndent3Char"/>
    <w:semiHidden/>
    <w:qFormat/>
    <w:pPr>
      <w:spacing w:after="120"/>
      <w:ind w:left="283"/>
    </w:pPr>
    <w:rPr>
      <w:sz w:val="16"/>
      <w:szCs w:val="16"/>
    </w:rPr>
  </w:style>
  <w:style w:type="paragraph" w:styleId="BodyText2">
    <w:name w:val="Body Text 2"/>
    <w:basedOn w:val="Normal"/>
    <w:link w:val="BodyText2Char"/>
    <w:semiHidden/>
    <w:qFormat/>
    <w:pPr>
      <w:spacing w:after="120" w:line="480" w:lineRule="auto"/>
    </w:pPr>
  </w:style>
  <w:style w:type="paragraph" w:styleId="List4">
    <w:name w:val="List 4"/>
    <w:basedOn w:val="Normal"/>
    <w:semiHidden/>
    <w:qFormat/>
    <w:pPr>
      <w:ind w:left="1132" w:hanging="283"/>
    </w:pPr>
  </w:style>
  <w:style w:type="paragraph" w:styleId="ListContinue2">
    <w:name w:val="List Continue 2"/>
    <w:basedOn w:val="Normal"/>
    <w:semiHidden/>
    <w:qFormat/>
    <w:pPr>
      <w:spacing w:after="120"/>
      <w:ind w:left="566"/>
    </w:pPr>
  </w:style>
  <w:style w:type="paragraph" w:styleId="MessageHeader">
    <w:name w:val="Message Header"/>
    <w:basedOn w:val="Normal"/>
    <w:semiHidden/>
    <w:qFormat/>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Preformatted">
    <w:name w:val="HTML Preformatted"/>
    <w:basedOn w:val="Normal"/>
    <w:link w:val="HTMLPreformattedChar"/>
    <w:uiPriority w:val="99"/>
    <w:qFormat/>
    <w:rPr>
      <w:rFonts w:ascii="Courier New" w:hAnsi="Courier New" w:cs="Courier New"/>
    </w:rPr>
  </w:style>
  <w:style w:type="paragraph" w:styleId="NormalWeb">
    <w:name w:val="Normal (Web)"/>
    <w:basedOn w:val="Normal"/>
    <w:uiPriority w:val="99"/>
    <w:qFormat/>
    <w:rPr>
      <w:sz w:val="24"/>
      <w:szCs w:val="24"/>
    </w:rPr>
  </w:style>
  <w:style w:type="paragraph" w:styleId="ListContinue3">
    <w:name w:val="List Continue 3"/>
    <w:basedOn w:val="Normal"/>
    <w:semiHidden/>
    <w:qFormat/>
    <w:pPr>
      <w:spacing w:after="120"/>
      <w:ind w:left="849"/>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semiHidden/>
    <w:qFormat/>
    <w:pPr>
      <w:spacing w:after="120"/>
      <w:ind w:firstLine="210"/>
    </w:pPr>
  </w:style>
  <w:style w:type="paragraph" w:styleId="BodyTextFirstIndent2">
    <w:name w:val="Body Text First Indent 2"/>
    <w:basedOn w:val="BodyTextIndent"/>
    <w:semiHidden/>
    <w:qFormat/>
    <w:pPr>
      <w:ind w:firstLine="210"/>
    </w:pPr>
  </w:style>
  <w:style w:type="table" w:styleId="TableGrid">
    <w:name w:val="Table Grid"/>
    <w:basedOn w:val="TableNormal"/>
    <w:uiPriority w:val="59"/>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Theme">
    <w:name w:val="Table Theme"/>
    <w:basedOn w:val="TableNormal"/>
    <w:semiHidden/>
    <w:qFormat/>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qFormat/>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semiHidden/>
    <w:qFormat/>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semiHidden/>
    <w:qFormat/>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Elegant">
    <w:name w:val="Table Elegant"/>
    <w:basedOn w:val="TableNormal"/>
    <w:semiHidden/>
    <w:qFormat/>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Classic1">
    <w:name w:val="Table Classic 1"/>
    <w:basedOn w:val="TableNormal"/>
    <w:semiHidden/>
    <w:qFormat/>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semiHidden/>
    <w:qFormat/>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semiHidden/>
    <w:qFormat/>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semiHidden/>
    <w:qFormat/>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Simple1">
    <w:name w:val="Table Simple 1"/>
    <w:basedOn w:val="TableNormal"/>
    <w:semiHidden/>
    <w:qFormat/>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semiHidden/>
    <w:qFormat/>
    <w:pPr>
      <w:suppressAutoHyphens/>
      <w:spacing w:line="240" w:lineRule="atLeast"/>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semiHidden/>
    <w:qFormat/>
    <w:pPr>
      <w:suppressAutoHyphens/>
      <w:spacing w:line="240" w:lineRule="atLeast"/>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semiHidden/>
    <w:qFormat/>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3Deffects1">
    <w:name w:val="Table 3D effects 1"/>
    <w:basedOn w:val="TableNormal"/>
    <w:semiHidden/>
    <w:qFormat/>
    <w:pPr>
      <w:suppressAutoHyphens/>
      <w:spacing w:line="240" w:lineRule="atLeast"/>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qFormat/>
    <w:pPr>
      <w:suppressAutoHyphens/>
      <w:spacing w:line="240" w:lineRule="atLeast"/>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qFormat/>
    <w:pPr>
      <w:suppressAutoHyphens/>
      <w:spacing w:line="240" w:lineRule="atLeast"/>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List1">
    <w:name w:val="Table List 1"/>
    <w:basedOn w:val="TableNormal"/>
    <w:semiHidden/>
    <w:qFormat/>
    <w:pPr>
      <w:suppressAutoHyphens/>
      <w:spacing w:line="240" w:lineRule="atLeast"/>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semiHidden/>
    <w:qFormat/>
    <w:pPr>
      <w:suppressAutoHyphens/>
      <w:spacing w:line="240" w:lineRule="atLeast"/>
    </w:pPr>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semiHidden/>
    <w:qFormat/>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semiHidden/>
    <w:qFormat/>
    <w:pPr>
      <w:suppressAutoHyphens/>
      <w:spacing w:line="240" w:lineRule="atLeast"/>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TableContemporary">
    <w:name w:val="Table Contemporary"/>
    <w:basedOn w:val="TableNormal"/>
    <w:semiHidden/>
    <w:qFormat/>
    <w:pPr>
      <w:suppressAutoHyphens/>
      <w:spacing w:line="240" w:lineRule="atLeast"/>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Columns1">
    <w:name w:val="Table Columns 1"/>
    <w:basedOn w:val="TableNormal"/>
    <w:semiHidden/>
    <w:qFormat/>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semiHidden/>
    <w:qFormat/>
    <w:pPr>
      <w:suppressAutoHyphens/>
      <w:spacing w:line="240" w:lineRule="atLeast"/>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semiHidden/>
    <w:qFormat/>
    <w:pPr>
      <w:suppressAutoHyphens/>
      <w:spacing w:line="240" w:lineRule="atLeast"/>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semiHidden/>
    <w:qFormat/>
    <w:pPr>
      <w:suppressAutoHyphens/>
      <w:spacing w:line="240" w:lineRule="atLeast"/>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qFormat/>
    <w:pPr>
      <w:suppressAutoHyphens/>
      <w:spacing w:line="240" w:lineRule="atLeast"/>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semiHidden/>
    <w:qFormat/>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semiHidden/>
    <w:qFormat/>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semiHidden/>
    <w:qFormat/>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semiHidden/>
    <w:qFormat/>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semiHidden/>
    <w:qFormat/>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semiHidden/>
    <w:qFormat/>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Web1">
    <w:name w:val="Table Web 1"/>
    <w:basedOn w:val="TableNormal"/>
    <w:semiHidden/>
    <w:qFormat/>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semiHidden/>
    <w:qFormat/>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semiHidden/>
    <w:qFormat/>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Professional">
    <w:name w:val="Table Professional"/>
    <w:basedOn w:val="TableNormal"/>
    <w:semiHidden/>
    <w:qFormat/>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Strong">
    <w:name w:val="Strong"/>
    <w:qFormat/>
    <w:rPr>
      <w:b/>
      <w:bCs/>
    </w:rPr>
  </w:style>
  <w:style w:type="character" w:styleId="EndnoteReference">
    <w:name w:val="endnote reference"/>
    <w:qFormat/>
    <w:rPr>
      <w:rFonts w:ascii="Times New Roman" w:hAnsi="Times New Roman"/>
      <w:sz w:val="18"/>
      <w:vertAlign w:val="superscript"/>
    </w:rPr>
  </w:style>
  <w:style w:type="character" w:styleId="PageNumber">
    <w:name w:val="page number"/>
    <w:qFormat/>
    <w:rPr>
      <w:rFonts w:ascii="Times New Roman" w:hAnsi="Times New Roman"/>
      <w:b/>
      <w:sz w:val="18"/>
    </w:rPr>
  </w:style>
  <w:style w:type="character" w:styleId="FollowedHyperlink">
    <w:name w:val="FollowedHyperlink"/>
    <w:qFormat/>
    <w:rPr>
      <w:color w:val="auto"/>
      <w:u w:val="none"/>
    </w:rPr>
  </w:style>
  <w:style w:type="character" w:styleId="Emphasis">
    <w:name w:val="Emphasis"/>
    <w:qFormat/>
    <w:rPr>
      <w:i/>
      <w:iCs/>
    </w:rPr>
  </w:style>
  <w:style w:type="character" w:styleId="LineNumber">
    <w:name w:val="line number"/>
    <w:semiHidden/>
    <w:qFormat/>
    <w:rPr>
      <w:sz w:val="14"/>
    </w:rPr>
  </w:style>
  <w:style w:type="character" w:styleId="HTMLDefinition">
    <w:name w:val="HTML Definition"/>
    <w:semiHidden/>
    <w:qFormat/>
    <w:rPr>
      <w:i/>
      <w:iCs/>
    </w:rPr>
  </w:style>
  <w:style w:type="character" w:styleId="HTMLTypewriter">
    <w:name w:val="HTML Typewriter"/>
    <w:semiHidden/>
    <w:qFormat/>
    <w:rPr>
      <w:rFonts w:ascii="Courier New" w:hAnsi="Courier New" w:cs="Courier New"/>
      <w:sz w:val="20"/>
      <w:szCs w:val="20"/>
    </w:rPr>
  </w:style>
  <w:style w:type="character" w:styleId="HTMLAcronym">
    <w:name w:val="HTML Acronym"/>
    <w:basedOn w:val="DefaultParagraphFont"/>
    <w:semiHidden/>
    <w:qFormat/>
  </w:style>
  <w:style w:type="character" w:styleId="HTMLVariable">
    <w:name w:val="HTML Variable"/>
    <w:semiHidden/>
    <w:qFormat/>
    <w:rPr>
      <w:i/>
      <w:iCs/>
    </w:rPr>
  </w:style>
  <w:style w:type="character" w:styleId="Hyperlink">
    <w:name w:val="Hyperlink"/>
    <w:semiHidden/>
    <w:qFormat/>
    <w:rPr>
      <w:color w:val="auto"/>
      <w:u w:val="none"/>
    </w:rPr>
  </w:style>
  <w:style w:type="character" w:styleId="HTMLCode">
    <w:name w:val="HTML Code"/>
    <w:semiHidden/>
    <w:qFormat/>
    <w:rPr>
      <w:rFonts w:ascii="Courier New" w:hAnsi="Courier New" w:cs="Courier New"/>
      <w:sz w:val="20"/>
      <w:szCs w:val="20"/>
    </w:rPr>
  </w:style>
  <w:style w:type="character" w:styleId="CommentReference">
    <w:name w:val="annotation reference"/>
    <w:uiPriority w:val="99"/>
    <w:qFormat/>
    <w:rPr>
      <w:sz w:val="6"/>
    </w:rPr>
  </w:style>
  <w:style w:type="character" w:styleId="HTMLCite">
    <w:name w:val="HTML Cite"/>
    <w:semiHidden/>
    <w:qFormat/>
    <w:rPr>
      <w:i/>
      <w:iCs/>
    </w:rPr>
  </w:style>
  <w:style w:type="character" w:styleId="FootnoteReference">
    <w:name w:val="footnote reference"/>
    <w:qFormat/>
    <w:rPr>
      <w:rFonts w:ascii="Times New Roman" w:hAnsi="Times New Roman"/>
      <w:sz w:val="18"/>
      <w:vertAlign w:val="superscript"/>
    </w:rPr>
  </w:style>
  <w:style w:type="character" w:styleId="HTMLKeyboard">
    <w:name w:val="HTML Keyboard"/>
    <w:semiHidden/>
    <w:qFormat/>
    <w:rPr>
      <w:rFonts w:ascii="Courier New" w:hAnsi="Courier New" w:cs="Courier New"/>
      <w:sz w:val="20"/>
      <w:szCs w:val="20"/>
    </w:rPr>
  </w:style>
  <w:style w:type="character" w:styleId="HTMLSample">
    <w:name w:val="HTML Sample"/>
    <w:semiHidden/>
    <w:qFormat/>
    <w:rPr>
      <w:rFonts w:ascii="Courier New" w:hAnsi="Courier New" w:cs="Courier New"/>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val="zh-CN"/>
    </w:rPr>
  </w:style>
  <w:style w:type="paragraph" w:customStyle="1" w:styleId="SMG">
    <w:name w:val="__S_M_G"/>
    <w:basedOn w:val="Normal"/>
    <w:next w:val="Normal"/>
    <w:qFormat/>
    <w:pPr>
      <w:keepNext/>
      <w:keepLines/>
      <w:spacing w:before="240" w:after="240" w:line="420" w:lineRule="exact"/>
      <w:ind w:left="1134" w:right="1134"/>
    </w:pPr>
    <w:rPr>
      <w:b/>
      <w:sz w:val="40"/>
    </w:rPr>
  </w:style>
  <w:style w:type="paragraph" w:customStyle="1" w:styleId="SLG">
    <w:name w:val="__S_L_G"/>
    <w:basedOn w:val="Normal"/>
    <w:next w:val="Normal"/>
    <w:qFormat/>
    <w:pPr>
      <w:keepNext/>
      <w:keepLines/>
      <w:spacing w:before="240" w:after="240" w:line="580" w:lineRule="exact"/>
      <w:ind w:left="1134" w:right="1134"/>
    </w:pPr>
    <w:rPr>
      <w:b/>
      <w:sz w:val="56"/>
    </w:rPr>
  </w:style>
  <w:style w:type="paragraph" w:customStyle="1" w:styleId="SSG">
    <w:name w:val="__S_S_G"/>
    <w:basedOn w:val="Normal"/>
    <w:next w:val="Normal"/>
    <w:qFormat/>
    <w:pPr>
      <w:keepNext/>
      <w:keepLines/>
      <w:spacing w:before="240" w:after="240" w:line="300" w:lineRule="exact"/>
      <w:ind w:left="1134" w:right="1134"/>
    </w:pPr>
    <w:rPr>
      <w:b/>
      <w:sz w:val="28"/>
    </w:rPr>
  </w:style>
  <w:style w:type="paragraph" w:customStyle="1" w:styleId="XLargeG">
    <w:name w:val="__XLarge_G"/>
    <w:basedOn w:val="Normal"/>
    <w:next w:val="Normal"/>
    <w:qFormat/>
    <w:pPr>
      <w:keepNext/>
      <w:keepLines/>
      <w:spacing w:before="240" w:after="240" w:line="420" w:lineRule="exact"/>
      <w:ind w:left="1134" w:right="1134"/>
    </w:pPr>
    <w:rPr>
      <w:b/>
      <w:sz w:val="40"/>
    </w:rPr>
  </w:style>
  <w:style w:type="paragraph" w:customStyle="1" w:styleId="Bullet1G">
    <w:name w:val="_Bullet 1_G"/>
    <w:basedOn w:val="Normal"/>
    <w:qFormat/>
    <w:pPr>
      <w:numPr>
        <w:numId w:val="11"/>
      </w:numPr>
      <w:spacing w:after="120"/>
      <w:ind w:right="1134"/>
      <w:jc w:val="both"/>
    </w:pPr>
  </w:style>
  <w:style w:type="paragraph" w:customStyle="1" w:styleId="Bullet2G">
    <w:name w:val="_Bullet 2_G"/>
    <w:basedOn w:val="Normal"/>
    <w:qFormat/>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character" w:customStyle="1" w:styleId="BalloonTextChar">
    <w:name w:val="Balloon Text Char"/>
    <w:link w:val="BalloonText"/>
    <w:qFormat/>
    <w:rPr>
      <w:rFonts w:ascii="Tahoma" w:hAnsi="Tahoma" w:cs="Tahoma"/>
      <w:sz w:val="16"/>
      <w:szCs w:val="16"/>
      <w:lang w:eastAsia="en-US"/>
    </w:rPr>
  </w:style>
  <w:style w:type="character" w:customStyle="1" w:styleId="HChGChar">
    <w:name w:val="_ H _Ch_G Char"/>
    <w:link w:val="HChG"/>
    <w:qFormat/>
    <w:rPr>
      <w:b/>
      <w:sz w:val="28"/>
      <w:lang w:eastAsia="en-US"/>
    </w:rPr>
  </w:style>
  <w:style w:type="paragraph" w:styleId="ListParagraph">
    <w:name w:val="List Paragraph"/>
    <w:basedOn w:val="Normal"/>
    <w:uiPriority w:val="1"/>
    <w:qFormat/>
    <w:pPr>
      <w:suppressAutoHyphens w:val="0"/>
      <w:spacing w:line="240" w:lineRule="auto"/>
      <w:ind w:left="720"/>
      <w:jc w:val="both"/>
    </w:pPr>
    <w:rPr>
      <w:sz w:val="24"/>
      <w:szCs w:val="24"/>
      <w:lang w:val="en-US"/>
    </w:rPr>
  </w:style>
  <w:style w:type="paragraph" w:customStyle="1" w:styleId="Default">
    <w:name w:val="Default"/>
    <w:qFormat/>
    <w:pPr>
      <w:autoSpaceDE w:val="0"/>
      <w:autoSpaceDN w:val="0"/>
      <w:adjustRightInd w:val="0"/>
    </w:pPr>
    <w:rPr>
      <w:rFonts w:eastAsia="Times New Roman"/>
      <w:color w:val="000000"/>
      <w:sz w:val="24"/>
      <w:szCs w:val="24"/>
      <w:lang w:val="sv-SE" w:eastAsia="sv-SE"/>
    </w:rPr>
  </w:style>
  <w:style w:type="character" w:customStyle="1" w:styleId="SingleTxtGChar">
    <w:name w:val="_ Single Txt_G Char"/>
    <w:link w:val="SingleTxtG"/>
    <w:qFormat/>
    <w:locked/>
    <w:rPr>
      <w:lang w:eastAsia="en-US"/>
    </w:rPr>
  </w:style>
  <w:style w:type="character" w:customStyle="1" w:styleId="FootnoteTextChar">
    <w:name w:val="Footnote Text Char"/>
    <w:link w:val="FootnoteText"/>
    <w:qFormat/>
    <w:rPr>
      <w:sz w:val="18"/>
      <w:lang w:eastAsia="en-US"/>
    </w:rPr>
  </w:style>
  <w:style w:type="character" w:customStyle="1" w:styleId="CommentTextChar">
    <w:name w:val="Comment Text Char"/>
    <w:link w:val="CommentText"/>
    <w:uiPriority w:val="99"/>
    <w:qFormat/>
    <w:rPr>
      <w:lang w:val="en-GB"/>
    </w:rPr>
  </w:style>
  <w:style w:type="character" w:customStyle="1" w:styleId="CommentSubjectChar">
    <w:name w:val="Comment Subject Char"/>
    <w:link w:val="CommentSubject"/>
    <w:qFormat/>
    <w:rPr>
      <w:b/>
      <w:bCs/>
      <w:lang w:val="en-GB"/>
    </w:rPr>
  </w:style>
  <w:style w:type="paragraph" w:customStyle="1" w:styleId="Listenabsatz1">
    <w:name w:val="Listenabsatz1"/>
    <w:basedOn w:val="Normal"/>
    <w:uiPriority w:val="99"/>
    <w:qFormat/>
    <w:pPr>
      <w:suppressAutoHyphens w:val="0"/>
      <w:spacing w:line="240" w:lineRule="auto"/>
      <w:ind w:left="720"/>
      <w:contextualSpacing/>
    </w:pPr>
    <w:rPr>
      <w:sz w:val="24"/>
      <w:szCs w:val="24"/>
      <w:lang w:eastAsia="en-GB"/>
    </w:rPr>
  </w:style>
  <w:style w:type="character" w:customStyle="1" w:styleId="Heading3Char">
    <w:name w:val="Heading 3 Char"/>
    <w:link w:val="Heading3"/>
    <w:qFormat/>
    <w:rPr>
      <w:lang w:eastAsia="en-US"/>
    </w:rPr>
  </w:style>
  <w:style w:type="paragraph" w:customStyle="1" w:styleId="GHSHeading4">
    <w:name w:val="GHSHeading4"/>
    <w:basedOn w:val="Normal"/>
    <w:qFormat/>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qFormat/>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qFormat/>
    <w:pPr>
      <w:suppressAutoHyphens w:val="0"/>
      <w:spacing w:line="240" w:lineRule="auto"/>
    </w:pPr>
    <w:rPr>
      <w:sz w:val="22"/>
      <w:szCs w:val="24"/>
    </w:rPr>
  </w:style>
  <w:style w:type="character" w:customStyle="1" w:styleId="H1GChar">
    <w:name w:val="_ H_1_G Char"/>
    <w:link w:val="H1G"/>
    <w:qFormat/>
    <w:rPr>
      <w:b/>
      <w:sz w:val="24"/>
      <w:lang w:eastAsia="en-US"/>
    </w:rPr>
  </w:style>
  <w:style w:type="paragraph" w:customStyle="1" w:styleId="ManualBodyText">
    <w:name w:val="Manual Body Text"/>
    <w:basedOn w:val="BodyText"/>
    <w:link w:val="ManualBodyTextChar"/>
    <w:qFormat/>
    <w:p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qFormat/>
    <w:pPr>
      <w:keepNext/>
      <w:keepLines/>
      <w:tabs>
        <w:tab w:val="clear" w:pos="1418"/>
      </w:tabs>
      <w:jc w:val="center"/>
    </w:pPr>
    <w:rPr>
      <w:b/>
      <w:sz w:val="26"/>
      <w:szCs w:val="26"/>
    </w:rPr>
  </w:style>
  <w:style w:type="paragraph" w:customStyle="1" w:styleId="ManualHeading2">
    <w:name w:val="Manual Heading 2"/>
    <w:basedOn w:val="ManualBodyText"/>
    <w:next w:val="ManualBodyText"/>
    <w:qFormat/>
    <w:pPr>
      <w:keepNext/>
      <w:keepLines/>
    </w:pPr>
    <w:rPr>
      <w:b/>
    </w:rPr>
  </w:style>
  <w:style w:type="paragraph" w:customStyle="1" w:styleId="ManualHeading3">
    <w:name w:val="Manual Heading 3"/>
    <w:basedOn w:val="ManualBodyText"/>
    <w:next w:val="ManualBodyText"/>
    <w:pPr>
      <w:keepNext/>
      <w:keepLines/>
    </w:pPr>
    <w:rPr>
      <w:b/>
    </w:rPr>
  </w:style>
  <w:style w:type="paragraph" w:customStyle="1" w:styleId="ManualHeading4">
    <w:name w:val="Manual Heading 4"/>
    <w:basedOn w:val="ManualBodyText"/>
    <w:next w:val="ManualBodyText"/>
    <w:qFormat/>
    <w:pPr>
      <w:keepNext/>
      <w:keepLines/>
    </w:pPr>
  </w:style>
  <w:style w:type="paragraph" w:customStyle="1" w:styleId="ManualHeading5">
    <w:name w:val="Manual Heading 5"/>
    <w:basedOn w:val="ManualBodyText"/>
    <w:next w:val="ManualBodyText"/>
    <w:qFormat/>
    <w:pPr>
      <w:keepNext/>
      <w:keepLines/>
    </w:pPr>
  </w:style>
  <w:style w:type="paragraph" w:customStyle="1" w:styleId="ManualHeading6">
    <w:name w:val="Manual Heading 6"/>
    <w:basedOn w:val="ManualBodyText"/>
    <w:next w:val="ManualBodyText"/>
    <w:qFormat/>
    <w:pPr>
      <w:keepNext/>
      <w:keepLines/>
    </w:pPr>
  </w:style>
  <w:style w:type="paragraph" w:customStyle="1" w:styleId="ManualPartEN">
    <w:name w:val="Manual Part EN"/>
    <w:basedOn w:val="ManualHeading1"/>
    <w:next w:val="ManualHeading1"/>
    <w:qFormat/>
    <w:rPr>
      <w:bCs/>
      <w:sz w:val="56"/>
      <w:szCs w:val="44"/>
    </w:rPr>
  </w:style>
  <w:style w:type="character" w:customStyle="1" w:styleId="HTMLPreformattedChar">
    <w:name w:val="HTML Preformatted Char"/>
    <w:link w:val="HTMLPreformatted"/>
    <w:uiPriority w:val="99"/>
    <w:qFormat/>
    <w:rPr>
      <w:rFonts w:ascii="Courier New" w:hAnsi="Courier New" w:cs="Courier New"/>
      <w:lang w:eastAsia="en-US"/>
    </w:rPr>
  </w:style>
  <w:style w:type="character" w:customStyle="1" w:styleId="FooterChar">
    <w:name w:val="Footer Char"/>
    <w:link w:val="Footer"/>
    <w:uiPriority w:val="99"/>
    <w:qFormat/>
    <w:rPr>
      <w:sz w:val="16"/>
      <w:lang w:eastAsia="en-US"/>
    </w:rPr>
  </w:style>
  <w:style w:type="character" w:customStyle="1" w:styleId="BodyTextIndentChar">
    <w:name w:val="Body Text Indent Char"/>
    <w:link w:val="BodyTextIndent"/>
    <w:semiHidden/>
    <w:qFormat/>
    <w:rPr>
      <w:lang w:eastAsia="en-US"/>
    </w:rPr>
  </w:style>
  <w:style w:type="character" w:customStyle="1" w:styleId="BodyTextIndent2Char">
    <w:name w:val="Body Text Indent 2 Char"/>
    <w:link w:val="BodyTextIndent2"/>
    <w:semiHidden/>
    <w:qFormat/>
    <w:rPr>
      <w:lang w:eastAsia="en-US"/>
    </w:rPr>
  </w:style>
  <w:style w:type="character" w:customStyle="1" w:styleId="BodyTextChar">
    <w:name w:val="Body Text Char"/>
    <w:link w:val="BodyText"/>
    <w:semiHidden/>
    <w:qFormat/>
    <w:rPr>
      <w:lang w:eastAsia="en-US"/>
    </w:rPr>
  </w:style>
  <w:style w:type="character" w:customStyle="1" w:styleId="HeaderChar">
    <w:name w:val="Header Char"/>
    <w:link w:val="Header"/>
    <w:qFormat/>
    <w:rPr>
      <w:b/>
      <w:sz w:val="18"/>
      <w:lang w:eastAsia="en-US"/>
    </w:rPr>
  </w:style>
  <w:style w:type="character" w:customStyle="1" w:styleId="BodyTextIndent3Char">
    <w:name w:val="Body Text Indent 3 Char"/>
    <w:link w:val="BodyTextIndent3"/>
    <w:semiHidden/>
    <w:qFormat/>
    <w:rPr>
      <w:sz w:val="16"/>
      <w:szCs w:val="16"/>
      <w:lang w:eastAsia="en-US"/>
    </w:rPr>
  </w:style>
  <w:style w:type="character" w:customStyle="1" w:styleId="TitleChar">
    <w:name w:val="Title Char"/>
    <w:link w:val="Title"/>
    <w:qFormat/>
    <w:rPr>
      <w:rFonts w:ascii="Arial" w:hAnsi="Arial" w:cs="Arial"/>
      <w:b/>
      <w:bCs/>
      <w:kern w:val="28"/>
      <w:sz w:val="32"/>
      <w:szCs w:val="32"/>
      <w:lang w:eastAsia="en-US"/>
    </w:rPr>
  </w:style>
  <w:style w:type="character" w:customStyle="1" w:styleId="Heading5Char">
    <w:name w:val="Heading 5 Char"/>
    <w:link w:val="Heading5"/>
    <w:qFormat/>
    <w:rPr>
      <w:lang w:eastAsia="en-US"/>
    </w:rPr>
  </w:style>
  <w:style w:type="character" w:customStyle="1" w:styleId="EndnoteTextChar">
    <w:name w:val="Endnote Text Char"/>
    <w:link w:val="EndnoteText"/>
    <w:qFormat/>
    <w:rPr>
      <w:sz w:val="18"/>
      <w:lang w:val="zh-CN" w:eastAsia="en-US"/>
    </w:rPr>
  </w:style>
  <w:style w:type="paragraph" w:customStyle="1" w:styleId="a">
    <w:name w:val="–"/>
    <w:semiHidden/>
    <w:qFormat/>
    <w:pPr>
      <w:autoSpaceDE w:val="0"/>
      <w:autoSpaceDN w:val="0"/>
      <w:adjustRightInd w:val="0"/>
      <w:jc w:val="both"/>
    </w:pPr>
    <w:rPr>
      <w:rFonts w:ascii="Arial" w:eastAsia="Times New Roman" w:hAnsi="Arial"/>
      <w:sz w:val="24"/>
      <w:szCs w:val="24"/>
      <w:lang w:eastAsia="en-US"/>
    </w:rPr>
  </w:style>
  <w:style w:type="paragraph" w:customStyle="1" w:styleId="font5">
    <w:name w:val="font5"/>
    <w:basedOn w:val="Normal"/>
    <w:semiHidden/>
    <w:qFormat/>
    <w:pPr>
      <w:suppressAutoHyphens w:val="0"/>
      <w:spacing w:before="100" w:beforeAutospacing="1" w:after="100" w:afterAutospacing="1" w:line="240" w:lineRule="auto"/>
    </w:pPr>
    <w:rPr>
      <w:rFonts w:ascii="CG Times" w:hAnsi="CG Times"/>
    </w:rPr>
  </w:style>
  <w:style w:type="paragraph" w:customStyle="1" w:styleId="Document1">
    <w:name w:val="Document 1"/>
    <w:semiHidden/>
    <w:qFormat/>
    <w:pPr>
      <w:keepNext/>
      <w:keepLines/>
      <w:tabs>
        <w:tab w:val="left" w:pos="-720"/>
      </w:tabs>
      <w:suppressAutoHyphens/>
    </w:pPr>
    <w:rPr>
      <w:rFonts w:ascii="Times Roman" w:eastAsia="Times New Roman" w:hAnsi="Times Roman"/>
      <w:sz w:val="22"/>
      <w:lang w:eastAsia="en-US"/>
    </w:rPr>
  </w:style>
  <w:style w:type="paragraph" w:customStyle="1" w:styleId="Num-DocParagraph">
    <w:name w:val="Num-Doc Paragraph"/>
    <w:basedOn w:val="BodyText"/>
    <w:qFormat/>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qFormat/>
    <w:rPr>
      <w:lang w:eastAsia="en-US"/>
    </w:rPr>
  </w:style>
  <w:style w:type="character" w:customStyle="1" w:styleId="ManualBodyTextChar">
    <w:name w:val="Manual Body Text Char"/>
    <w:link w:val="ManualBodyText"/>
    <w:qFormat/>
    <w:rPr>
      <w:sz w:val="22"/>
      <w:szCs w:val="22"/>
      <w:lang w:eastAsia="fr-FR"/>
    </w:rPr>
  </w:style>
  <w:style w:type="character" w:styleId="PlaceholderText">
    <w:name w:val="Placeholder Text"/>
    <w:uiPriority w:val="99"/>
    <w:semiHidden/>
    <w:qFormat/>
    <w:rPr>
      <w:color w:val="808080"/>
    </w:rPr>
  </w:style>
  <w:style w:type="paragraph" w:customStyle="1" w:styleId="Level1">
    <w:name w:val="Level 1"/>
    <w:semiHidden/>
    <w:qFormat/>
    <w:pPr>
      <w:autoSpaceDE w:val="0"/>
      <w:autoSpaceDN w:val="0"/>
      <w:adjustRightInd w:val="0"/>
      <w:ind w:left="-1440"/>
      <w:jc w:val="both"/>
    </w:pPr>
    <w:rPr>
      <w:rFonts w:eastAsia="Times New Roman"/>
      <w:sz w:val="24"/>
      <w:szCs w:val="24"/>
      <w:lang w:val="en-GB" w:eastAsia="fr-FR"/>
    </w:rPr>
  </w:style>
  <w:style w:type="paragraph" w:customStyle="1" w:styleId="Level2">
    <w:name w:val="Level 2"/>
    <w:semiHidden/>
    <w:qFormat/>
    <w:pPr>
      <w:autoSpaceDE w:val="0"/>
      <w:autoSpaceDN w:val="0"/>
      <w:adjustRightInd w:val="0"/>
      <w:ind w:left="-1440"/>
      <w:jc w:val="both"/>
    </w:pPr>
    <w:rPr>
      <w:rFonts w:eastAsia="Times New Roman"/>
      <w:sz w:val="24"/>
      <w:szCs w:val="24"/>
      <w:lang w:val="en-GB" w:eastAsia="fr-FR"/>
    </w:rPr>
  </w:style>
  <w:style w:type="paragraph" w:customStyle="1" w:styleId="Level3">
    <w:name w:val="Level 3"/>
    <w:semiHidden/>
    <w:qFormat/>
    <w:pPr>
      <w:autoSpaceDE w:val="0"/>
      <w:autoSpaceDN w:val="0"/>
      <w:adjustRightInd w:val="0"/>
      <w:ind w:left="-1440"/>
      <w:jc w:val="both"/>
    </w:pPr>
    <w:rPr>
      <w:rFonts w:eastAsia="Times New Roman"/>
      <w:sz w:val="24"/>
      <w:szCs w:val="24"/>
      <w:lang w:val="en-GB" w:eastAsia="fr-FR"/>
    </w:rPr>
  </w:style>
  <w:style w:type="paragraph" w:customStyle="1" w:styleId="Level4">
    <w:name w:val="Level 4"/>
    <w:semiHidden/>
    <w:qFormat/>
    <w:pPr>
      <w:autoSpaceDE w:val="0"/>
      <w:autoSpaceDN w:val="0"/>
      <w:adjustRightInd w:val="0"/>
      <w:ind w:left="-1440"/>
      <w:jc w:val="both"/>
    </w:pPr>
    <w:rPr>
      <w:rFonts w:eastAsia="Times New Roman"/>
      <w:sz w:val="24"/>
      <w:szCs w:val="24"/>
      <w:lang w:val="en-GB" w:eastAsia="fr-FR"/>
    </w:rPr>
  </w:style>
  <w:style w:type="paragraph" w:customStyle="1" w:styleId="Level5">
    <w:name w:val="Level 5"/>
    <w:semiHidden/>
    <w:qFormat/>
    <w:pPr>
      <w:autoSpaceDE w:val="0"/>
      <w:autoSpaceDN w:val="0"/>
      <w:adjustRightInd w:val="0"/>
      <w:ind w:left="-1440"/>
      <w:jc w:val="both"/>
    </w:pPr>
    <w:rPr>
      <w:rFonts w:eastAsia="Times New Roman"/>
      <w:sz w:val="24"/>
      <w:szCs w:val="24"/>
      <w:lang w:val="en-GB" w:eastAsia="fr-FR"/>
    </w:rPr>
  </w:style>
  <w:style w:type="paragraph" w:customStyle="1" w:styleId="Level6">
    <w:name w:val="Level 6"/>
    <w:semiHidden/>
    <w:qFormat/>
    <w:pPr>
      <w:autoSpaceDE w:val="0"/>
      <w:autoSpaceDN w:val="0"/>
      <w:adjustRightInd w:val="0"/>
      <w:ind w:left="-1440"/>
      <w:jc w:val="both"/>
    </w:pPr>
    <w:rPr>
      <w:rFonts w:eastAsia="Times New Roman"/>
      <w:sz w:val="24"/>
      <w:szCs w:val="24"/>
      <w:lang w:val="en-GB" w:eastAsia="fr-FR"/>
    </w:rPr>
  </w:style>
  <w:style w:type="paragraph" w:customStyle="1" w:styleId="Level7">
    <w:name w:val="Level 7"/>
    <w:semiHidden/>
    <w:qFormat/>
    <w:pPr>
      <w:autoSpaceDE w:val="0"/>
      <w:autoSpaceDN w:val="0"/>
      <w:adjustRightInd w:val="0"/>
      <w:ind w:left="-1440"/>
      <w:jc w:val="both"/>
    </w:pPr>
    <w:rPr>
      <w:rFonts w:eastAsia="Times New Roman"/>
      <w:sz w:val="24"/>
      <w:szCs w:val="24"/>
      <w:lang w:val="en-GB" w:eastAsia="fr-FR"/>
    </w:rPr>
  </w:style>
  <w:style w:type="paragraph" w:customStyle="1" w:styleId="Level8">
    <w:name w:val="Level 8"/>
    <w:semiHidden/>
    <w:qFormat/>
    <w:pPr>
      <w:autoSpaceDE w:val="0"/>
      <w:autoSpaceDN w:val="0"/>
      <w:adjustRightInd w:val="0"/>
      <w:ind w:left="-1440"/>
      <w:jc w:val="both"/>
    </w:pPr>
    <w:rPr>
      <w:rFonts w:eastAsia="Times New Roman"/>
      <w:sz w:val="24"/>
      <w:szCs w:val="24"/>
      <w:lang w:val="en-GB" w:eastAsia="fr-FR"/>
    </w:rPr>
  </w:style>
  <w:style w:type="paragraph" w:customStyle="1" w:styleId="Level9">
    <w:name w:val="Level 9"/>
    <w:semiHidden/>
    <w:qFormat/>
    <w:pPr>
      <w:autoSpaceDE w:val="0"/>
      <w:autoSpaceDN w:val="0"/>
      <w:adjustRightInd w:val="0"/>
      <w:ind w:left="-1440"/>
      <w:jc w:val="both"/>
    </w:pPr>
    <w:rPr>
      <w:rFonts w:eastAsia="Times New Roman"/>
      <w:b/>
      <w:bCs/>
      <w:sz w:val="24"/>
      <w:szCs w:val="24"/>
      <w:lang w:val="en-GB" w:eastAsia="fr-FR"/>
    </w:rPr>
  </w:style>
  <w:style w:type="character" w:customStyle="1" w:styleId="H23GChar">
    <w:name w:val="_ H_2/3_G Char"/>
    <w:link w:val="H23G"/>
    <w:qFormat/>
    <w:rPr>
      <w:b/>
      <w:lang w:eastAsia="en-US"/>
    </w:rPr>
  </w:style>
  <w:style w:type="paragraph" w:customStyle="1" w:styleId="1">
    <w:name w:val="修订1"/>
    <w:hidden/>
    <w:uiPriority w:val="99"/>
    <w:semiHidden/>
    <w:qFormat/>
    <w:rPr>
      <w:rFonts w:eastAsia="Times New Roman"/>
      <w:lang w:val="fr-FR" w:eastAsia="fr-FR"/>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baidu.com/link?url=PzXwyuMjlU7kOr2wG0HMLsOAUBRpnNu3RxMarVGnZMhrhitfN-0NV7Ifv_xMiNoAihHBWPAvWZ5U0I2xkeKv56xdUNiCc7CD7c6d0_9m4fNDlomp3rOowWYDZ09frn6i"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A90725-F807-41FD-A2B8-AB446510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11</TotalTime>
  <Pages>5</Pages>
  <Words>990</Words>
  <Characters>7925</Characters>
  <Application>Microsoft Office Word</Application>
  <DocSecurity>0</DocSecurity>
  <Lines>1981</Lines>
  <Paragraphs>685</Paragraphs>
  <ScaleCrop>false</ScaleCrop>
  <HeadingPairs>
    <vt:vector size="2" baseType="variant">
      <vt:variant>
        <vt:lpstr>Title</vt:lpstr>
      </vt:variant>
      <vt:variant>
        <vt:i4>1</vt:i4>
      </vt:variant>
    </vt:vector>
  </HeadingPairs>
  <TitlesOfParts>
    <vt:vector size="1" baseType="lpstr">
      <vt:lpstr>55th TDG IME INF on 8(d) Test</vt:lpstr>
    </vt:vector>
  </TitlesOfParts>
  <Company>CSD</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55th TDG IME INF on 8(d) Test</dc:title>
  <dc:creator>N Hsu (IME)</dc:creator>
  <cp:lastModifiedBy>Laurence Berthet</cp:lastModifiedBy>
  <cp:revision>4</cp:revision>
  <cp:lastPrinted>2019-11-27T10:49:00Z</cp:lastPrinted>
  <dcterms:created xsi:type="dcterms:W3CDTF">2019-11-27T08:56:00Z</dcterms:created>
  <dcterms:modified xsi:type="dcterms:W3CDTF">2019-11-27T10:52:00Z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2052-11.1.0.9175</vt:lpwstr>
  </property>
</Properties>
</file>