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993" w:tblpY="568"/>
        <w:tblOverlap w:val="never"/>
        <w:tblW w:w="9923" w:type="dxa"/>
        <w:tblLayout w:type="fixed"/>
        <w:tblCellMar>
          <w:left w:w="0" w:type="dxa"/>
          <w:right w:w="0" w:type="dxa"/>
        </w:tblCellMar>
        <w:tblLook w:val="01E0" w:firstRow="1" w:lastRow="1" w:firstColumn="1" w:lastColumn="1" w:noHBand="0" w:noVBand="0"/>
      </w:tblPr>
      <w:tblGrid>
        <w:gridCol w:w="1401"/>
        <w:gridCol w:w="2236"/>
        <w:gridCol w:w="6286"/>
      </w:tblGrid>
      <w:tr w:rsidR="00960AFB" w:rsidRPr="00B11992" w14:paraId="08499EB9" w14:textId="77777777" w:rsidTr="00F7569E">
        <w:trPr>
          <w:trHeight w:val="851"/>
        </w:trPr>
        <w:tc>
          <w:tcPr>
            <w:tcW w:w="1401" w:type="dxa"/>
            <w:shd w:val="clear" w:color="auto" w:fill="auto"/>
          </w:tcPr>
          <w:p w14:paraId="4D2A77E8" w14:textId="77777777" w:rsidR="00960AFB" w:rsidRPr="00B11992" w:rsidRDefault="00960AFB" w:rsidP="00960AFB">
            <w:pPr>
              <w:spacing w:after="80" w:line="340" w:lineRule="exact"/>
              <w:rPr>
                <w:lang w:val="fr-FR"/>
              </w:rPr>
            </w:pPr>
          </w:p>
        </w:tc>
        <w:tc>
          <w:tcPr>
            <w:tcW w:w="2236" w:type="dxa"/>
            <w:shd w:val="clear" w:color="auto" w:fill="auto"/>
            <w:vAlign w:val="bottom"/>
          </w:tcPr>
          <w:p w14:paraId="7146E050" w14:textId="77777777" w:rsidR="00960AFB" w:rsidRPr="00B11992" w:rsidRDefault="00960AFB" w:rsidP="00960AFB">
            <w:pPr>
              <w:spacing w:after="80" w:line="340" w:lineRule="exact"/>
              <w:rPr>
                <w:sz w:val="28"/>
                <w:szCs w:val="28"/>
                <w:lang w:val="fr-FR"/>
              </w:rPr>
            </w:pPr>
          </w:p>
        </w:tc>
        <w:tc>
          <w:tcPr>
            <w:tcW w:w="6286" w:type="dxa"/>
            <w:shd w:val="clear" w:color="auto" w:fill="auto"/>
            <w:vAlign w:val="bottom"/>
          </w:tcPr>
          <w:p w14:paraId="47183F85" w14:textId="6AA263F5" w:rsidR="00960AFB" w:rsidRPr="00B11992" w:rsidRDefault="00960AFB" w:rsidP="00D87AEF">
            <w:pPr>
              <w:ind w:right="147"/>
              <w:jc w:val="right"/>
              <w:rPr>
                <w:highlight w:val="yellow"/>
                <w:lang w:val="fr-FR"/>
              </w:rPr>
            </w:pPr>
            <w:r w:rsidRPr="00B11992">
              <w:rPr>
                <w:b/>
                <w:sz w:val="40"/>
                <w:szCs w:val="40"/>
                <w:lang w:val="fr-FR"/>
              </w:rPr>
              <w:t>UN/SCETDG/56/INF.</w:t>
            </w:r>
            <w:r w:rsidR="00B304A8" w:rsidRPr="00B11992">
              <w:rPr>
                <w:b/>
                <w:sz w:val="40"/>
                <w:szCs w:val="40"/>
                <w:lang w:val="fr-FR"/>
              </w:rPr>
              <w:t>1</w:t>
            </w:r>
            <w:r w:rsidR="009F71F6" w:rsidRPr="00B11992">
              <w:rPr>
                <w:b/>
                <w:sz w:val="40"/>
                <w:szCs w:val="40"/>
                <w:lang w:val="fr-FR"/>
              </w:rPr>
              <w:t>7</w:t>
            </w:r>
          </w:p>
        </w:tc>
      </w:tr>
    </w:tbl>
    <w:tbl>
      <w:tblPr>
        <w:tblW w:w="9895" w:type="dxa"/>
        <w:tblInd w:w="-142" w:type="dxa"/>
        <w:tblLayout w:type="fixed"/>
        <w:tblLook w:val="04A0" w:firstRow="1" w:lastRow="0" w:firstColumn="1" w:lastColumn="0" w:noHBand="0" w:noVBand="1"/>
      </w:tblPr>
      <w:tblGrid>
        <w:gridCol w:w="9895"/>
      </w:tblGrid>
      <w:tr w:rsidR="00960AFB" w:rsidRPr="00B11992" w14:paraId="3437CD6E" w14:textId="77777777" w:rsidTr="00F7569E">
        <w:tc>
          <w:tcPr>
            <w:tcW w:w="9895" w:type="dxa"/>
            <w:tcBorders>
              <w:top w:val="single" w:sz="4" w:space="0" w:color="auto"/>
            </w:tcBorders>
            <w:tcMar>
              <w:top w:w="142" w:type="dxa"/>
              <w:left w:w="108" w:type="dxa"/>
              <w:bottom w:w="142" w:type="dxa"/>
              <w:right w:w="108" w:type="dxa"/>
            </w:tcMar>
          </w:tcPr>
          <w:p w14:paraId="0B5AC4AD" w14:textId="238B8B3A" w:rsidR="00960AFB" w:rsidRPr="00B11992" w:rsidRDefault="00A920BD" w:rsidP="00960AFB">
            <w:pPr>
              <w:tabs>
                <w:tab w:val="right" w:pos="9214"/>
              </w:tabs>
              <w:rPr>
                <w:b/>
                <w:lang w:val="fr-FR"/>
              </w:rPr>
            </w:pPr>
            <w:r w:rsidRPr="00B11992">
              <w:rPr>
                <w:b/>
                <w:sz w:val="24"/>
                <w:szCs w:val="24"/>
                <w:lang w:val="fr-FR"/>
              </w:rPr>
              <w:t>Comité d’experts du transport des marchandises dangereuses</w:t>
            </w:r>
            <w:r w:rsidRPr="00B11992">
              <w:rPr>
                <w:b/>
                <w:sz w:val="24"/>
                <w:szCs w:val="24"/>
                <w:lang w:val="fr-FR"/>
              </w:rPr>
              <w:br/>
              <w:t>et du Système général harmonisé de classification</w:t>
            </w:r>
            <w:r w:rsidRPr="00B11992">
              <w:rPr>
                <w:b/>
                <w:sz w:val="24"/>
                <w:szCs w:val="24"/>
                <w:lang w:val="fr-FR"/>
              </w:rPr>
              <w:br/>
              <w:t>et d’étiquetage des produits chimiques</w:t>
            </w:r>
            <w:r w:rsidR="00960AFB" w:rsidRPr="00B11992">
              <w:rPr>
                <w:b/>
                <w:lang w:val="fr-FR"/>
              </w:rPr>
              <w:tab/>
            </w:r>
            <w:r w:rsidR="009F71F6" w:rsidRPr="00B11992">
              <w:rPr>
                <w:b/>
                <w:lang w:val="fr-FR"/>
              </w:rPr>
              <w:t>2</w:t>
            </w:r>
            <w:r w:rsidR="0027126E">
              <w:rPr>
                <w:b/>
                <w:lang w:val="fr-FR"/>
              </w:rPr>
              <w:t>1</w:t>
            </w:r>
            <w:bookmarkStart w:id="0" w:name="_GoBack"/>
            <w:bookmarkEnd w:id="0"/>
            <w:r w:rsidR="00960AFB" w:rsidRPr="00B11992">
              <w:rPr>
                <w:b/>
                <w:lang w:val="fr-FR"/>
              </w:rPr>
              <w:t xml:space="preserve"> </w:t>
            </w:r>
            <w:r w:rsidRPr="00B11992">
              <w:rPr>
                <w:b/>
                <w:lang w:val="fr-FR"/>
              </w:rPr>
              <w:t>novembre</w:t>
            </w:r>
            <w:r w:rsidR="00960AFB" w:rsidRPr="00B11992">
              <w:rPr>
                <w:b/>
                <w:lang w:val="fr-FR"/>
              </w:rPr>
              <w:t xml:space="preserve"> </w:t>
            </w:r>
            <w:r w:rsidR="00960AFB" w:rsidRPr="00B11992">
              <w:rPr>
                <w:b/>
                <w:sz w:val="18"/>
                <w:szCs w:val="24"/>
                <w:lang w:val="fr-FR"/>
              </w:rPr>
              <w:t>2019</w:t>
            </w:r>
          </w:p>
        </w:tc>
      </w:tr>
      <w:tr w:rsidR="00960AFB" w:rsidRPr="00B11992" w14:paraId="750A7B19" w14:textId="77777777" w:rsidTr="00F7569E">
        <w:tc>
          <w:tcPr>
            <w:tcW w:w="9895" w:type="dxa"/>
            <w:tcMar>
              <w:top w:w="57" w:type="dxa"/>
              <w:left w:w="108" w:type="dxa"/>
              <w:bottom w:w="0" w:type="dxa"/>
              <w:right w:w="108" w:type="dxa"/>
            </w:tcMar>
            <w:vAlign w:val="center"/>
          </w:tcPr>
          <w:p w14:paraId="5BD0D1B9" w14:textId="1ACC8C2E" w:rsidR="00960AFB" w:rsidRPr="00B11992" w:rsidRDefault="00A920BD" w:rsidP="00A920BD">
            <w:pPr>
              <w:spacing w:before="120"/>
              <w:rPr>
                <w:b/>
                <w:lang w:val="fr-FR"/>
              </w:rPr>
            </w:pPr>
            <w:r w:rsidRPr="00B11992">
              <w:rPr>
                <w:b/>
                <w:lang w:val="fr-FR"/>
              </w:rPr>
              <w:t>Sous-Comité d’experts du transport des marchandises dangereuses</w:t>
            </w:r>
          </w:p>
        </w:tc>
      </w:tr>
      <w:tr w:rsidR="00960AFB" w:rsidRPr="00B11992" w14:paraId="5268A583" w14:textId="77777777" w:rsidTr="00F7569E">
        <w:tc>
          <w:tcPr>
            <w:tcW w:w="9895" w:type="dxa"/>
            <w:tcMar>
              <w:top w:w="57" w:type="dxa"/>
              <w:left w:w="108" w:type="dxa"/>
              <w:bottom w:w="0" w:type="dxa"/>
              <w:right w:w="108" w:type="dxa"/>
            </w:tcMar>
          </w:tcPr>
          <w:p w14:paraId="2E216691" w14:textId="2C4F89FC" w:rsidR="00960AFB" w:rsidRPr="00B11992" w:rsidRDefault="00A920BD" w:rsidP="00A920BD">
            <w:pPr>
              <w:spacing w:before="120"/>
              <w:rPr>
                <w:b/>
                <w:lang w:val="fr-FR"/>
              </w:rPr>
            </w:pPr>
            <w:r w:rsidRPr="00B11992">
              <w:rPr>
                <w:b/>
                <w:lang w:val="fr-FR"/>
              </w:rPr>
              <w:t>Cinquante-sixième session</w:t>
            </w:r>
          </w:p>
        </w:tc>
      </w:tr>
      <w:tr w:rsidR="00960AFB" w:rsidRPr="00B11992" w14:paraId="57E8104A" w14:textId="77777777" w:rsidTr="00F7569E">
        <w:tc>
          <w:tcPr>
            <w:tcW w:w="9895" w:type="dxa"/>
            <w:tcMar>
              <w:top w:w="28" w:type="dxa"/>
              <w:left w:w="108" w:type="dxa"/>
              <w:bottom w:w="0" w:type="dxa"/>
              <w:right w:w="108" w:type="dxa"/>
            </w:tcMar>
          </w:tcPr>
          <w:p w14:paraId="370B7CAB" w14:textId="77777777" w:rsidR="00A920BD" w:rsidRPr="00B11992" w:rsidRDefault="00A920BD" w:rsidP="00A920BD">
            <w:pPr>
              <w:rPr>
                <w:lang w:val="fr-FR"/>
              </w:rPr>
            </w:pPr>
            <w:r w:rsidRPr="00B11992">
              <w:rPr>
                <w:lang w:val="fr-FR"/>
              </w:rPr>
              <w:t>Genève, 2-11 décembre 2019</w:t>
            </w:r>
          </w:p>
          <w:p w14:paraId="59742624" w14:textId="50B05094" w:rsidR="00960AFB" w:rsidRPr="00B11992" w:rsidRDefault="00A920BD" w:rsidP="00960AFB">
            <w:pPr>
              <w:spacing w:after="60"/>
              <w:ind w:left="-12" w:firstLine="12"/>
              <w:rPr>
                <w:b/>
                <w:bCs/>
                <w:lang w:val="fr-FR"/>
              </w:rPr>
            </w:pPr>
            <w:r w:rsidRPr="00B11992">
              <w:rPr>
                <w:lang w:val="fr-FR"/>
              </w:rPr>
              <w:t>Point</w:t>
            </w:r>
            <w:r w:rsidR="00960AFB" w:rsidRPr="00B11992">
              <w:rPr>
                <w:lang w:val="fr-FR"/>
              </w:rPr>
              <w:t xml:space="preserve"> </w:t>
            </w:r>
            <w:r w:rsidR="009F71F6" w:rsidRPr="00B11992">
              <w:rPr>
                <w:lang w:val="fr-FR"/>
              </w:rPr>
              <w:t>4</w:t>
            </w:r>
            <w:r w:rsidR="00753D31" w:rsidRPr="00B11992">
              <w:rPr>
                <w:lang w:val="fr-FR"/>
              </w:rPr>
              <w:t xml:space="preserve"> </w:t>
            </w:r>
            <w:r w:rsidR="009F71F6" w:rsidRPr="00B11992">
              <w:rPr>
                <w:lang w:val="fr-FR"/>
              </w:rPr>
              <w:t>a</w:t>
            </w:r>
            <w:r w:rsidR="00753D31" w:rsidRPr="00B11992">
              <w:rPr>
                <w:lang w:val="fr-FR"/>
              </w:rPr>
              <w:t>)</w:t>
            </w:r>
            <w:r w:rsidR="00960AFB" w:rsidRPr="00B11992">
              <w:rPr>
                <w:lang w:val="fr-FR"/>
              </w:rPr>
              <w:t xml:space="preserve"> </w:t>
            </w:r>
            <w:r w:rsidRPr="00B11992">
              <w:rPr>
                <w:lang w:val="fr-FR"/>
              </w:rPr>
              <w:t>de l’ordre du jour provisoire</w:t>
            </w:r>
            <w:r w:rsidR="00960AFB" w:rsidRPr="00B11992">
              <w:rPr>
                <w:lang w:val="fr-FR"/>
              </w:rPr>
              <w:br/>
            </w:r>
            <w:r w:rsidRPr="00B11992">
              <w:rPr>
                <w:b/>
                <w:bCs/>
                <w:lang w:val="fr-FR"/>
              </w:rPr>
              <w:t xml:space="preserve">Systèmes de stockage de </w:t>
            </w:r>
            <w:proofErr w:type="gramStart"/>
            <w:r w:rsidRPr="00B11992">
              <w:rPr>
                <w:b/>
                <w:bCs/>
                <w:lang w:val="fr-FR"/>
              </w:rPr>
              <w:t>l’électricité</w:t>
            </w:r>
            <w:r w:rsidR="009F71F6" w:rsidRPr="00B11992">
              <w:rPr>
                <w:b/>
                <w:bCs/>
                <w:lang w:val="fr-FR"/>
              </w:rPr>
              <w:t>:</w:t>
            </w:r>
            <w:proofErr w:type="gramEnd"/>
            <w:r w:rsidR="009F71F6" w:rsidRPr="00B11992">
              <w:rPr>
                <w:b/>
                <w:bCs/>
                <w:lang w:val="fr-FR"/>
              </w:rPr>
              <w:t xml:space="preserve"> </w:t>
            </w:r>
            <w:r w:rsidRPr="00B11992">
              <w:rPr>
                <w:b/>
                <w:bCs/>
                <w:lang w:val="fr-FR"/>
              </w:rPr>
              <w:br/>
              <w:t>Épreuves pour batteries au lithium</w:t>
            </w:r>
          </w:p>
        </w:tc>
      </w:tr>
    </w:tbl>
    <w:p w14:paraId="5AA030A6" w14:textId="71143A95" w:rsidR="009F71F6" w:rsidRPr="00B11992" w:rsidRDefault="009F71F6" w:rsidP="009F71F6">
      <w:pPr>
        <w:pStyle w:val="HChG"/>
        <w:rPr>
          <w:lang w:val="fr-FR"/>
        </w:rPr>
      </w:pPr>
      <w:r w:rsidRPr="00B11992">
        <w:rPr>
          <w:lang w:val="fr-FR"/>
        </w:rPr>
        <w:tab/>
      </w:r>
      <w:r w:rsidRPr="00B11992">
        <w:rPr>
          <w:lang w:val="fr-FR"/>
        </w:rPr>
        <w:tab/>
      </w:r>
      <w:r w:rsidR="00267E12" w:rsidRPr="00B11992">
        <w:rPr>
          <w:lang w:val="fr-FR"/>
        </w:rPr>
        <w:t xml:space="preserve">Utilisation d'emballages </w:t>
      </w:r>
      <w:r w:rsidR="001800D4" w:rsidRPr="00B11992">
        <w:rPr>
          <w:lang w:val="fr-FR"/>
        </w:rPr>
        <w:t>dispensés des prescriptions du</w:t>
      </w:r>
      <w:r w:rsidR="00267E12" w:rsidRPr="00B11992">
        <w:rPr>
          <w:lang w:val="fr-FR"/>
        </w:rPr>
        <w:t xml:space="preserve"> 4.1.1.3 </w:t>
      </w:r>
      <w:r w:rsidR="001800D4" w:rsidRPr="00B11992">
        <w:rPr>
          <w:lang w:val="fr-FR"/>
        </w:rPr>
        <w:t>dont la masse nette dépasse</w:t>
      </w:r>
      <w:r w:rsidR="00267E12" w:rsidRPr="00B11992">
        <w:rPr>
          <w:lang w:val="fr-FR"/>
        </w:rPr>
        <w:t xml:space="preserve"> 400 kg</w:t>
      </w:r>
      <w:r w:rsidR="001800D4" w:rsidRPr="00B11992">
        <w:rPr>
          <w:lang w:val="fr-FR"/>
        </w:rPr>
        <w:t xml:space="preserve">, </w:t>
      </w:r>
      <w:r w:rsidR="00267E12" w:rsidRPr="00B11992">
        <w:rPr>
          <w:lang w:val="fr-FR"/>
        </w:rPr>
        <w:t>pour le transport de batteries au lithium</w:t>
      </w:r>
    </w:p>
    <w:p w14:paraId="4E77360F" w14:textId="0623565D" w:rsidR="009F71F6" w:rsidRPr="00B11992" w:rsidRDefault="009F71F6" w:rsidP="009F71F6">
      <w:pPr>
        <w:pStyle w:val="H1G"/>
        <w:rPr>
          <w:lang w:val="fr-FR"/>
        </w:rPr>
      </w:pPr>
      <w:r w:rsidRPr="00B11992">
        <w:rPr>
          <w:lang w:val="fr-FR"/>
        </w:rPr>
        <w:tab/>
      </w:r>
      <w:r w:rsidRPr="00B11992">
        <w:rPr>
          <w:lang w:val="fr-FR"/>
        </w:rPr>
        <w:tab/>
      </w:r>
      <w:r w:rsidR="00240918" w:rsidRPr="00B11992">
        <w:rPr>
          <w:lang w:val="fr-FR"/>
        </w:rPr>
        <w:t>Communication de la</w:t>
      </w:r>
      <w:r w:rsidRPr="00B11992">
        <w:rPr>
          <w:lang w:val="fr-FR"/>
        </w:rPr>
        <w:t xml:space="preserve"> Rechargeable Battery Association </w:t>
      </w:r>
      <w:r w:rsidR="00267E12" w:rsidRPr="00B11992">
        <w:rPr>
          <w:lang w:val="fr-FR"/>
        </w:rPr>
        <w:t xml:space="preserve">(PRBA) et </w:t>
      </w:r>
      <w:r w:rsidR="00240918" w:rsidRPr="00B11992">
        <w:rPr>
          <w:lang w:val="fr-FR"/>
        </w:rPr>
        <w:t xml:space="preserve">la </w:t>
      </w:r>
      <w:r w:rsidRPr="00B11992">
        <w:rPr>
          <w:lang w:val="fr-FR"/>
        </w:rPr>
        <w:t xml:space="preserve">Advanced Rechargeable &amp; Lithium Batteries </w:t>
      </w:r>
      <w:r w:rsidR="00240918" w:rsidRPr="00B11992">
        <w:rPr>
          <w:lang w:val="fr-FR"/>
        </w:rPr>
        <w:t>A</w:t>
      </w:r>
      <w:r w:rsidRPr="00B11992">
        <w:rPr>
          <w:lang w:val="fr-FR"/>
        </w:rPr>
        <w:t>ssociation</w:t>
      </w:r>
      <w:r w:rsidR="00267E12" w:rsidRPr="00B11992">
        <w:rPr>
          <w:lang w:val="fr-FR"/>
        </w:rPr>
        <w:t>”</w:t>
      </w:r>
      <w:r w:rsidR="00240918" w:rsidRPr="00B11992">
        <w:rPr>
          <w:lang w:val="fr-FR"/>
        </w:rPr>
        <w:t xml:space="preserve"> </w:t>
      </w:r>
      <w:r w:rsidRPr="00B11992">
        <w:rPr>
          <w:lang w:val="fr-FR"/>
        </w:rPr>
        <w:t>(RECHARGE)</w:t>
      </w:r>
      <w:r w:rsidRPr="00B11992">
        <w:rPr>
          <w:rStyle w:val="FootnoteReference"/>
          <w:lang w:val="fr-FR"/>
        </w:rPr>
        <w:t xml:space="preserve"> </w:t>
      </w:r>
    </w:p>
    <w:p w14:paraId="4E61AA8D" w14:textId="77777777" w:rsidR="009F71F6" w:rsidRPr="00B11992" w:rsidRDefault="009F71F6" w:rsidP="009F71F6">
      <w:pPr>
        <w:pStyle w:val="HChG"/>
        <w:rPr>
          <w:lang w:val="fr-FR"/>
        </w:rPr>
      </w:pPr>
      <w:r w:rsidRPr="00B11992">
        <w:rPr>
          <w:lang w:val="fr-FR"/>
        </w:rPr>
        <w:tab/>
      </w:r>
      <w:r w:rsidRPr="00B11992">
        <w:rPr>
          <w:lang w:val="fr-FR"/>
        </w:rPr>
        <w:tab/>
        <w:t>Introduction</w:t>
      </w:r>
    </w:p>
    <w:p w14:paraId="323A66B7" w14:textId="77777777" w:rsidR="001800D4" w:rsidRPr="00B11992" w:rsidRDefault="00267E12" w:rsidP="00267E12">
      <w:pPr>
        <w:pStyle w:val="SingleTxtG"/>
        <w:rPr>
          <w:lang w:val="fr-FR"/>
        </w:rPr>
      </w:pPr>
      <w:r w:rsidRPr="00B11992">
        <w:rPr>
          <w:lang w:val="fr-FR"/>
        </w:rPr>
        <w:t xml:space="preserve">1. </w:t>
      </w:r>
      <w:r w:rsidRPr="00B11992">
        <w:rPr>
          <w:lang w:val="fr-FR"/>
        </w:rPr>
        <w:tab/>
        <w:t xml:space="preserve">Le présent document adresse les commentaires reçus en réponse au document ST/SG/AC.10/C.3/2019/34 sur la question de l'instruction d'emballage P903 et sur l'utilisation d'emballages </w:t>
      </w:r>
      <w:r w:rsidR="001800D4" w:rsidRPr="00B11992">
        <w:rPr>
          <w:lang w:val="fr-FR"/>
        </w:rPr>
        <w:t xml:space="preserve">dont la </w:t>
      </w:r>
      <w:r w:rsidRPr="00B11992">
        <w:rPr>
          <w:lang w:val="fr-FR"/>
        </w:rPr>
        <w:t xml:space="preserve">masse nette </w:t>
      </w:r>
      <w:r w:rsidR="001800D4" w:rsidRPr="00B11992">
        <w:rPr>
          <w:lang w:val="fr-FR"/>
        </w:rPr>
        <w:t>dépasse</w:t>
      </w:r>
      <w:r w:rsidRPr="00B11992">
        <w:rPr>
          <w:lang w:val="fr-FR"/>
        </w:rPr>
        <w:t xml:space="preserve"> 400 kg. </w:t>
      </w:r>
    </w:p>
    <w:p w14:paraId="07318327" w14:textId="15D34375" w:rsidR="001800D4" w:rsidRDefault="001800D4" w:rsidP="001800D4">
      <w:pPr>
        <w:pStyle w:val="SingleTxtG"/>
        <w:rPr>
          <w:lang w:val="fr-FR"/>
        </w:rPr>
      </w:pPr>
      <w:r w:rsidRPr="00B11992">
        <w:rPr>
          <w:lang w:val="fr-FR"/>
        </w:rPr>
        <w:t>2.</w:t>
      </w:r>
      <w:r w:rsidRPr="00B11992">
        <w:rPr>
          <w:lang w:val="fr-FR"/>
        </w:rPr>
        <w:tab/>
      </w:r>
      <w:r w:rsidR="00267E12" w:rsidRPr="00B11992">
        <w:rPr>
          <w:lang w:val="fr-FR"/>
        </w:rPr>
        <w:t xml:space="preserve">Comme l'a expliqué PRBA à la cinquante-cinquième session, certaines autorités compétentes, transitaires, exploitants de navires et autres entités de la chaîne logistique ne semblent pas comprendre parfaitement que si la masse nette d'un emballage </w:t>
      </w:r>
      <w:r w:rsidRPr="00B11992">
        <w:rPr>
          <w:lang w:val="fr-FR"/>
        </w:rPr>
        <w:t xml:space="preserve">autorisé au titre des paragraphes 2) et 4) de l’instruction P903 est supérieure à 400 kg, conformément à la prescription générale du chapitre 6.1, </w:t>
      </w:r>
      <w:r w:rsidR="00267E12" w:rsidRPr="00B11992">
        <w:rPr>
          <w:lang w:val="fr-FR"/>
        </w:rPr>
        <w:t xml:space="preserve">il n'est pas nécessaire que les batteries ou les équipements soient emballés dans de grands emballages conformément à </w:t>
      </w:r>
      <w:r w:rsidRPr="00B11992">
        <w:rPr>
          <w:lang w:val="fr-FR"/>
        </w:rPr>
        <w:t xml:space="preserve">la </w:t>
      </w:r>
      <w:r w:rsidR="00267E12" w:rsidRPr="00B11992">
        <w:rPr>
          <w:lang w:val="fr-FR"/>
        </w:rPr>
        <w:t xml:space="preserve">LP903. </w:t>
      </w:r>
    </w:p>
    <w:p w14:paraId="6FDFA29A" w14:textId="57F4B30D" w:rsidR="00267E12" w:rsidRPr="00B11992" w:rsidRDefault="001800D4" w:rsidP="001800D4">
      <w:pPr>
        <w:pStyle w:val="SingleTxtG"/>
        <w:rPr>
          <w:lang w:val="fr-FR"/>
        </w:rPr>
      </w:pPr>
      <w:r w:rsidRPr="00B11992">
        <w:rPr>
          <w:lang w:val="fr-FR"/>
        </w:rPr>
        <w:t>3.</w:t>
      </w:r>
      <w:r w:rsidRPr="00B11992">
        <w:rPr>
          <w:lang w:val="fr-FR"/>
        </w:rPr>
        <w:tab/>
      </w:r>
      <w:r w:rsidR="00267E12" w:rsidRPr="00B11992">
        <w:rPr>
          <w:lang w:val="fr-FR"/>
        </w:rPr>
        <w:t xml:space="preserve">Dans le présent document, PRBA propose de modifier le Règlement type afin de mieux préciser ce point en ajoutant une note indiquant que les emballages définis sous P903 (2) et (4) peuvent dépasser 400 kg de masse nette, et prévoit des modifications dans d’autres instructions d’emballage qui ont un </w:t>
      </w:r>
      <w:r w:rsidR="00397695" w:rsidRPr="00B11992">
        <w:rPr>
          <w:lang w:val="fr-FR"/>
        </w:rPr>
        <w:t>texte</w:t>
      </w:r>
      <w:r w:rsidR="00267E12" w:rsidRPr="00B11992">
        <w:rPr>
          <w:lang w:val="fr-FR"/>
        </w:rPr>
        <w:t xml:space="preserve"> similaire à celui trouvé dans </w:t>
      </w:r>
      <w:r w:rsidRPr="00B11992">
        <w:rPr>
          <w:lang w:val="fr-FR"/>
        </w:rPr>
        <w:t xml:space="preserve">la </w:t>
      </w:r>
      <w:r w:rsidR="00267E12" w:rsidRPr="00B11992">
        <w:rPr>
          <w:lang w:val="fr-FR"/>
        </w:rPr>
        <w:t>P903.</w:t>
      </w:r>
    </w:p>
    <w:p w14:paraId="1CE3ACC4" w14:textId="3EA7B968" w:rsidR="00267E12" w:rsidRPr="00B11992" w:rsidRDefault="001800D4" w:rsidP="00267E12">
      <w:pPr>
        <w:pStyle w:val="SingleTxtG"/>
        <w:rPr>
          <w:lang w:val="fr-FR"/>
        </w:rPr>
      </w:pPr>
      <w:r w:rsidRPr="00B11992">
        <w:rPr>
          <w:lang w:val="fr-FR"/>
        </w:rPr>
        <w:t>4</w:t>
      </w:r>
      <w:r w:rsidR="00267E12" w:rsidRPr="00B11992">
        <w:rPr>
          <w:lang w:val="fr-FR"/>
        </w:rPr>
        <w:t xml:space="preserve">. </w:t>
      </w:r>
      <w:r w:rsidR="00267E12" w:rsidRPr="00B11992">
        <w:rPr>
          <w:lang w:val="fr-FR"/>
        </w:rPr>
        <w:tab/>
        <w:t xml:space="preserve">Comme expliqué dans le document ST/SG/AC.10/C.3/2019/34, les principes directeurs applicables à la dix-neuvième édition révisée du Règlement type abordent spécifiquement cette question. À la page 20 de ces principes directeurs, dans les explications concernant les emballages autorisés </w:t>
      </w:r>
      <w:r w:rsidRPr="00B11992">
        <w:rPr>
          <w:lang w:val="fr-FR"/>
        </w:rPr>
        <w:t>en vertu des</w:t>
      </w:r>
      <w:r w:rsidR="00267E12" w:rsidRPr="00B11992">
        <w:rPr>
          <w:lang w:val="fr-FR"/>
        </w:rPr>
        <w:t xml:space="preserve"> instructions d'emballage «</w:t>
      </w:r>
      <w:r w:rsidR="00A5744E" w:rsidRPr="00B11992">
        <w:rPr>
          <w:lang w:val="fr-FR"/>
        </w:rPr>
        <w:t> </w:t>
      </w:r>
      <w:r w:rsidR="00267E12" w:rsidRPr="00B11992">
        <w:rPr>
          <w:lang w:val="fr-FR"/>
        </w:rPr>
        <w:t>P</w:t>
      </w:r>
      <w:r w:rsidR="00A5744E" w:rsidRPr="00B11992">
        <w:rPr>
          <w:lang w:val="fr-FR"/>
        </w:rPr>
        <w:t> </w:t>
      </w:r>
      <w:r w:rsidR="00267E12" w:rsidRPr="00B11992">
        <w:rPr>
          <w:lang w:val="fr-FR"/>
        </w:rPr>
        <w:t xml:space="preserve">», il est </w:t>
      </w:r>
      <w:r w:rsidRPr="00B11992">
        <w:rPr>
          <w:lang w:val="fr-FR"/>
        </w:rPr>
        <w:t>précisé</w:t>
      </w:r>
      <w:r w:rsidR="00267E12" w:rsidRPr="00B11992">
        <w:rPr>
          <w:lang w:val="fr-FR"/>
        </w:rPr>
        <w:t xml:space="preserve"> que </w:t>
      </w:r>
      <w:r w:rsidRPr="00B11992">
        <w:rPr>
          <w:lang w:val="fr-FR"/>
        </w:rPr>
        <w:t>lesdites</w:t>
      </w:r>
      <w:r w:rsidR="00267E12" w:rsidRPr="00B11992">
        <w:rPr>
          <w:lang w:val="fr-FR"/>
        </w:rPr>
        <w:t xml:space="preserve"> instructions </w:t>
      </w:r>
      <w:r w:rsidRPr="00B11992">
        <w:rPr>
          <w:lang w:val="fr-FR"/>
        </w:rPr>
        <w:t>portent sur</w:t>
      </w:r>
      <w:r w:rsidR="00267E12" w:rsidRPr="00B11992">
        <w:rPr>
          <w:lang w:val="fr-FR"/>
        </w:rPr>
        <w:t xml:space="preserve"> «</w:t>
      </w:r>
      <w:r w:rsidR="00A5744E" w:rsidRPr="00B11992">
        <w:rPr>
          <w:lang w:val="fr-FR"/>
        </w:rPr>
        <w:t> </w:t>
      </w:r>
      <w:r w:rsidRPr="00B11992">
        <w:rPr>
          <w:lang w:val="fr-FR"/>
        </w:rPr>
        <w:t>l</w:t>
      </w:r>
      <w:r w:rsidR="00267E12" w:rsidRPr="00B11992">
        <w:rPr>
          <w:lang w:val="fr-FR"/>
        </w:rPr>
        <w:t xml:space="preserve">es emballages </w:t>
      </w:r>
      <w:r w:rsidRPr="00B11992">
        <w:rPr>
          <w:lang w:val="fr-FR"/>
        </w:rPr>
        <w:t>conformes</w:t>
      </w:r>
      <w:r w:rsidR="00267E12" w:rsidRPr="00B11992">
        <w:rPr>
          <w:lang w:val="fr-FR"/>
        </w:rPr>
        <w:t xml:space="preserve"> au chapitre 6.1 (jusqu'à 450</w:t>
      </w:r>
      <w:r w:rsidR="00A5744E" w:rsidRPr="00B11992">
        <w:rPr>
          <w:lang w:val="fr-FR"/>
        </w:rPr>
        <w:t> </w:t>
      </w:r>
      <w:r w:rsidR="00267E12" w:rsidRPr="00B11992">
        <w:rPr>
          <w:i/>
          <w:iCs/>
          <w:lang w:val="fr-FR"/>
        </w:rPr>
        <w:t>l</w:t>
      </w:r>
      <w:r w:rsidR="00267E12" w:rsidRPr="00B11992">
        <w:rPr>
          <w:lang w:val="fr-FR"/>
        </w:rPr>
        <w:t>/400</w:t>
      </w:r>
      <w:r w:rsidR="00A5744E" w:rsidRPr="00B11992">
        <w:rPr>
          <w:lang w:val="fr-FR"/>
        </w:rPr>
        <w:t> </w:t>
      </w:r>
      <w:r w:rsidR="00267E12" w:rsidRPr="00B11992">
        <w:rPr>
          <w:lang w:val="fr-FR"/>
        </w:rPr>
        <w:t>kg net</w:t>
      </w:r>
      <w:r w:rsidRPr="00B11992">
        <w:rPr>
          <w:lang w:val="fr-FR"/>
        </w:rPr>
        <w:t>s</w:t>
      </w:r>
      <w:r w:rsidR="00267E12" w:rsidRPr="00B11992">
        <w:rPr>
          <w:lang w:val="fr-FR"/>
        </w:rPr>
        <w:t>, selon le cas) »</w:t>
      </w:r>
      <w:r w:rsidR="00A5744E" w:rsidRPr="00B11992">
        <w:rPr>
          <w:lang w:val="fr-FR"/>
        </w:rPr>
        <w:t>, ainsi que </w:t>
      </w:r>
      <w:r w:rsidRPr="00B11992">
        <w:rPr>
          <w:lang w:val="fr-FR"/>
        </w:rPr>
        <w:t xml:space="preserve">sur les </w:t>
      </w:r>
      <w:r w:rsidR="00267E12" w:rsidRPr="00B11992">
        <w:rPr>
          <w:lang w:val="fr-FR"/>
        </w:rPr>
        <w:t xml:space="preserve">« </w:t>
      </w:r>
      <w:r w:rsidRPr="00B11992">
        <w:rPr>
          <w:lang w:val="fr-FR"/>
        </w:rPr>
        <w:t>les e</w:t>
      </w:r>
      <w:r w:rsidR="00267E12" w:rsidRPr="00B11992">
        <w:rPr>
          <w:lang w:val="fr-FR"/>
        </w:rPr>
        <w:t xml:space="preserve">mballages ou méthodes d'emballage </w:t>
      </w:r>
      <w:r w:rsidRPr="00B11992">
        <w:rPr>
          <w:lang w:val="fr-FR"/>
        </w:rPr>
        <w:t xml:space="preserve">qui ne sont pas </w:t>
      </w:r>
      <w:r w:rsidR="00267E12" w:rsidRPr="00B11992">
        <w:rPr>
          <w:lang w:val="fr-FR"/>
        </w:rPr>
        <w:t>soumis aux dispositions des chapitres 6.1, 6.2, 6.3, 6.5 ou 6.6. »</w:t>
      </w:r>
      <w:r w:rsidR="00A5744E" w:rsidRPr="00B11992">
        <w:rPr>
          <w:lang w:val="fr-FR"/>
        </w:rPr>
        <w:t xml:space="preserve">. </w:t>
      </w:r>
      <w:r w:rsidRPr="00B11992">
        <w:rPr>
          <w:lang w:val="fr-FR"/>
        </w:rPr>
        <w:t>C’est ainsi que</w:t>
      </w:r>
      <w:r w:rsidR="00267E12" w:rsidRPr="00B11992">
        <w:rPr>
          <w:lang w:val="fr-FR"/>
        </w:rPr>
        <w:t xml:space="preserve"> les emballages </w:t>
      </w:r>
      <w:r w:rsidR="00397695" w:rsidRPr="00B11992">
        <w:rPr>
          <w:lang w:val="fr-FR"/>
        </w:rPr>
        <w:t>qui ne sont pas soumis</w:t>
      </w:r>
      <w:r w:rsidR="00267E12" w:rsidRPr="00B11992">
        <w:rPr>
          <w:lang w:val="fr-FR"/>
        </w:rPr>
        <w:t xml:space="preserve"> au 4.1.1.3 lorsqu'ils sont autorisés en vertu d'une instruction d'emballage</w:t>
      </w:r>
      <w:r w:rsidR="00A5744E" w:rsidRPr="00B11992">
        <w:rPr>
          <w:lang w:val="fr-FR"/>
        </w:rPr>
        <w:t xml:space="preserve"> </w:t>
      </w:r>
      <w:r w:rsidR="00267E12" w:rsidRPr="00B11992">
        <w:rPr>
          <w:lang w:val="fr-FR"/>
        </w:rPr>
        <w:t>P (par exemple, P903), ne sont pas soumis à la limite de 400</w:t>
      </w:r>
      <w:r w:rsidR="00A5744E" w:rsidRPr="00B11992">
        <w:rPr>
          <w:lang w:val="fr-FR"/>
        </w:rPr>
        <w:t> </w:t>
      </w:r>
      <w:r w:rsidR="00267E12" w:rsidRPr="00B11992">
        <w:rPr>
          <w:lang w:val="fr-FR"/>
        </w:rPr>
        <w:t xml:space="preserve">kg prévue au chapitre 6.1, ni </w:t>
      </w:r>
      <w:r w:rsidR="00397695" w:rsidRPr="00B11992">
        <w:rPr>
          <w:lang w:val="fr-FR"/>
        </w:rPr>
        <w:t xml:space="preserve">en fait à aucune </w:t>
      </w:r>
      <w:r w:rsidR="00267E12" w:rsidRPr="00B11992">
        <w:rPr>
          <w:lang w:val="fr-FR"/>
        </w:rPr>
        <w:t xml:space="preserve">limite de masse. </w:t>
      </w:r>
      <w:r w:rsidR="00397695" w:rsidRPr="00B11992">
        <w:rPr>
          <w:lang w:val="fr-FR"/>
        </w:rPr>
        <w:t>Hélas</w:t>
      </w:r>
      <w:r w:rsidR="00267E12" w:rsidRPr="00B11992">
        <w:rPr>
          <w:lang w:val="fr-FR"/>
        </w:rPr>
        <w:t xml:space="preserve">, les transitaires, les exploitants de navires et les autres acteurs de la chaîne logistique ne lisent ni ne comprennent entièrement </w:t>
      </w:r>
      <w:r w:rsidR="00A5744E" w:rsidRPr="00B11992">
        <w:rPr>
          <w:lang w:val="fr-FR"/>
        </w:rPr>
        <w:t>c</w:t>
      </w:r>
      <w:r w:rsidR="00267E12" w:rsidRPr="00B11992">
        <w:rPr>
          <w:lang w:val="fr-FR"/>
        </w:rPr>
        <w:t xml:space="preserve">es </w:t>
      </w:r>
      <w:r w:rsidR="00A5744E" w:rsidRPr="00B11992">
        <w:rPr>
          <w:lang w:val="fr-FR"/>
        </w:rPr>
        <w:t>p</w:t>
      </w:r>
      <w:r w:rsidR="00267E12" w:rsidRPr="00B11992">
        <w:rPr>
          <w:lang w:val="fr-FR"/>
        </w:rPr>
        <w:t xml:space="preserve">rincipes directeurs et remettent en question l'utilisation de ces emballages </w:t>
      </w:r>
      <w:r w:rsidR="00C971C9">
        <w:rPr>
          <w:lang w:val="fr-FR"/>
        </w:rPr>
        <w:t xml:space="preserve">plus grands </w:t>
      </w:r>
      <w:r w:rsidR="00267E12" w:rsidRPr="00B11992">
        <w:rPr>
          <w:lang w:val="fr-FR"/>
        </w:rPr>
        <w:t>lorsqu'ils sont expédiés conformément à l'instruction d'emballage P903.</w:t>
      </w:r>
    </w:p>
    <w:p w14:paraId="54EFCBCF" w14:textId="3607DE2A" w:rsidR="00267E12" w:rsidRPr="00B11992" w:rsidRDefault="00B11992" w:rsidP="00267E12">
      <w:pPr>
        <w:pStyle w:val="SingleTxtG"/>
        <w:rPr>
          <w:lang w:val="fr-FR"/>
        </w:rPr>
      </w:pPr>
      <w:r>
        <w:rPr>
          <w:lang w:val="fr-FR"/>
        </w:rPr>
        <w:lastRenderedPageBreak/>
        <w:t>5</w:t>
      </w:r>
      <w:r w:rsidR="00267E12" w:rsidRPr="00B11992">
        <w:rPr>
          <w:lang w:val="fr-FR"/>
        </w:rPr>
        <w:t xml:space="preserve">. </w:t>
      </w:r>
      <w:r w:rsidR="00267E12" w:rsidRPr="00B11992">
        <w:rPr>
          <w:lang w:val="fr-FR"/>
        </w:rPr>
        <w:tab/>
        <w:t xml:space="preserve">Les propositions de modification du Règlement type ci-après tiennent compte des observations formulées par </w:t>
      </w:r>
      <w:r>
        <w:rPr>
          <w:lang w:val="fr-FR"/>
        </w:rPr>
        <w:t>le</w:t>
      </w:r>
      <w:r w:rsidR="00267E12" w:rsidRPr="00B11992">
        <w:rPr>
          <w:lang w:val="fr-FR"/>
        </w:rPr>
        <w:t xml:space="preserve"> Sous-Comité en réponse au document ST/SG/AC.10/C.3/2019/34, en articulant clairement les principes directeurs, avec un nouve</w:t>
      </w:r>
      <w:r>
        <w:rPr>
          <w:lang w:val="fr-FR"/>
        </w:rPr>
        <w:t>au</w:t>
      </w:r>
      <w:r w:rsidR="00267E12" w:rsidRPr="00B11992">
        <w:rPr>
          <w:lang w:val="fr-FR"/>
        </w:rPr>
        <w:t xml:space="preserve"> not</w:t>
      </w:r>
      <w:r>
        <w:rPr>
          <w:lang w:val="fr-FR"/>
        </w:rPr>
        <w:t>a à l’instruction d’emballage</w:t>
      </w:r>
      <w:r w:rsidR="00267E12" w:rsidRPr="00B11992">
        <w:rPr>
          <w:lang w:val="fr-FR"/>
        </w:rPr>
        <w:t xml:space="preserve"> P903, et prévoi</w:t>
      </w:r>
      <w:r w:rsidR="00A5744E" w:rsidRPr="00B11992">
        <w:rPr>
          <w:lang w:val="fr-FR"/>
        </w:rPr>
        <w:t>ent</w:t>
      </w:r>
      <w:r w:rsidR="00267E12" w:rsidRPr="00B11992">
        <w:rPr>
          <w:lang w:val="fr-FR"/>
        </w:rPr>
        <w:t xml:space="preserve"> des modifications similaires à d’autres instructions d’emballage qui aideront à faciliter le </w:t>
      </w:r>
      <w:r w:rsidR="00C971C9">
        <w:rPr>
          <w:lang w:val="fr-FR"/>
        </w:rPr>
        <w:t>transport</w:t>
      </w:r>
      <w:r w:rsidR="00C971C9" w:rsidRPr="00B11992">
        <w:rPr>
          <w:lang w:val="fr-FR"/>
        </w:rPr>
        <w:t xml:space="preserve"> </w:t>
      </w:r>
      <w:r w:rsidR="00267E12" w:rsidRPr="00B11992">
        <w:rPr>
          <w:lang w:val="fr-FR"/>
        </w:rPr>
        <w:t xml:space="preserve">des marchandises dangereuses conformément aux </w:t>
      </w:r>
      <w:r w:rsidR="00A5744E" w:rsidRPr="00B11992">
        <w:rPr>
          <w:lang w:val="fr-FR"/>
        </w:rPr>
        <w:t>p</w:t>
      </w:r>
      <w:r w:rsidR="00267E12" w:rsidRPr="00B11992">
        <w:rPr>
          <w:lang w:val="fr-FR"/>
        </w:rPr>
        <w:t>rincipes directeurs.</w:t>
      </w:r>
    </w:p>
    <w:p w14:paraId="064AB389" w14:textId="60AFD08D" w:rsidR="009F71F6" w:rsidRPr="00B11992" w:rsidRDefault="009F71F6" w:rsidP="009F71F6">
      <w:pPr>
        <w:pStyle w:val="HChG"/>
        <w:rPr>
          <w:lang w:val="fr-FR"/>
        </w:rPr>
      </w:pPr>
      <w:r w:rsidRPr="00B11992">
        <w:rPr>
          <w:lang w:val="fr-FR"/>
        </w:rPr>
        <w:tab/>
      </w:r>
      <w:r w:rsidRPr="00B11992">
        <w:rPr>
          <w:lang w:val="fr-FR"/>
        </w:rPr>
        <w:tab/>
      </w:r>
      <w:r w:rsidR="00A920BD" w:rsidRPr="00B11992">
        <w:rPr>
          <w:lang w:val="fr-FR"/>
        </w:rPr>
        <w:t>Propositions</w:t>
      </w:r>
    </w:p>
    <w:p w14:paraId="7AD64E28" w14:textId="67C4E8F7" w:rsidR="009F71F6" w:rsidRPr="00B11992" w:rsidRDefault="00B11992" w:rsidP="00267E12">
      <w:pPr>
        <w:pStyle w:val="SingleTxtG"/>
        <w:rPr>
          <w:lang w:val="fr-FR"/>
        </w:rPr>
      </w:pPr>
      <w:r>
        <w:rPr>
          <w:lang w:val="fr-FR"/>
        </w:rPr>
        <w:t>6</w:t>
      </w:r>
      <w:r w:rsidR="00267E12" w:rsidRPr="00B11992">
        <w:rPr>
          <w:lang w:val="fr-FR"/>
        </w:rPr>
        <w:t>.</w:t>
      </w:r>
      <w:r w:rsidR="00267E12" w:rsidRPr="00B11992">
        <w:rPr>
          <w:lang w:val="fr-FR"/>
        </w:rPr>
        <w:tab/>
        <w:t xml:space="preserve">Au </w:t>
      </w:r>
      <w:r w:rsidR="009F71F6" w:rsidRPr="00B11992">
        <w:rPr>
          <w:lang w:val="fr-FR"/>
        </w:rPr>
        <w:t xml:space="preserve">4.1.3.3, </w:t>
      </w:r>
      <w:r w:rsidR="00267E12" w:rsidRPr="00B11992">
        <w:rPr>
          <w:lang w:val="fr-FR"/>
        </w:rPr>
        <w:t>ajouter une nouvelle dernière phrase pour lire comme suit</w:t>
      </w:r>
      <w:r w:rsidR="00C971C9">
        <w:rPr>
          <w:lang w:val="fr-FR"/>
        </w:rPr>
        <w:t> </w:t>
      </w:r>
      <w:r w:rsidR="009F71F6" w:rsidRPr="00B11992">
        <w:rPr>
          <w:lang w:val="fr-FR"/>
        </w:rPr>
        <w:t>:</w:t>
      </w:r>
    </w:p>
    <w:p w14:paraId="0A814800" w14:textId="28889EB9" w:rsidR="009F71F6" w:rsidRPr="00B11992" w:rsidRDefault="00A5744E" w:rsidP="00A5744E">
      <w:pPr>
        <w:pStyle w:val="SingleTxtG"/>
        <w:ind w:left="1689"/>
        <w:rPr>
          <w:lang w:val="fr-FR"/>
        </w:rPr>
      </w:pPr>
      <w:r w:rsidRPr="00B11992">
        <w:rPr>
          <w:lang w:val="fr-FR"/>
        </w:rPr>
        <w:t>« </w:t>
      </w:r>
      <w:r w:rsidR="009F71F6" w:rsidRPr="00B11992">
        <w:rPr>
          <w:lang w:val="fr-FR"/>
        </w:rPr>
        <w:t>4.1.3.3</w:t>
      </w:r>
      <w:r w:rsidR="00267E12" w:rsidRPr="00B11992">
        <w:rPr>
          <w:lang w:val="fr-FR"/>
        </w:rPr>
        <w:tab/>
      </w:r>
      <w:r w:rsidRPr="00B11992">
        <w:rPr>
          <w:lang w:val="fr-FR"/>
        </w:rPr>
        <w:t>Chaque instruction d'emballage mentionne, s'il y a lieu, les emballages simples ou combinés admissibles. Pour les emballages combinés sont indiqués les emballages extérieurs et intérieurs admissibles et, s'il y a lieu, la quantité maximale autorisée dans chaque emballage intérieur ou extérieur. La masse nette maximale et la contenance maximale sont définies dans la section 1.2.1.</w:t>
      </w:r>
      <w:r w:rsidR="009F71F6" w:rsidRPr="00B11992">
        <w:rPr>
          <w:lang w:val="fr-FR"/>
        </w:rPr>
        <w:t xml:space="preserve">  </w:t>
      </w:r>
      <w:r w:rsidRPr="00B11992">
        <w:rPr>
          <w:u w:val="single"/>
          <w:lang w:val="fr-FR"/>
        </w:rPr>
        <w:t>Lorsque des emballages ne répondant pas aux exigences du 4.1.1.3 (par exemple, des caisses, des palettes, etc.) sont autorisés dans une instruction d'emballage</w:t>
      </w:r>
      <w:proofErr w:type="gramStart"/>
      <w:r w:rsidRPr="00B11992">
        <w:rPr>
          <w:u w:val="single"/>
          <w:lang w:val="fr-FR"/>
        </w:rPr>
        <w:t xml:space="preserve"> «P</w:t>
      </w:r>
      <w:proofErr w:type="gramEnd"/>
      <w:r w:rsidRPr="00B11992">
        <w:rPr>
          <w:u w:val="single"/>
          <w:lang w:val="fr-FR"/>
        </w:rPr>
        <w:t xml:space="preserve">», sauf indication contraire dans l'instruction d'emballage </w:t>
      </w:r>
      <w:r w:rsidR="00397695" w:rsidRPr="00B11992">
        <w:rPr>
          <w:u w:val="single"/>
          <w:lang w:val="fr-FR"/>
        </w:rPr>
        <w:t>pertinente</w:t>
      </w:r>
      <w:r w:rsidRPr="00B11992">
        <w:rPr>
          <w:u w:val="single"/>
          <w:lang w:val="fr-FR"/>
        </w:rPr>
        <w:t xml:space="preserve">, ces emballages ne sont pas soumis aux limites de masse </w:t>
      </w:r>
      <w:r w:rsidR="00397695" w:rsidRPr="00B11992">
        <w:rPr>
          <w:u w:val="single"/>
          <w:lang w:val="fr-FR"/>
        </w:rPr>
        <w:t xml:space="preserve">généralement </w:t>
      </w:r>
      <w:r w:rsidRPr="00B11992">
        <w:rPr>
          <w:u w:val="single"/>
          <w:lang w:val="fr-FR"/>
        </w:rPr>
        <w:t xml:space="preserve">applicable aux emballages </w:t>
      </w:r>
      <w:r w:rsidR="00397695" w:rsidRPr="00B11992">
        <w:rPr>
          <w:u w:val="single"/>
          <w:lang w:val="fr-FR"/>
        </w:rPr>
        <w:t xml:space="preserve">conformément </w:t>
      </w:r>
      <w:r w:rsidRPr="00B11992">
        <w:rPr>
          <w:u w:val="single"/>
          <w:lang w:val="fr-FR"/>
        </w:rPr>
        <w:t>aux prescriptions du chapitre 6.1. »</w:t>
      </w:r>
      <w:r w:rsidR="00267E12" w:rsidRPr="00B11992">
        <w:rPr>
          <w:lang w:val="fr-FR"/>
        </w:rPr>
        <w:t>.</w:t>
      </w:r>
    </w:p>
    <w:p w14:paraId="1CB3D808" w14:textId="6FCE0967" w:rsidR="009F71F6" w:rsidRPr="00B11992" w:rsidRDefault="00B11992" w:rsidP="00267E12">
      <w:pPr>
        <w:pStyle w:val="SingleTxtG"/>
        <w:rPr>
          <w:lang w:val="fr-FR"/>
        </w:rPr>
      </w:pPr>
      <w:r>
        <w:rPr>
          <w:lang w:val="fr-FR"/>
        </w:rPr>
        <w:t>7</w:t>
      </w:r>
      <w:r w:rsidR="00267E12" w:rsidRPr="00B11992">
        <w:rPr>
          <w:lang w:val="fr-FR"/>
        </w:rPr>
        <w:t>.</w:t>
      </w:r>
      <w:r w:rsidR="00267E12" w:rsidRPr="00B11992">
        <w:rPr>
          <w:lang w:val="fr-FR"/>
        </w:rPr>
        <w:tab/>
        <w:t xml:space="preserve">À l’instruction d’emballage </w:t>
      </w:r>
      <w:r w:rsidR="009F71F6" w:rsidRPr="00B11992">
        <w:rPr>
          <w:lang w:val="fr-FR"/>
        </w:rPr>
        <w:t xml:space="preserve">P903, </w:t>
      </w:r>
      <w:r w:rsidR="00267E12" w:rsidRPr="00B11992">
        <w:rPr>
          <w:lang w:val="fr-FR"/>
        </w:rPr>
        <w:t>ajouter un nota suivant le paragraphe (4) pour lire comme suit</w:t>
      </w:r>
      <w:r w:rsidR="006F2FAC">
        <w:rPr>
          <w:lang w:val="fr-FR"/>
        </w:rPr>
        <w:t> </w:t>
      </w:r>
      <w:r w:rsidR="00267E12" w:rsidRPr="00B11992">
        <w:rPr>
          <w:lang w:val="fr-FR"/>
        </w:rPr>
        <w:t xml:space="preserve">: </w:t>
      </w:r>
    </w:p>
    <w:p w14:paraId="3A736EF1" w14:textId="13DAD45E" w:rsidR="009F71F6" w:rsidRPr="00B11992" w:rsidRDefault="00397695" w:rsidP="009F71F6">
      <w:pPr>
        <w:pStyle w:val="SingleTxtG"/>
        <w:ind w:left="1701"/>
        <w:rPr>
          <w:i/>
          <w:iCs/>
          <w:lang w:val="fr-FR"/>
        </w:rPr>
      </w:pPr>
      <w:r w:rsidRPr="00B11992">
        <w:rPr>
          <w:b/>
          <w:i/>
          <w:iCs/>
          <w:lang w:val="fr-FR"/>
        </w:rPr>
        <w:t>« </w:t>
      </w:r>
      <w:r w:rsidR="009F71F6" w:rsidRPr="00B11992">
        <w:rPr>
          <w:b/>
          <w:i/>
          <w:iCs/>
          <w:lang w:val="fr-FR"/>
        </w:rPr>
        <w:t>NOT</w:t>
      </w:r>
      <w:r w:rsidR="00240918" w:rsidRPr="00B11992">
        <w:rPr>
          <w:b/>
          <w:i/>
          <w:iCs/>
          <w:lang w:val="fr-FR"/>
        </w:rPr>
        <w:t>A</w:t>
      </w:r>
      <w:r w:rsidR="006F2FAC">
        <w:rPr>
          <w:b/>
          <w:i/>
          <w:iCs/>
          <w:lang w:val="fr-FR"/>
        </w:rPr>
        <w:t> </w:t>
      </w:r>
      <w:r w:rsidR="009F71F6" w:rsidRPr="00B11992">
        <w:rPr>
          <w:b/>
          <w:i/>
          <w:iCs/>
          <w:lang w:val="fr-FR"/>
        </w:rPr>
        <w:t>:</w:t>
      </w:r>
      <w:r w:rsidR="009F71F6" w:rsidRPr="00B11992">
        <w:rPr>
          <w:i/>
          <w:iCs/>
          <w:lang w:val="fr-FR"/>
        </w:rPr>
        <w:t xml:space="preserve">  </w:t>
      </w:r>
      <w:r w:rsidR="00240918" w:rsidRPr="006B33B8">
        <w:rPr>
          <w:i/>
          <w:iCs/>
          <w:lang w:val="fr-FR"/>
        </w:rPr>
        <w:t xml:space="preserve">Les emballages autorisés aux paragraphes </w:t>
      </w:r>
      <w:r w:rsidRPr="006B33B8">
        <w:rPr>
          <w:i/>
          <w:iCs/>
          <w:lang w:val="fr-FR"/>
        </w:rPr>
        <w:t>2</w:t>
      </w:r>
      <w:r w:rsidR="00240918" w:rsidRPr="006B33B8">
        <w:rPr>
          <w:i/>
          <w:iCs/>
          <w:lang w:val="fr-FR"/>
        </w:rPr>
        <w:t xml:space="preserve">) et 4) peuvent dépasser une masse nette de 400 kg (voir </w:t>
      </w:r>
      <w:r w:rsidR="009F71F6" w:rsidRPr="006B33B8">
        <w:rPr>
          <w:i/>
          <w:iCs/>
          <w:lang w:val="fr-FR"/>
        </w:rPr>
        <w:t>4.1.3.3).</w:t>
      </w:r>
      <w:r w:rsidRPr="006B33B8">
        <w:rPr>
          <w:i/>
          <w:iCs/>
          <w:lang w:val="fr-FR"/>
        </w:rPr>
        <w:t> ».</w:t>
      </w:r>
    </w:p>
    <w:p w14:paraId="7973EAB0" w14:textId="22B0B11F" w:rsidR="009F71F6" w:rsidRPr="00B11992" w:rsidRDefault="00B11992" w:rsidP="00267E12">
      <w:pPr>
        <w:pStyle w:val="SingleTxtG"/>
        <w:rPr>
          <w:lang w:val="fr-FR"/>
        </w:rPr>
      </w:pPr>
      <w:r>
        <w:rPr>
          <w:lang w:val="fr-FR"/>
        </w:rPr>
        <w:t>8</w:t>
      </w:r>
      <w:r w:rsidR="00267E12" w:rsidRPr="00B11992">
        <w:rPr>
          <w:lang w:val="fr-FR"/>
        </w:rPr>
        <w:t>.</w:t>
      </w:r>
      <w:r w:rsidR="00267E12" w:rsidRPr="00B11992">
        <w:rPr>
          <w:lang w:val="fr-FR"/>
        </w:rPr>
        <w:tab/>
        <w:t xml:space="preserve">Modifier les instructions d’emballage suivantes en y ajoutant un nota similaire à </w:t>
      </w:r>
      <w:r w:rsidR="006F2FAC">
        <w:rPr>
          <w:lang w:val="fr-FR"/>
        </w:rPr>
        <w:t>celui</w:t>
      </w:r>
      <w:r w:rsidR="006F2FAC" w:rsidRPr="00B11992">
        <w:rPr>
          <w:lang w:val="fr-FR"/>
        </w:rPr>
        <w:t xml:space="preserve"> </w:t>
      </w:r>
      <w:r w:rsidR="00267E12" w:rsidRPr="00B11992">
        <w:rPr>
          <w:lang w:val="fr-FR"/>
        </w:rPr>
        <w:t>du paragraph</w:t>
      </w:r>
      <w:r w:rsidR="00A5744E" w:rsidRPr="00B11992">
        <w:rPr>
          <w:lang w:val="fr-FR"/>
        </w:rPr>
        <w:t>e</w:t>
      </w:r>
      <w:r w:rsidR="00267E12" w:rsidRPr="00B11992">
        <w:rPr>
          <w:lang w:val="fr-FR"/>
        </w:rPr>
        <w:t xml:space="preserve"> </w:t>
      </w:r>
      <w:r>
        <w:rPr>
          <w:lang w:val="fr-FR"/>
        </w:rPr>
        <w:t>7</w:t>
      </w:r>
      <w:r w:rsidR="00240918" w:rsidRPr="00B11992">
        <w:rPr>
          <w:lang w:val="fr-FR"/>
        </w:rPr>
        <w:t xml:space="preserve"> ci-dessus</w:t>
      </w:r>
      <w:r w:rsidR="00267E12" w:rsidRPr="00B11992">
        <w:rPr>
          <w:lang w:val="fr-FR"/>
        </w:rPr>
        <w:t xml:space="preserve"> (applicable à l’ensemble de l’instruction d’emballage, ou aux paragraph</w:t>
      </w:r>
      <w:r w:rsidR="00240918" w:rsidRPr="00B11992">
        <w:rPr>
          <w:lang w:val="fr-FR"/>
        </w:rPr>
        <w:t>e</w:t>
      </w:r>
      <w:r w:rsidR="00267E12" w:rsidRPr="00B11992">
        <w:rPr>
          <w:lang w:val="fr-FR"/>
        </w:rPr>
        <w:t xml:space="preserve">s </w:t>
      </w:r>
      <w:r w:rsidR="00240918" w:rsidRPr="00B11992">
        <w:rPr>
          <w:lang w:val="fr-FR"/>
        </w:rPr>
        <w:t>autorisant</w:t>
      </w:r>
      <w:r w:rsidR="00267E12" w:rsidRPr="00B11992">
        <w:rPr>
          <w:lang w:val="fr-FR"/>
        </w:rPr>
        <w:t xml:space="preserve"> des emballages qui ne sont pas soumis aux prescriptions du 4.1.1.3)</w:t>
      </w:r>
      <w:r w:rsidR="006F2FAC">
        <w:rPr>
          <w:lang w:val="fr-FR"/>
        </w:rPr>
        <w:t> </w:t>
      </w:r>
      <w:r w:rsidR="00267E12" w:rsidRPr="00B11992">
        <w:rPr>
          <w:lang w:val="fr-FR"/>
        </w:rPr>
        <w:t>:</w:t>
      </w:r>
    </w:p>
    <w:p w14:paraId="6EFF6BA7" w14:textId="2BF7F194" w:rsidR="009F71F6" w:rsidRPr="00B11992" w:rsidRDefault="009F71F6" w:rsidP="009F71F6">
      <w:pPr>
        <w:pStyle w:val="SingleTxtG"/>
        <w:spacing w:after="0"/>
        <w:ind w:left="1685" w:right="1138"/>
        <w:rPr>
          <w:iCs/>
          <w:lang w:val="fr-FR"/>
        </w:rPr>
      </w:pPr>
      <w:r w:rsidRPr="00B11992">
        <w:rPr>
          <w:iCs/>
          <w:lang w:val="fr-FR"/>
        </w:rPr>
        <w:t>P003</w:t>
      </w:r>
      <w:r w:rsidR="006F2FAC">
        <w:rPr>
          <w:iCs/>
          <w:lang w:val="fr-FR"/>
        </w:rPr>
        <w:t> </w:t>
      </w:r>
      <w:r w:rsidRPr="00B11992">
        <w:rPr>
          <w:iCs/>
          <w:lang w:val="fr-FR"/>
        </w:rPr>
        <w:t xml:space="preserve">; </w:t>
      </w:r>
    </w:p>
    <w:p w14:paraId="57D1E079" w14:textId="51661D35" w:rsidR="009F71F6" w:rsidRPr="00B11992" w:rsidRDefault="009F71F6" w:rsidP="009F71F6">
      <w:pPr>
        <w:pStyle w:val="SingleTxtG"/>
        <w:spacing w:after="0"/>
        <w:ind w:left="1685" w:right="1138"/>
        <w:rPr>
          <w:iCs/>
          <w:lang w:val="fr-FR"/>
        </w:rPr>
      </w:pPr>
      <w:r w:rsidRPr="00B11992">
        <w:rPr>
          <w:iCs/>
          <w:lang w:val="fr-FR"/>
        </w:rPr>
        <w:t>P003</w:t>
      </w:r>
      <w:r w:rsidR="006F2FAC">
        <w:rPr>
          <w:iCs/>
          <w:lang w:val="fr-FR"/>
        </w:rPr>
        <w:t xml:space="preserve"> </w:t>
      </w:r>
      <w:r w:rsidRPr="00B11992">
        <w:rPr>
          <w:iCs/>
          <w:lang w:val="fr-FR"/>
        </w:rPr>
        <w:t xml:space="preserve">(2) </w:t>
      </w:r>
      <w:r w:rsidR="00267E12" w:rsidRPr="00B11992">
        <w:rPr>
          <w:iCs/>
          <w:lang w:val="fr-FR"/>
        </w:rPr>
        <w:t>et</w:t>
      </w:r>
      <w:r w:rsidRPr="00B11992">
        <w:rPr>
          <w:iCs/>
          <w:lang w:val="fr-FR"/>
        </w:rPr>
        <w:t xml:space="preserve"> (3)</w:t>
      </w:r>
      <w:r w:rsidR="006F2FAC">
        <w:rPr>
          <w:iCs/>
          <w:lang w:val="fr-FR"/>
        </w:rPr>
        <w:t> </w:t>
      </w:r>
      <w:r w:rsidRPr="00B11992">
        <w:rPr>
          <w:iCs/>
          <w:lang w:val="fr-FR"/>
        </w:rPr>
        <w:t xml:space="preserve">; </w:t>
      </w:r>
    </w:p>
    <w:p w14:paraId="299D7712" w14:textId="25E3A917" w:rsidR="009F71F6" w:rsidRPr="00B11992" w:rsidRDefault="009F71F6" w:rsidP="009F71F6">
      <w:pPr>
        <w:pStyle w:val="SingleTxtG"/>
        <w:spacing w:after="0"/>
        <w:ind w:left="1685" w:right="1138"/>
        <w:rPr>
          <w:iCs/>
          <w:lang w:val="fr-FR"/>
        </w:rPr>
      </w:pPr>
      <w:r w:rsidRPr="00B11992">
        <w:rPr>
          <w:iCs/>
          <w:lang w:val="fr-FR"/>
        </w:rPr>
        <w:t>P005</w:t>
      </w:r>
      <w:r w:rsidR="006F2FAC">
        <w:rPr>
          <w:iCs/>
          <w:lang w:val="fr-FR"/>
        </w:rPr>
        <w:t> </w:t>
      </w:r>
      <w:r w:rsidRPr="00B11992">
        <w:rPr>
          <w:iCs/>
          <w:lang w:val="fr-FR"/>
        </w:rPr>
        <w:t xml:space="preserve">; </w:t>
      </w:r>
    </w:p>
    <w:p w14:paraId="18EDC3B6" w14:textId="0CF60ECC" w:rsidR="009F71F6" w:rsidRPr="00B11992" w:rsidRDefault="009F71F6" w:rsidP="009F71F6">
      <w:pPr>
        <w:pStyle w:val="SingleTxtG"/>
        <w:spacing w:after="0"/>
        <w:ind w:left="1685" w:right="1138"/>
        <w:rPr>
          <w:iCs/>
          <w:lang w:val="fr-FR"/>
        </w:rPr>
      </w:pPr>
      <w:r w:rsidRPr="00B11992">
        <w:rPr>
          <w:iCs/>
          <w:lang w:val="fr-FR"/>
        </w:rPr>
        <w:t>P006</w:t>
      </w:r>
      <w:r w:rsidR="006F2FAC">
        <w:rPr>
          <w:iCs/>
          <w:lang w:val="fr-FR"/>
        </w:rPr>
        <w:t xml:space="preserve"> </w:t>
      </w:r>
      <w:r w:rsidRPr="00B11992">
        <w:rPr>
          <w:iCs/>
          <w:lang w:val="fr-FR"/>
        </w:rPr>
        <w:t>(2)</w:t>
      </w:r>
      <w:r w:rsidR="006F2FAC">
        <w:rPr>
          <w:iCs/>
          <w:lang w:val="fr-FR"/>
        </w:rPr>
        <w:t> </w:t>
      </w:r>
      <w:r w:rsidRPr="00B11992">
        <w:rPr>
          <w:iCs/>
          <w:lang w:val="fr-FR"/>
        </w:rPr>
        <w:t xml:space="preserve">; </w:t>
      </w:r>
    </w:p>
    <w:p w14:paraId="7479CC3F" w14:textId="00B36BC9" w:rsidR="009F71F6" w:rsidRPr="00B11992" w:rsidRDefault="009F71F6" w:rsidP="009F71F6">
      <w:pPr>
        <w:pStyle w:val="SingleTxtG"/>
        <w:spacing w:after="0"/>
        <w:ind w:left="1685" w:right="1138"/>
        <w:rPr>
          <w:iCs/>
          <w:lang w:val="fr-FR"/>
        </w:rPr>
      </w:pPr>
      <w:r w:rsidRPr="00B11992">
        <w:rPr>
          <w:iCs/>
          <w:lang w:val="fr-FR"/>
        </w:rPr>
        <w:t>P801</w:t>
      </w:r>
      <w:r w:rsidR="006F2FAC">
        <w:rPr>
          <w:iCs/>
          <w:lang w:val="fr-FR"/>
        </w:rPr>
        <w:t xml:space="preserve"> </w:t>
      </w:r>
      <w:r w:rsidRPr="00B11992">
        <w:rPr>
          <w:iCs/>
          <w:lang w:val="fr-FR"/>
        </w:rPr>
        <w:t xml:space="preserve">(1) </w:t>
      </w:r>
      <w:r w:rsidR="00267E12" w:rsidRPr="00B11992">
        <w:rPr>
          <w:iCs/>
          <w:lang w:val="fr-FR"/>
        </w:rPr>
        <w:t>et</w:t>
      </w:r>
      <w:r w:rsidRPr="00B11992">
        <w:rPr>
          <w:iCs/>
          <w:lang w:val="fr-FR"/>
        </w:rPr>
        <w:t xml:space="preserve"> (2)</w:t>
      </w:r>
      <w:r w:rsidR="006F2FAC">
        <w:rPr>
          <w:iCs/>
          <w:lang w:val="fr-FR"/>
        </w:rPr>
        <w:t> </w:t>
      </w:r>
      <w:r w:rsidRPr="00B11992">
        <w:rPr>
          <w:iCs/>
          <w:lang w:val="fr-FR"/>
        </w:rPr>
        <w:t xml:space="preserve">; </w:t>
      </w:r>
    </w:p>
    <w:p w14:paraId="7F9D7063" w14:textId="0BA5ECDE" w:rsidR="009F71F6" w:rsidRPr="00B11992" w:rsidRDefault="009F71F6" w:rsidP="009F71F6">
      <w:pPr>
        <w:pStyle w:val="SingleTxtG"/>
        <w:spacing w:after="0"/>
        <w:ind w:left="1685" w:right="1138"/>
        <w:rPr>
          <w:iCs/>
          <w:lang w:val="fr-FR"/>
        </w:rPr>
      </w:pPr>
      <w:r w:rsidRPr="00B11992">
        <w:rPr>
          <w:iCs/>
          <w:lang w:val="fr-FR"/>
        </w:rPr>
        <w:t>P903</w:t>
      </w:r>
      <w:r w:rsidR="006F2FAC">
        <w:rPr>
          <w:iCs/>
          <w:lang w:val="fr-FR"/>
        </w:rPr>
        <w:t xml:space="preserve"> </w:t>
      </w:r>
      <w:r w:rsidRPr="00B11992">
        <w:rPr>
          <w:iCs/>
          <w:lang w:val="fr-FR"/>
        </w:rPr>
        <w:t xml:space="preserve">(2) </w:t>
      </w:r>
      <w:r w:rsidR="00267E12" w:rsidRPr="00B11992">
        <w:rPr>
          <w:iCs/>
          <w:lang w:val="fr-FR"/>
        </w:rPr>
        <w:t>et</w:t>
      </w:r>
      <w:r w:rsidRPr="00B11992">
        <w:rPr>
          <w:iCs/>
          <w:lang w:val="fr-FR"/>
        </w:rPr>
        <w:t xml:space="preserve"> (4)</w:t>
      </w:r>
      <w:r w:rsidR="006F2FAC">
        <w:rPr>
          <w:iCs/>
          <w:lang w:val="fr-FR"/>
        </w:rPr>
        <w:t> </w:t>
      </w:r>
      <w:r w:rsidRPr="00B11992">
        <w:rPr>
          <w:iCs/>
          <w:lang w:val="fr-FR"/>
        </w:rPr>
        <w:t xml:space="preserve">; </w:t>
      </w:r>
    </w:p>
    <w:p w14:paraId="55ED8E8F" w14:textId="0532CCD5" w:rsidR="009F71F6" w:rsidRPr="00B11992" w:rsidRDefault="009F71F6" w:rsidP="006F2FAC">
      <w:pPr>
        <w:pStyle w:val="SingleTxtG"/>
        <w:spacing w:after="0"/>
        <w:ind w:left="1685" w:right="1138"/>
        <w:rPr>
          <w:iCs/>
          <w:lang w:val="fr-FR"/>
        </w:rPr>
      </w:pPr>
      <w:r w:rsidRPr="00B11992">
        <w:rPr>
          <w:iCs/>
          <w:lang w:val="fr-FR"/>
        </w:rPr>
        <w:t>P905</w:t>
      </w:r>
      <w:r w:rsidR="006F2FAC">
        <w:rPr>
          <w:iCs/>
          <w:lang w:val="fr-FR"/>
        </w:rPr>
        <w:t> </w:t>
      </w:r>
      <w:r w:rsidRPr="00B11992">
        <w:rPr>
          <w:iCs/>
          <w:lang w:val="fr-FR"/>
        </w:rPr>
        <w:t xml:space="preserve">; </w:t>
      </w:r>
    </w:p>
    <w:p w14:paraId="1582E2E3" w14:textId="4842DF13" w:rsidR="009F71F6" w:rsidRPr="00B11992" w:rsidRDefault="009F71F6" w:rsidP="009F71F6">
      <w:pPr>
        <w:pStyle w:val="SingleTxtG"/>
        <w:spacing w:after="0"/>
        <w:ind w:left="1685" w:right="1138"/>
        <w:rPr>
          <w:iCs/>
          <w:lang w:val="fr-FR"/>
        </w:rPr>
      </w:pPr>
      <w:r w:rsidRPr="00B11992">
        <w:rPr>
          <w:iCs/>
          <w:lang w:val="fr-FR"/>
        </w:rPr>
        <w:t>P907</w:t>
      </w:r>
      <w:r w:rsidR="006F2FAC">
        <w:rPr>
          <w:iCs/>
          <w:lang w:val="fr-FR"/>
        </w:rPr>
        <w:t> </w:t>
      </w:r>
      <w:r w:rsidRPr="00B11992">
        <w:rPr>
          <w:iCs/>
          <w:lang w:val="fr-FR"/>
        </w:rPr>
        <w:t>;</w:t>
      </w:r>
    </w:p>
    <w:p w14:paraId="5946D742" w14:textId="1D19233C" w:rsidR="009F71F6" w:rsidRPr="00B11992" w:rsidRDefault="009F71F6" w:rsidP="009F71F6">
      <w:pPr>
        <w:pStyle w:val="SingleTxtG"/>
        <w:spacing w:after="0"/>
        <w:ind w:left="1685" w:right="1138"/>
        <w:rPr>
          <w:iCs/>
          <w:lang w:val="fr-FR"/>
        </w:rPr>
      </w:pPr>
      <w:r w:rsidRPr="00B11992">
        <w:rPr>
          <w:iCs/>
          <w:lang w:val="fr-FR"/>
        </w:rPr>
        <w:t>P909</w:t>
      </w:r>
      <w:r w:rsidR="006F2FAC">
        <w:rPr>
          <w:iCs/>
          <w:lang w:val="fr-FR"/>
        </w:rPr>
        <w:t xml:space="preserve"> </w:t>
      </w:r>
      <w:r w:rsidRPr="00B11992">
        <w:rPr>
          <w:iCs/>
          <w:lang w:val="fr-FR"/>
        </w:rPr>
        <w:t xml:space="preserve">(3) </w:t>
      </w:r>
      <w:r w:rsidR="00267E12" w:rsidRPr="00B11992">
        <w:rPr>
          <w:iCs/>
          <w:lang w:val="fr-FR"/>
        </w:rPr>
        <w:t xml:space="preserve">et </w:t>
      </w:r>
      <w:r w:rsidRPr="00B11992">
        <w:rPr>
          <w:iCs/>
          <w:lang w:val="fr-FR"/>
        </w:rPr>
        <w:t>(4)</w:t>
      </w:r>
      <w:r w:rsidR="006F2FAC">
        <w:rPr>
          <w:iCs/>
          <w:lang w:val="fr-FR"/>
        </w:rPr>
        <w:t> </w:t>
      </w:r>
      <w:r w:rsidRPr="00B11992">
        <w:rPr>
          <w:iCs/>
          <w:lang w:val="fr-FR"/>
        </w:rPr>
        <w:t xml:space="preserve">; </w:t>
      </w:r>
      <w:r w:rsidR="00267E12" w:rsidRPr="00B11992">
        <w:rPr>
          <w:iCs/>
          <w:lang w:val="fr-FR"/>
        </w:rPr>
        <w:t>et</w:t>
      </w:r>
    </w:p>
    <w:p w14:paraId="0DBCF30B" w14:textId="45CD9098" w:rsidR="009F71F6" w:rsidRPr="00B11992" w:rsidRDefault="009F71F6" w:rsidP="009F71F6">
      <w:pPr>
        <w:pStyle w:val="SingleTxtG"/>
        <w:spacing w:after="0"/>
        <w:ind w:left="1685" w:right="1138"/>
        <w:rPr>
          <w:iCs/>
          <w:lang w:val="fr-FR"/>
        </w:rPr>
      </w:pPr>
      <w:r w:rsidRPr="00B11992">
        <w:rPr>
          <w:iCs/>
          <w:lang w:val="fr-FR"/>
        </w:rPr>
        <w:t>P910</w:t>
      </w:r>
      <w:r w:rsidR="006F2FAC">
        <w:rPr>
          <w:iCs/>
          <w:lang w:val="fr-FR"/>
        </w:rPr>
        <w:t xml:space="preserve"> </w:t>
      </w:r>
      <w:r w:rsidRPr="00B11992">
        <w:rPr>
          <w:iCs/>
          <w:lang w:val="fr-FR"/>
        </w:rPr>
        <w:t>(3).</w:t>
      </w:r>
    </w:p>
    <w:p w14:paraId="7572739B" w14:textId="28C686F0" w:rsidR="009F71F6" w:rsidRPr="00B11992" w:rsidRDefault="009F71F6" w:rsidP="009F71F6">
      <w:pPr>
        <w:spacing w:before="240"/>
        <w:jc w:val="center"/>
        <w:rPr>
          <w:u w:val="single"/>
          <w:lang w:val="fr-FR"/>
        </w:rPr>
      </w:pPr>
      <w:r w:rsidRPr="00B11992">
        <w:rPr>
          <w:u w:val="single"/>
          <w:lang w:val="fr-FR"/>
        </w:rPr>
        <w:tab/>
      </w:r>
      <w:r w:rsidRPr="00B11992">
        <w:rPr>
          <w:u w:val="single"/>
          <w:lang w:val="fr-FR"/>
        </w:rPr>
        <w:tab/>
      </w:r>
      <w:r w:rsidRPr="00B11992">
        <w:rPr>
          <w:u w:val="single"/>
          <w:lang w:val="fr-FR"/>
        </w:rPr>
        <w:tab/>
      </w:r>
    </w:p>
    <w:sectPr w:rsidR="009F71F6" w:rsidRPr="00B11992" w:rsidSect="001D31FD">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7CADB" w14:textId="77777777" w:rsidR="00AB2557" w:rsidRDefault="00AB2557"/>
  </w:endnote>
  <w:endnote w:type="continuationSeparator" w:id="0">
    <w:p w14:paraId="23247875" w14:textId="77777777" w:rsidR="00AB2557" w:rsidRDefault="00AB2557"/>
  </w:endnote>
  <w:endnote w:type="continuationNotice" w:id="1">
    <w:p w14:paraId="01043503" w14:textId="77777777" w:rsidR="00AB2557" w:rsidRDefault="00AB2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72A9" w14:textId="77777777"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F95BBB">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E697" w14:textId="77777777"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7064F0">
      <w:rPr>
        <w:b/>
        <w:noProof/>
        <w:sz w:val="18"/>
      </w:rPr>
      <w:t>3</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26AD" w14:textId="77777777" w:rsidR="00AB2557" w:rsidRPr="000B175B" w:rsidRDefault="00AB2557" w:rsidP="000B175B">
      <w:pPr>
        <w:tabs>
          <w:tab w:val="right" w:pos="2155"/>
        </w:tabs>
        <w:spacing w:after="80"/>
        <w:ind w:left="680"/>
        <w:rPr>
          <w:u w:val="single"/>
        </w:rPr>
      </w:pPr>
      <w:r>
        <w:rPr>
          <w:u w:val="single"/>
        </w:rPr>
        <w:tab/>
      </w:r>
    </w:p>
  </w:footnote>
  <w:footnote w:type="continuationSeparator" w:id="0">
    <w:p w14:paraId="6A694774" w14:textId="77777777" w:rsidR="00AB2557" w:rsidRPr="00FC68B7" w:rsidRDefault="00AB2557" w:rsidP="00FC68B7">
      <w:pPr>
        <w:tabs>
          <w:tab w:val="left" w:pos="2155"/>
        </w:tabs>
        <w:spacing w:after="80"/>
        <w:ind w:left="680"/>
        <w:rPr>
          <w:u w:val="single"/>
        </w:rPr>
      </w:pPr>
      <w:r>
        <w:rPr>
          <w:u w:val="single"/>
        </w:rPr>
        <w:tab/>
      </w:r>
    </w:p>
  </w:footnote>
  <w:footnote w:type="continuationNotice" w:id="1">
    <w:p w14:paraId="35AF670F" w14:textId="77777777" w:rsidR="00AB2557" w:rsidRDefault="00AB2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9CAE" w14:textId="09915DC2" w:rsidR="006B20F6" w:rsidRPr="008E3620" w:rsidRDefault="008E3620">
    <w:pPr>
      <w:pStyle w:val="Header"/>
      <w:rPr>
        <w:lang w:val="fr-CH"/>
      </w:rPr>
    </w:pPr>
    <w:r>
      <w:rPr>
        <w:lang w:val="fr-CH"/>
      </w:rPr>
      <w:t>UN/SCETDG/56/INF.1</w:t>
    </w:r>
    <w:r w:rsidR="009F71F6">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2273" w14:textId="69D87154" w:rsidR="006B20F6" w:rsidRPr="00570893" w:rsidRDefault="00A71B65" w:rsidP="006D12B1">
    <w:pPr>
      <w:pStyle w:val="Header"/>
      <w:jc w:val="right"/>
      <w:rPr>
        <w:lang w:val="fr-CH"/>
      </w:rPr>
    </w:pPr>
    <w:r>
      <w:rPr>
        <w:lang w:val="fr-CH"/>
      </w:rPr>
      <w:t>UN/SCETDG/56/INF.1</w:t>
    </w:r>
    <w:r w:rsidR="005564C4">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5DB" w14:textId="77777777"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164B65"/>
    <w:multiLevelType w:val="hybridMultilevel"/>
    <w:tmpl w:val="E234707A"/>
    <w:lvl w:ilvl="0" w:tplc="366085E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257E7C73"/>
    <w:multiLevelType w:val="hybridMultilevel"/>
    <w:tmpl w:val="0840CE36"/>
    <w:lvl w:ilvl="0" w:tplc="543609AA">
      <w:start w:val="2007"/>
      <w:numFmt w:val="decimal"/>
      <w:lvlText w:val="%1"/>
      <w:lvlJc w:val="left"/>
      <w:pPr>
        <w:ind w:left="1608" w:hanging="48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7"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8" w15:restartNumberingAfterBreak="0">
    <w:nsid w:val="307C51A0"/>
    <w:multiLevelType w:val="hybridMultilevel"/>
    <w:tmpl w:val="E4309ACA"/>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1" w15:restartNumberingAfterBreak="0">
    <w:nsid w:val="6D7313ED"/>
    <w:multiLevelType w:val="hybridMultilevel"/>
    <w:tmpl w:val="180E3E78"/>
    <w:lvl w:ilvl="0" w:tplc="B50AC5E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94EC7"/>
    <w:multiLevelType w:val="hybridMultilevel"/>
    <w:tmpl w:val="E5546262"/>
    <w:lvl w:ilvl="0" w:tplc="18B07A1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1"/>
  </w:num>
  <w:num w:numId="14">
    <w:abstractNumId w:val="29"/>
  </w:num>
  <w:num w:numId="15">
    <w:abstractNumId w:val="33"/>
  </w:num>
  <w:num w:numId="16">
    <w:abstractNumId w:val="14"/>
  </w:num>
  <w:num w:numId="17">
    <w:abstractNumId w:val="22"/>
  </w:num>
  <w:num w:numId="18">
    <w:abstractNumId w:val="19"/>
  </w:num>
  <w:num w:numId="19">
    <w:abstractNumId w:val="32"/>
  </w:num>
  <w:num w:numId="20">
    <w:abstractNumId w:val="25"/>
  </w:num>
  <w:num w:numId="21">
    <w:abstractNumId w:val="17"/>
  </w:num>
  <w:num w:numId="22">
    <w:abstractNumId w:val="10"/>
  </w:num>
  <w:num w:numId="23">
    <w:abstractNumId w:val="30"/>
  </w:num>
  <w:num w:numId="24">
    <w:abstractNumId w:val="23"/>
  </w:num>
  <w:num w:numId="25">
    <w:abstractNumId w:val="20"/>
  </w:num>
  <w:num w:numId="26">
    <w:abstractNumId w:val="28"/>
  </w:num>
  <w:num w:numId="27">
    <w:abstractNumId w:val="24"/>
  </w:num>
  <w:num w:numId="28">
    <w:abstractNumId w:val="27"/>
  </w:num>
  <w:num w:numId="29">
    <w:abstractNumId w:val="15"/>
  </w:num>
  <w:num w:numId="30">
    <w:abstractNumId w:val="21"/>
  </w:num>
  <w:num w:numId="31">
    <w:abstractNumId w:val="18"/>
  </w:num>
  <w:num w:numId="32">
    <w:abstractNumId w:val="16"/>
  </w:num>
  <w:num w:numId="33">
    <w:abstractNumId w:val="12"/>
  </w:num>
  <w:num w:numId="34">
    <w:abstractNumId w:val="31"/>
  </w:num>
  <w:num w:numId="3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ctiveWritingStyle w:appName="MSWord" w:lang="de-DE" w:vendorID="64" w:dllVersion="0" w:nlCheck="1" w:checkStyle="0"/>
  <w:activeWritingStyle w:appName="MSWord" w:lang="fr-BE" w:vendorID="64" w:dllVersion="6" w:nlCheck="1" w:checkStyle="1"/>
  <w:activeWritingStyle w:appName="MSWord" w:lang="fr-B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1F58"/>
    <w:rsid w:val="00003D68"/>
    <w:rsid w:val="000239F9"/>
    <w:rsid w:val="00023C5F"/>
    <w:rsid w:val="00023F08"/>
    <w:rsid w:val="00026223"/>
    <w:rsid w:val="00047D68"/>
    <w:rsid w:val="00047F82"/>
    <w:rsid w:val="000504CE"/>
    <w:rsid w:val="00050F6B"/>
    <w:rsid w:val="00063D27"/>
    <w:rsid w:val="00070A5A"/>
    <w:rsid w:val="00071A63"/>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D11DE"/>
    <w:rsid w:val="000D38D6"/>
    <w:rsid w:val="000D58F6"/>
    <w:rsid w:val="000E0415"/>
    <w:rsid w:val="000F7AB3"/>
    <w:rsid w:val="0010561F"/>
    <w:rsid w:val="00115C6E"/>
    <w:rsid w:val="00117787"/>
    <w:rsid w:val="00120443"/>
    <w:rsid w:val="001206C9"/>
    <w:rsid w:val="00124953"/>
    <w:rsid w:val="00131D42"/>
    <w:rsid w:val="00144B44"/>
    <w:rsid w:val="00154E28"/>
    <w:rsid w:val="001633FB"/>
    <w:rsid w:val="00164487"/>
    <w:rsid w:val="00164572"/>
    <w:rsid w:val="00167786"/>
    <w:rsid w:val="00177795"/>
    <w:rsid w:val="001800D4"/>
    <w:rsid w:val="001A537C"/>
    <w:rsid w:val="001B42B4"/>
    <w:rsid w:val="001B4B04"/>
    <w:rsid w:val="001B709B"/>
    <w:rsid w:val="001C0631"/>
    <w:rsid w:val="001C2273"/>
    <w:rsid w:val="001C3159"/>
    <w:rsid w:val="001C6663"/>
    <w:rsid w:val="001C7526"/>
    <w:rsid w:val="001C7895"/>
    <w:rsid w:val="001D26DF"/>
    <w:rsid w:val="001D2FDC"/>
    <w:rsid w:val="001D31FD"/>
    <w:rsid w:val="001D646C"/>
    <w:rsid w:val="001D79DB"/>
    <w:rsid w:val="001F2D80"/>
    <w:rsid w:val="001F3FA0"/>
    <w:rsid w:val="001F4C6A"/>
    <w:rsid w:val="001F66AB"/>
    <w:rsid w:val="002016FA"/>
    <w:rsid w:val="00203655"/>
    <w:rsid w:val="00210B9C"/>
    <w:rsid w:val="002114DD"/>
    <w:rsid w:val="00211E0B"/>
    <w:rsid w:val="00212DFA"/>
    <w:rsid w:val="00213AFD"/>
    <w:rsid w:val="0022022E"/>
    <w:rsid w:val="00221E51"/>
    <w:rsid w:val="00225F05"/>
    <w:rsid w:val="002309A7"/>
    <w:rsid w:val="00237785"/>
    <w:rsid w:val="00240918"/>
    <w:rsid w:val="00241466"/>
    <w:rsid w:val="00241743"/>
    <w:rsid w:val="002467B9"/>
    <w:rsid w:val="00253F32"/>
    <w:rsid w:val="00263923"/>
    <w:rsid w:val="002656C7"/>
    <w:rsid w:val="00266652"/>
    <w:rsid w:val="00267E12"/>
    <w:rsid w:val="0027126E"/>
    <w:rsid w:val="002725CA"/>
    <w:rsid w:val="00273269"/>
    <w:rsid w:val="00274950"/>
    <w:rsid w:val="00280EB7"/>
    <w:rsid w:val="00286006"/>
    <w:rsid w:val="00286DC6"/>
    <w:rsid w:val="002B1CDA"/>
    <w:rsid w:val="002C1AE8"/>
    <w:rsid w:val="002D0CCD"/>
    <w:rsid w:val="002E376C"/>
    <w:rsid w:val="002E394C"/>
    <w:rsid w:val="002E3E7B"/>
    <w:rsid w:val="002E420A"/>
    <w:rsid w:val="0030379C"/>
    <w:rsid w:val="00306458"/>
    <w:rsid w:val="00306980"/>
    <w:rsid w:val="003107FA"/>
    <w:rsid w:val="00316518"/>
    <w:rsid w:val="00320533"/>
    <w:rsid w:val="0032058E"/>
    <w:rsid w:val="0032145E"/>
    <w:rsid w:val="003229D8"/>
    <w:rsid w:val="00323B59"/>
    <w:rsid w:val="00325290"/>
    <w:rsid w:val="00337633"/>
    <w:rsid w:val="0034759C"/>
    <w:rsid w:val="003525CF"/>
    <w:rsid w:val="0036127B"/>
    <w:rsid w:val="00362AB3"/>
    <w:rsid w:val="00365E68"/>
    <w:rsid w:val="00373BF8"/>
    <w:rsid w:val="003770E6"/>
    <w:rsid w:val="00384F6B"/>
    <w:rsid w:val="003863B7"/>
    <w:rsid w:val="0039277A"/>
    <w:rsid w:val="00397267"/>
    <w:rsid w:val="003972E0"/>
    <w:rsid w:val="003974CA"/>
    <w:rsid w:val="00397695"/>
    <w:rsid w:val="003A0C75"/>
    <w:rsid w:val="003A203B"/>
    <w:rsid w:val="003A25EB"/>
    <w:rsid w:val="003A58B0"/>
    <w:rsid w:val="003B3726"/>
    <w:rsid w:val="003C24C1"/>
    <w:rsid w:val="003C2CC4"/>
    <w:rsid w:val="003C3844"/>
    <w:rsid w:val="003C7B41"/>
    <w:rsid w:val="003D2C1E"/>
    <w:rsid w:val="003D3841"/>
    <w:rsid w:val="003D4B23"/>
    <w:rsid w:val="003E211B"/>
    <w:rsid w:val="003E5B28"/>
    <w:rsid w:val="00413FEE"/>
    <w:rsid w:val="00421B26"/>
    <w:rsid w:val="0042233A"/>
    <w:rsid w:val="004325CB"/>
    <w:rsid w:val="00437F3F"/>
    <w:rsid w:val="00442DF8"/>
    <w:rsid w:val="00446DE4"/>
    <w:rsid w:val="00454036"/>
    <w:rsid w:val="0046510E"/>
    <w:rsid w:val="00465781"/>
    <w:rsid w:val="00465AFB"/>
    <w:rsid w:val="00466CA5"/>
    <w:rsid w:val="00477705"/>
    <w:rsid w:val="00477D30"/>
    <w:rsid w:val="00483009"/>
    <w:rsid w:val="00485492"/>
    <w:rsid w:val="004B2C9D"/>
    <w:rsid w:val="004C1373"/>
    <w:rsid w:val="004C6FBA"/>
    <w:rsid w:val="004D56C3"/>
    <w:rsid w:val="004E05DD"/>
    <w:rsid w:val="004E0C20"/>
    <w:rsid w:val="004E5F44"/>
    <w:rsid w:val="004E768F"/>
    <w:rsid w:val="004F0881"/>
    <w:rsid w:val="004F3384"/>
    <w:rsid w:val="00524C27"/>
    <w:rsid w:val="00525F7F"/>
    <w:rsid w:val="00527910"/>
    <w:rsid w:val="00530504"/>
    <w:rsid w:val="00530A3F"/>
    <w:rsid w:val="00533B78"/>
    <w:rsid w:val="00534038"/>
    <w:rsid w:val="005420F2"/>
    <w:rsid w:val="00542E93"/>
    <w:rsid w:val="00544CB6"/>
    <w:rsid w:val="005500DD"/>
    <w:rsid w:val="005501BE"/>
    <w:rsid w:val="005564C4"/>
    <w:rsid w:val="00563498"/>
    <w:rsid w:val="005649C7"/>
    <w:rsid w:val="00566C4F"/>
    <w:rsid w:val="00570893"/>
    <w:rsid w:val="00575122"/>
    <w:rsid w:val="00581F0C"/>
    <w:rsid w:val="00590144"/>
    <w:rsid w:val="00590E9D"/>
    <w:rsid w:val="00591271"/>
    <w:rsid w:val="0059588D"/>
    <w:rsid w:val="005A22CF"/>
    <w:rsid w:val="005B03C6"/>
    <w:rsid w:val="005B151F"/>
    <w:rsid w:val="005B3DB3"/>
    <w:rsid w:val="005B40ED"/>
    <w:rsid w:val="005B77F6"/>
    <w:rsid w:val="005C37B3"/>
    <w:rsid w:val="005C3AC1"/>
    <w:rsid w:val="005C7602"/>
    <w:rsid w:val="005D53BB"/>
    <w:rsid w:val="005D7B02"/>
    <w:rsid w:val="005F5E08"/>
    <w:rsid w:val="005F7326"/>
    <w:rsid w:val="00600B82"/>
    <w:rsid w:val="0060446B"/>
    <w:rsid w:val="00611FC4"/>
    <w:rsid w:val="006133E8"/>
    <w:rsid w:val="006176FB"/>
    <w:rsid w:val="00623635"/>
    <w:rsid w:val="00625E3D"/>
    <w:rsid w:val="00630C9C"/>
    <w:rsid w:val="00632868"/>
    <w:rsid w:val="0063419C"/>
    <w:rsid w:val="00637556"/>
    <w:rsid w:val="00640B26"/>
    <w:rsid w:val="0064599F"/>
    <w:rsid w:val="006500BA"/>
    <w:rsid w:val="006547FF"/>
    <w:rsid w:val="006641AF"/>
    <w:rsid w:val="00665835"/>
    <w:rsid w:val="006663B4"/>
    <w:rsid w:val="00666A12"/>
    <w:rsid w:val="00666C9B"/>
    <w:rsid w:val="00666E76"/>
    <w:rsid w:val="00674956"/>
    <w:rsid w:val="006759B1"/>
    <w:rsid w:val="00675DB9"/>
    <w:rsid w:val="00680ECD"/>
    <w:rsid w:val="006949CA"/>
    <w:rsid w:val="006A17F4"/>
    <w:rsid w:val="006A4C5C"/>
    <w:rsid w:val="006A7392"/>
    <w:rsid w:val="006B20F6"/>
    <w:rsid w:val="006B33B8"/>
    <w:rsid w:val="006C0D34"/>
    <w:rsid w:val="006D0F98"/>
    <w:rsid w:val="006D12B1"/>
    <w:rsid w:val="006E564B"/>
    <w:rsid w:val="006F05B2"/>
    <w:rsid w:val="006F08D5"/>
    <w:rsid w:val="006F2F51"/>
    <w:rsid w:val="006F2FAC"/>
    <w:rsid w:val="006F4574"/>
    <w:rsid w:val="00704CDB"/>
    <w:rsid w:val="007064F0"/>
    <w:rsid w:val="00711C13"/>
    <w:rsid w:val="007221B3"/>
    <w:rsid w:val="00724B47"/>
    <w:rsid w:val="0072632A"/>
    <w:rsid w:val="007436F8"/>
    <w:rsid w:val="00744314"/>
    <w:rsid w:val="0074549D"/>
    <w:rsid w:val="00753D31"/>
    <w:rsid w:val="00755330"/>
    <w:rsid w:val="007555F0"/>
    <w:rsid w:val="00755888"/>
    <w:rsid w:val="00765233"/>
    <w:rsid w:val="0077335F"/>
    <w:rsid w:val="00774DC9"/>
    <w:rsid w:val="007753C9"/>
    <w:rsid w:val="00780B56"/>
    <w:rsid w:val="00782BA8"/>
    <w:rsid w:val="00790791"/>
    <w:rsid w:val="0079329B"/>
    <w:rsid w:val="00796AE1"/>
    <w:rsid w:val="007A022A"/>
    <w:rsid w:val="007A717B"/>
    <w:rsid w:val="007B08A0"/>
    <w:rsid w:val="007B1A7E"/>
    <w:rsid w:val="007B6AE7"/>
    <w:rsid w:val="007B6BA5"/>
    <w:rsid w:val="007B77FB"/>
    <w:rsid w:val="007C2411"/>
    <w:rsid w:val="007C3390"/>
    <w:rsid w:val="007C4F4B"/>
    <w:rsid w:val="007E79E3"/>
    <w:rsid w:val="007F6611"/>
    <w:rsid w:val="00800367"/>
    <w:rsid w:val="00801E81"/>
    <w:rsid w:val="008175E9"/>
    <w:rsid w:val="00823B1A"/>
    <w:rsid w:val="008242D7"/>
    <w:rsid w:val="00824C37"/>
    <w:rsid w:val="0084047A"/>
    <w:rsid w:val="0084298D"/>
    <w:rsid w:val="0085164B"/>
    <w:rsid w:val="008650F3"/>
    <w:rsid w:val="00871FD5"/>
    <w:rsid w:val="00876878"/>
    <w:rsid w:val="00884FD0"/>
    <w:rsid w:val="00886809"/>
    <w:rsid w:val="008910B9"/>
    <w:rsid w:val="00895E97"/>
    <w:rsid w:val="008971E9"/>
    <w:rsid w:val="008979B1"/>
    <w:rsid w:val="008A3016"/>
    <w:rsid w:val="008A3543"/>
    <w:rsid w:val="008A6B25"/>
    <w:rsid w:val="008A6C4F"/>
    <w:rsid w:val="008D53CE"/>
    <w:rsid w:val="008E071B"/>
    <w:rsid w:val="008E0E01"/>
    <w:rsid w:val="008E0E46"/>
    <w:rsid w:val="008E1F48"/>
    <w:rsid w:val="008E3620"/>
    <w:rsid w:val="008F79EE"/>
    <w:rsid w:val="00904B37"/>
    <w:rsid w:val="0091571F"/>
    <w:rsid w:val="00916CE1"/>
    <w:rsid w:val="00922550"/>
    <w:rsid w:val="009255A2"/>
    <w:rsid w:val="009344A6"/>
    <w:rsid w:val="009434B3"/>
    <w:rsid w:val="00945A5D"/>
    <w:rsid w:val="00946A04"/>
    <w:rsid w:val="009508F7"/>
    <w:rsid w:val="0095534D"/>
    <w:rsid w:val="0095690E"/>
    <w:rsid w:val="00957117"/>
    <w:rsid w:val="00960AFB"/>
    <w:rsid w:val="00963CBA"/>
    <w:rsid w:val="00981905"/>
    <w:rsid w:val="009854F2"/>
    <w:rsid w:val="0099124E"/>
    <w:rsid w:val="00991261"/>
    <w:rsid w:val="009A7613"/>
    <w:rsid w:val="009B371C"/>
    <w:rsid w:val="009B4C36"/>
    <w:rsid w:val="009B53E6"/>
    <w:rsid w:val="009C3ED5"/>
    <w:rsid w:val="009C4C96"/>
    <w:rsid w:val="009D1AAE"/>
    <w:rsid w:val="009D21EA"/>
    <w:rsid w:val="009D2254"/>
    <w:rsid w:val="009E34C3"/>
    <w:rsid w:val="009E523D"/>
    <w:rsid w:val="009F0F06"/>
    <w:rsid w:val="009F4BF2"/>
    <w:rsid w:val="009F71F6"/>
    <w:rsid w:val="00A1427D"/>
    <w:rsid w:val="00A2321F"/>
    <w:rsid w:val="00A3012E"/>
    <w:rsid w:val="00A310BE"/>
    <w:rsid w:val="00A357CC"/>
    <w:rsid w:val="00A37714"/>
    <w:rsid w:val="00A405E5"/>
    <w:rsid w:val="00A44CAE"/>
    <w:rsid w:val="00A50007"/>
    <w:rsid w:val="00A5744E"/>
    <w:rsid w:val="00A60C34"/>
    <w:rsid w:val="00A65944"/>
    <w:rsid w:val="00A71B65"/>
    <w:rsid w:val="00A72F22"/>
    <w:rsid w:val="00A73040"/>
    <w:rsid w:val="00A748A6"/>
    <w:rsid w:val="00A74A73"/>
    <w:rsid w:val="00A74EF3"/>
    <w:rsid w:val="00A75B6F"/>
    <w:rsid w:val="00A75EC9"/>
    <w:rsid w:val="00A8523D"/>
    <w:rsid w:val="00A879A4"/>
    <w:rsid w:val="00A90303"/>
    <w:rsid w:val="00A920BD"/>
    <w:rsid w:val="00A93914"/>
    <w:rsid w:val="00A93EFD"/>
    <w:rsid w:val="00A9451B"/>
    <w:rsid w:val="00A94E14"/>
    <w:rsid w:val="00AA6ADE"/>
    <w:rsid w:val="00AB2557"/>
    <w:rsid w:val="00AB5051"/>
    <w:rsid w:val="00AC12E0"/>
    <w:rsid w:val="00AC4017"/>
    <w:rsid w:val="00AC4345"/>
    <w:rsid w:val="00AD53E5"/>
    <w:rsid w:val="00AE06E2"/>
    <w:rsid w:val="00AF17E0"/>
    <w:rsid w:val="00AF523B"/>
    <w:rsid w:val="00AF6697"/>
    <w:rsid w:val="00B11992"/>
    <w:rsid w:val="00B30179"/>
    <w:rsid w:val="00B304A8"/>
    <w:rsid w:val="00B3094C"/>
    <w:rsid w:val="00B3317B"/>
    <w:rsid w:val="00B34E51"/>
    <w:rsid w:val="00B4226A"/>
    <w:rsid w:val="00B431FF"/>
    <w:rsid w:val="00B571F2"/>
    <w:rsid w:val="00B62D3D"/>
    <w:rsid w:val="00B639CA"/>
    <w:rsid w:val="00B707EC"/>
    <w:rsid w:val="00B81E12"/>
    <w:rsid w:val="00B85A05"/>
    <w:rsid w:val="00B93068"/>
    <w:rsid w:val="00B94CD7"/>
    <w:rsid w:val="00B96D8A"/>
    <w:rsid w:val="00BA73C3"/>
    <w:rsid w:val="00BB0133"/>
    <w:rsid w:val="00BB027F"/>
    <w:rsid w:val="00BB0958"/>
    <w:rsid w:val="00BC603D"/>
    <w:rsid w:val="00BC73C7"/>
    <w:rsid w:val="00BC74E9"/>
    <w:rsid w:val="00BD36F7"/>
    <w:rsid w:val="00BE618E"/>
    <w:rsid w:val="00BF169C"/>
    <w:rsid w:val="00BF7DE7"/>
    <w:rsid w:val="00C21CDE"/>
    <w:rsid w:val="00C26C0B"/>
    <w:rsid w:val="00C32725"/>
    <w:rsid w:val="00C332DA"/>
    <w:rsid w:val="00C44E98"/>
    <w:rsid w:val="00C463DD"/>
    <w:rsid w:val="00C62F76"/>
    <w:rsid w:val="00C667E3"/>
    <w:rsid w:val="00C73CE6"/>
    <w:rsid w:val="00C745C3"/>
    <w:rsid w:val="00C7487E"/>
    <w:rsid w:val="00C75101"/>
    <w:rsid w:val="00C83125"/>
    <w:rsid w:val="00C971C9"/>
    <w:rsid w:val="00C97788"/>
    <w:rsid w:val="00CA2FB6"/>
    <w:rsid w:val="00CB4C2D"/>
    <w:rsid w:val="00CB64AE"/>
    <w:rsid w:val="00CC47DF"/>
    <w:rsid w:val="00CC5473"/>
    <w:rsid w:val="00CC5E90"/>
    <w:rsid w:val="00CC5FB1"/>
    <w:rsid w:val="00CD3225"/>
    <w:rsid w:val="00CD5FED"/>
    <w:rsid w:val="00CE46BA"/>
    <w:rsid w:val="00CE4A8F"/>
    <w:rsid w:val="00CE57DA"/>
    <w:rsid w:val="00CF03B5"/>
    <w:rsid w:val="00CF46F8"/>
    <w:rsid w:val="00CF5E82"/>
    <w:rsid w:val="00CF6A88"/>
    <w:rsid w:val="00CF6AC0"/>
    <w:rsid w:val="00CF7E49"/>
    <w:rsid w:val="00D0408E"/>
    <w:rsid w:val="00D11652"/>
    <w:rsid w:val="00D1626A"/>
    <w:rsid w:val="00D2031B"/>
    <w:rsid w:val="00D207B0"/>
    <w:rsid w:val="00D20CE5"/>
    <w:rsid w:val="00D23861"/>
    <w:rsid w:val="00D24605"/>
    <w:rsid w:val="00D25FE2"/>
    <w:rsid w:val="00D3033B"/>
    <w:rsid w:val="00D327F7"/>
    <w:rsid w:val="00D345BA"/>
    <w:rsid w:val="00D35BDD"/>
    <w:rsid w:val="00D36689"/>
    <w:rsid w:val="00D43252"/>
    <w:rsid w:val="00D46231"/>
    <w:rsid w:val="00D625F6"/>
    <w:rsid w:val="00D71E33"/>
    <w:rsid w:val="00D729F2"/>
    <w:rsid w:val="00D753D8"/>
    <w:rsid w:val="00D803A9"/>
    <w:rsid w:val="00D811EC"/>
    <w:rsid w:val="00D83B2B"/>
    <w:rsid w:val="00D87AEF"/>
    <w:rsid w:val="00D96CC5"/>
    <w:rsid w:val="00D978C6"/>
    <w:rsid w:val="00DA67AD"/>
    <w:rsid w:val="00DA720A"/>
    <w:rsid w:val="00DB2840"/>
    <w:rsid w:val="00DB6036"/>
    <w:rsid w:val="00DC25F4"/>
    <w:rsid w:val="00DD2FF2"/>
    <w:rsid w:val="00DD62B9"/>
    <w:rsid w:val="00DD66D0"/>
    <w:rsid w:val="00DF18E3"/>
    <w:rsid w:val="00E103D0"/>
    <w:rsid w:val="00E130AB"/>
    <w:rsid w:val="00E1345B"/>
    <w:rsid w:val="00E1679E"/>
    <w:rsid w:val="00E207EC"/>
    <w:rsid w:val="00E31E1E"/>
    <w:rsid w:val="00E44327"/>
    <w:rsid w:val="00E53CC6"/>
    <w:rsid w:val="00E5644E"/>
    <w:rsid w:val="00E7260F"/>
    <w:rsid w:val="00E77BA6"/>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6BE2"/>
    <w:rsid w:val="00ED7A2A"/>
    <w:rsid w:val="00EE4F84"/>
    <w:rsid w:val="00EE7FDC"/>
    <w:rsid w:val="00EF0043"/>
    <w:rsid w:val="00EF1D7F"/>
    <w:rsid w:val="00F0135D"/>
    <w:rsid w:val="00F22FBC"/>
    <w:rsid w:val="00F27432"/>
    <w:rsid w:val="00F37510"/>
    <w:rsid w:val="00F40E75"/>
    <w:rsid w:val="00F46C61"/>
    <w:rsid w:val="00F52545"/>
    <w:rsid w:val="00F54674"/>
    <w:rsid w:val="00F60240"/>
    <w:rsid w:val="00F608CD"/>
    <w:rsid w:val="00F845FF"/>
    <w:rsid w:val="00F87E27"/>
    <w:rsid w:val="00F90E26"/>
    <w:rsid w:val="00F9331F"/>
    <w:rsid w:val="00F9522B"/>
    <w:rsid w:val="00F95BBB"/>
    <w:rsid w:val="00FA0A6E"/>
    <w:rsid w:val="00FB7353"/>
    <w:rsid w:val="00FC4A05"/>
    <w:rsid w:val="00FC5F72"/>
    <w:rsid w:val="00FC68B7"/>
    <w:rsid w:val="00FD6B2B"/>
    <w:rsid w:val="00FD761D"/>
    <w:rsid w:val="00FE167B"/>
    <w:rsid w:val="00FE42D8"/>
    <w:rsid w:val="00FF03BB"/>
    <w:rsid w:val="00FF28C2"/>
    <w:rsid w:val="00FF52D7"/>
    <w:rsid w:val="00FF5E28"/>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04191B"/>
  <w15:docId w15:val="{6085CDFB-DEC5-4FA4-A4D3-B34DCF7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F44"/>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qFormat/>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paragraph" w:styleId="CommentSubject">
    <w:name w:val="annotation subject"/>
    <w:basedOn w:val="CommentText"/>
    <w:next w:val="CommentText"/>
    <w:link w:val="CommentSubjectChar"/>
    <w:semiHidden/>
    <w:unhideWhenUsed/>
    <w:rsid w:val="00D20CE5"/>
    <w:pPr>
      <w:suppressAutoHyphens/>
      <w:spacing w:line="240" w:lineRule="atLeast"/>
    </w:pPr>
    <w:rPr>
      <w:b/>
      <w:bCs/>
      <w:lang w:eastAsia="en-US"/>
    </w:rPr>
  </w:style>
  <w:style w:type="character" w:customStyle="1" w:styleId="CommentTextChar">
    <w:name w:val="Comment Text Char"/>
    <w:link w:val="CommentText"/>
    <w:uiPriority w:val="99"/>
    <w:semiHidden/>
    <w:rsid w:val="00D20CE5"/>
    <w:rPr>
      <w:lang w:val="en-GB" w:eastAsia="fr-FR"/>
    </w:rPr>
  </w:style>
  <w:style w:type="character" w:customStyle="1" w:styleId="CommentSubjectChar">
    <w:name w:val="Comment Subject Char"/>
    <w:link w:val="CommentSubject"/>
    <w:semiHidden/>
    <w:rsid w:val="00D20CE5"/>
    <w:rPr>
      <w:b/>
      <w:bCs/>
      <w:lang w:val="en-GB" w:eastAsia="fr-FR"/>
    </w:rPr>
  </w:style>
  <w:style w:type="character" w:customStyle="1" w:styleId="SingleTxtGCar">
    <w:name w:val="_ Single Txt_G Car"/>
    <w:rsid w:val="008E3620"/>
    <w:rPr>
      <w:lang w:val="en-GB" w:eastAsia="en-US"/>
    </w:rPr>
  </w:style>
  <w:style w:type="paragraph" w:styleId="Revision">
    <w:name w:val="Revision"/>
    <w:hidden/>
    <w:uiPriority w:val="99"/>
    <w:semiHidden/>
    <w:rsid w:val="00C971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688">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683972791">
      <w:bodyDiv w:val="1"/>
      <w:marLeft w:val="0"/>
      <w:marRight w:val="0"/>
      <w:marTop w:val="0"/>
      <w:marBottom w:val="0"/>
      <w:divBdr>
        <w:top w:val="none" w:sz="0" w:space="0" w:color="auto"/>
        <w:left w:val="none" w:sz="0" w:space="0" w:color="auto"/>
        <w:bottom w:val="none" w:sz="0" w:space="0" w:color="auto"/>
        <w:right w:val="none" w:sz="0" w:space="0" w:color="auto"/>
      </w:divBdr>
    </w:div>
    <w:div w:id="18539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7C9AD9EBA13F3D4D944610359B871BE0" ma:contentTypeVersion="8" ma:contentTypeDescription="Create a new document." ma:contentTypeScope="" ma:versionID="6c8afc12d42cd3007a50b0fcde94c562">
  <xsd:schema xmlns:xsd="http://www.w3.org/2001/XMLSchema" xmlns:xs="http://www.w3.org/2001/XMLSchema" xmlns:p="http://schemas.microsoft.com/office/2006/metadata/properties" xmlns:ns3="32e2eb3e-52c0-43a9-b66b-53c93d71b614" targetNamespace="http://schemas.microsoft.com/office/2006/metadata/properties" ma:root="true" ma:fieldsID="eac867479c5f584e6aeae5cb61fa66d9" ns3:_="">
    <xsd:import namespace="32e2eb3e-52c0-43a9-b66b-53c93d71b6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2eb3e-52c0-43a9-b66b-53c93d71b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8EF49CA0-52EC-4715-9191-09C9A912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2eb3e-52c0-43a9-b66b-53c93d71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F53D3-A2AB-4503-98ED-3143D8391D80}">
  <ds:schemaRefs>
    <ds:schemaRef ds:uri="http://schemas.microsoft.com/sharepoint/v3/contenttype/forms"/>
  </ds:schemaRefs>
</ds:datastoreItem>
</file>

<file path=customXml/itemProps4.xml><?xml version="1.0" encoding="utf-8"?>
<ds:datastoreItem xmlns:ds="http://schemas.openxmlformats.org/officeDocument/2006/customXml" ds:itemID="{8318A735-CE83-4EB6-AD2A-FDB373B59506}">
  <ds:schemaRefs>
    <ds:schemaRef ds:uri="http://purl.org/dc/dcmitype/"/>
    <ds:schemaRef ds:uri="http://schemas.microsoft.com/office/infopath/2007/PartnerControls"/>
    <ds:schemaRef ds:uri="32e2eb3e-52c0-43a9-b66b-53c93d71b61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61BB5BA-E8A7-47DB-B6C4-23F67A5F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69</TotalTime>
  <Pages>2</Pages>
  <Words>739</Words>
  <Characters>4213</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Laurence BERTHET</dc:creator>
  <cp:lastModifiedBy>Laurence Berthet</cp:lastModifiedBy>
  <cp:revision>10</cp:revision>
  <cp:lastPrinted>2019-11-21T09:26:00Z</cp:lastPrinted>
  <dcterms:created xsi:type="dcterms:W3CDTF">2019-11-20T11:49:00Z</dcterms:created>
  <dcterms:modified xsi:type="dcterms:W3CDTF">2019-11-21T09:27:00Z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0x0101007C9AD9EBA13F3D4D944610359B871BE0</vt:lpwstr>
  </property>
</Properties>
</file>