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3D1FC956" w14:textId="77777777" w:rsidTr="00BA02A0">
        <w:trPr>
          <w:cantSplit/>
          <w:trHeight w:hRule="exact" w:val="851"/>
        </w:trPr>
        <w:tc>
          <w:tcPr>
            <w:tcW w:w="9639" w:type="dxa"/>
            <w:tcBorders>
              <w:bottom w:val="single" w:sz="4" w:space="0" w:color="auto"/>
            </w:tcBorders>
            <w:vAlign w:val="bottom"/>
          </w:tcPr>
          <w:p w14:paraId="7A878C56" w14:textId="77777777" w:rsidR="0099001C" w:rsidRPr="007E344F" w:rsidRDefault="0099001C" w:rsidP="009011F2">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9011F2">
              <w:rPr>
                <w:b/>
                <w:sz w:val="40"/>
                <w:szCs w:val="40"/>
              </w:rPr>
              <w:t>5</w:t>
            </w:r>
            <w:r w:rsidRPr="007E344F">
              <w:rPr>
                <w:b/>
                <w:sz w:val="40"/>
                <w:szCs w:val="40"/>
              </w:rPr>
              <w:t>/INF.</w:t>
            </w:r>
            <w:r w:rsidR="00E05F4F">
              <w:rPr>
                <w:b/>
                <w:sz w:val="40"/>
                <w:szCs w:val="40"/>
              </w:rPr>
              <w:t>34</w:t>
            </w:r>
          </w:p>
        </w:tc>
      </w:tr>
      <w:tr w:rsidR="0099001C" w:rsidRPr="007E344F" w14:paraId="7CCCB1AB" w14:textId="77777777" w:rsidTr="005F358E">
        <w:trPr>
          <w:cantSplit/>
          <w:trHeight w:hRule="exact" w:val="2708"/>
        </w:trPr>
        <w:tc>
          <w:tcPr>
            <w:tcW w:w="9639" w:type="dxa"/>
            <w:tcBorders>
              <w:top w:val="single" w:sz="4" w:space="0" w:color="auto"/>
            </w:tcBorders>
          </w:tcPr>
          <w:p w14:paraId="077BB91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307880D2" w14:textId="77777777" w:rsidR="00A805EB" w:rsidRPr="007E344F" w:rsidRDefault="00A805EB" w:rsidP="009011F2">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E05F4F">
              <w:rPr>
                <w:b/>
              </w:rPr>
              <w:t>24</w:t>
            </w:r>
            <w:r w:rsidR="009011F2">
              <w:rPr>
                <w:b/>
              </w:rPr>
              <w:t xml:space="preserve"> June</w:t>
            </w:r>
            <w:r w:rsidR="00061A69">
              <w:rPr>
                <w:b/>
              </w:rPr>
              <w:t xml:space="preserve"> 201</w:t>
            </w:r>
            <w:r w:rsidR="009011F2">
              <w:rPr>
                <w:b/>
              </w:rPr>
              <w:t>9</w:t>
            </w:r>
          </w:p>
          <w:p w14:paraId="19F2CD7C" w14:textId="77777777" w:rsidR="00061A69" w:rsidRPr="007B2B1F" w:rsidRDefault="00AE6625" w:rsidP="009011F2">
            <w:pPr>
              <w:spacing w:before="120"/>
              <w:rPr>
                <w:b/>
              </w:rPr>
            </w:pPr>
            <w:r>
              <w:rPr>
                <w:b/>
              </w:rPr>
              <w:t>Fifty-</w:t>
            </w:r>
            <w:r w:rsidR="009011F2">
              <w:rPr>
                <w:b/>
              </w:rPr>
              <w:t>fifth</w:t>
            </w:r>
            <w:r w:rsidR="00061A69" w:rsidRPr="007B2B1F">
              <w:rPr>
                <w:b/>
              </w:rPr>
              <w:t xml:space="preserve"> session</w:t>
            </w:r>
          </w:p>
          <w:p w14:paraId="12C1D5AE" w14:textId="77777777" w:rsidR="00061A69" w:rsidRPr="007B2B1F" w:rsidRDefault="00061A69" w:rsidP="009011F2">
            <w:r w:rsidRPr="007B2B1F">
              <w:t xml:space="preserve">Geneva, </w:t>
            </w:r>
            <w:r w:rsidR="009011F2">
              <w:t>1-5 July</w:t>
            </w:r>
            <w:r w:rsidR="00AE6625">
              <w:t xml:space="preserve"> 201</w:t>
            </w:r>
            <w:r w:rsidR="009011F2">
              <w:t>9</w:t>
            </w:r>
          </w:p>
          <w:p w14:paraId="312F4090" w14:textId="77777777" w:rsidR="00154226" w:rsidRPr="00154226" w:rsidRDefault="00D63626" w:rsidP="009011F2">
            <w:pPr>
              <w:spacing w:line="240" w:lineRule="exact"/>
              <w:rPr>
                <w:b/>
              </w:rPr>
            </w:pPr>
            <w:r w:rsidRPr="00D63626">
              <w:t xml:space="preserve">Item </w:t>
            </w:r>
            <w:r w:rsidR="009011F2">
              <w:t>4 (c)</w:t>
            </w:r>
            <w:r w:rsidRPr="00D63626">
              <w:t xml:space="preserve"> of the provisional agenda</w:t>
            </w:r>
            <w:r>
              <w:br/>
            </w:r>
            <w:r w:rsidR="009011F2">
              <w:rPr>
                <w:b/>
              </w:rPr>
              <w:t xml:space="preserve">Electric storage systems: </w:t>
            </w:r>
            <w:r w:rsidR="00E05F4F">
              <w:rPr>
                <w:b/>
              </w:rPr>
              <w:t>t</w:t>
            </w:r>
            <w:r w:rsidR="009011F2">
              <w:rPr>
                <w:b/>
              </w:rPr>
              <w:t>ransport provisions</w:t>
            </w:r>
          </w:p>
        </w:tc>
      </w:tr>
    </w:tbl>
    <w:p w14:paraId="53C8F9C3" w14:textId="77777777" w:rsidR="00655879" w:rsidRPr="00BB235C" w:rsidRDefault="00655879" w:rsidP="009011F2">
      <w:pPr>
        <w:pStyle w:val="HChG"/>
      </w:pPr>
      <w:r>
        <w:rPr>
          <w:lang w:eastAsia="en-GB" w:bidi="en-GB"/>
        </w:rPr>
        <w:tab/>
      </w:r>
      <w:r>
        <w:rPr>
          <w:lang w:eastAsia="en-GB" w:bidi="en-GB"/>
        </w:rPr>
        <w:tab/>
      </w:r>
      <w:r w:rsidR="009011F2">
        <w:t>Lithium battery mark – telephone number for further information</w:t>
      </w:r>
    </w:p>
    <w:p w14:paraId="6022856E" w14:textId="77777777" w:rsidR="00655879" w:rsidRPr="00704A02" w:rsidRDefault="00655879" w:rsidP="00704A02">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00704A02" w:rsidRPr="00704A02">
        <w:rPr>
          <w:lang w:eastAsia="en-GB" w:bidi="en-GB"/>
        </w:rPr>
        <w:t>International Civil Aviation Organization (ICAO)</w:t>
      </w:r>
    </w:p>
    <w:p w14:paraId="2765B3C4" w14:textId="77777777" w:rsidR="00704A02" w:rsidRPr="00A27407" w:rsidRDefault="00A27407" w:rsidP="00A27407">
      <w:pPr>
        <w:pStyle w:val="HChG"/>
        <w:rPr>
          <w:rFonts w:eastAsia="MS Mincho"/>
          <w:lang w:val="en-US"/>
        </w:rPr>
      </w:pPr>
      <w:r>
        <w:rPr>
          <w:rFonts w:eastAsia="MS Mincho"/>
          <w:lang w:val="en-US"/>
        </w:rPr>
        <w:tab/>
      </w:r>
      <w:r w:rsidR="00655879" w:rsidRPr="00A27407">
        <w:rPr>
          <w:rFonts w:eastAsia="MS Mincho"/>
          <w:lang w:val="x-none"/>
        </w:rPr>
        <w:tab/>
      </w:r>
      <w:r>
        <w:rPr>
          <w:rFonts w:eastAsia="MS Mincho"/>
          <w:lang w:val="en-US"/>
        </w:rPr>
        <w:t>Background</w:t>
      </w:r>
    </w:p>
    <w:p w14:paraId="03AE21C6" w14:textId="77777777" w:rsidR="00A27407" w:rsidRDefault="00A27407" w:rsidP="00A27407">
      <w:pPr>
        <w:pStyle w:val="SingleTxtG"/>
      </w:pPr>
      <w:r>
        <w:rPr>
          <w:lang w:val="fr-CH"/>
        </w:rPr>
        <w:t>1.</w:t>
      </w:r>
      <w:r>
        <w:tab/>
      </w:r>
      <w:r w:rsidR="008B7C2F">
        <w:t>Th</w:t>
      </w:r>
      <w:r w:rsidR="00B60509">
        <w:t xml:space="preserve">e </w:t>
      </w:r>
      <w:r w:rsidR="008B7C2F">
        <w:t xml:space="preserve">intent of the </w:t>
      </w:r>
      <w:r w:rsidR="00B60509">
        <w:t>requirement for a “telephone number for additional information” on the lithium battery mark (</w:t>
      </w:r>
      <w:r w:rsidR="003C6CEF">
        <w:t xml:space="preserve">Figure 5.2.5 of the Model </w:t>
      </w:r>
      <w:proofErr w:type="gramStart"/>
      <w:r w:rsidR="003C6CEF">
        <w:t>Regulations;</w:t>
      </w:r>
      <w:proofErr w:type="gramEnd"/>
      <w:r w:rsidR="003C6CEF">
        <w:t xml:space="preserve"> </w:t>
      </w:r>
      <w:r w:rsidR="00B60509">
        <w:t>Figure 5</w:t>
      </w:r>
      <w:r w:rsidR="003C6CEF">
        <w:t>-3 Technical Instructions</w:t>
      </w:r>
      <w:r w:rsidR="008B7C2F">
        <w:t xml:space="preserve">) was discussed at the last Dangerous Goods Panel Working Group of the Whole meetings (DGP-WG/18 and DGP-WG/19). </w:t>
      </w:r>
      <w:r w:rsidR="00B9544F">
        <w:t>At DGP-WG/18, i</w:t>
      </w:r>
      <w:r w:rsidR="008B7C2F">
        <w:t>t was considered vague in that it did not specify the entity for which the number was needed, the circumstances under which additional information would be required, or what additional information might be required. Most c</w:t>
      </w:r>
      <w:r w:rsidR="008B7C2F" w:rsidRPr="0056488B">
        <w:t xml:space="preserve">onsidered the telephone number to be </w:t>
      </w:r>
      <w:r w:rsidR="008B7C2F">
        <w:t>one</w:t>
      </w:r>
      <w:r w:rsidR="008B7C2F" w:rsidRPr="0056488B">
        <w:t xml:space="preserve"> that could be used to contact the</w:t>
      </w:r>
      <w:r w:rsidR="008B7C2F">
        <w:t xml:space="preserve"> </w:t>
      </w:r>
      <w:r w:rsidR="008B7C2F" w:rsidRPr="0056488B">
        <w:t xml:space="preserve">shipper for further information regarding </w:t>
      </w:r>
      <w:r w:rsidR="008B7C2F">
        <w:t xml:space="preserve">a </w:t>
      </w:r>
      <w:r w:rsidR="008B7C2F" w:rsidRPr="0056488B">
        <w:t>lithium battery consignment during regular working hours</w:t>
      </w:r>
      <w:r w:rsidR="008B7C2F">
        <w:t xml:space="preserve">. </w:t>
      </w:r>
      <w:r w:rsidR="008B7C2F" w:rsidRPr="0056488B">
        <w:t>How to handle a damaged shipment was suggested as the type of information</w:t>
      </w:r>
      <w:r w:rsidR="008B7C2F">
        <w:t xml:space="preserve"> the shipper could provide.</w:t>
      </w:r>
      <w:r w:rsidR="00B9544F">
        <w:t xml:space="preserve"> </w:t>
      </w:r>
    </w:p>
    <w:p w14:paraId="4A526BEA" w14:textId="77777777" w:rsidR="00A27407" w:rsidRPr="00A27407" w:rsidRDefault="00A27407" w:rsidP="00A27407">
      <w:pPr>
        <w:pStyle w:val="HChG"/>
        <w:rPr>
          <w:rFonts w:eastAsia="MS Mincho"/>
          <w:lang w:val="en-US"/>
        </w:rPr>
      </w:pPr>
      <w:r>
        <w:rPr>
          <w:rFonts w:eastAsia="MS Mincho"/>
          <w:lang w:val="en-US"/>
        </w:rPr>
        <w:tab/>
      </w:r>
      <w:r>
        <w:rPr>
          <w:rFonts w:eastAsia="MS Mincho"/>
          <w:lang w:val="en-US"/>
        </w:rPr>
        <w:tab/>
      </w:r>
      <w:r w:rsidRPr="00A27407">
        <w:rPr>
          <w:rFonts w:eastAsia="MS Mincho"/>
          <w:lang w:val="en-US"/>
        </w:rPr>
        <w:t>Discussion</w:t>
      </w:r>
    </w:p>
    <w:p w14:paraId="5702D8AE" w14:textId="77777777" w:rsidR="00A27407" w:rsidRDefault="00A27407" w:rsidP="00A27407">
      <w:pPr>
        <w:pStyle w:val="SingleTxtG"/>
      </w:pPr>
      <w:r>
        <w:t>2.</w:t>
      </w:r>
      <w:r>
        <w:tab/>
      </w:r>
      <w:r w:rsidR="00B9544F">
        <w:t xml:space="preserve">Further discussion at DGP-WG/19 focused on </w:t>
      </w:r>
      <w:r w:rsidR="00F06FD4">
        <w:t xml:space="preserve">attempting to clarify the entity for which the number was needed i.e. </w:t>
      </w:r>
      <w:r w:rsidR="00BB03B2">
        <w:t xml:space="preserve">specifying that the number should be that of the </w:t>
      </w:r>
      <w:r w:rsidR="00F06FD4">
        <w:t>consignor</w:t>
      </w:r>
      <w:r w:rsidR="00B9544F">
        <w:t xml:space="preserve"> remained </w:t>
      </w:r>
      <w:r w:rsidR="00BB03B2">
        <w:t>problematic</w:t>
      </w:r>
      <w:r w:rsidR="00B9544F">
        <w:t xml:space="preserve">, since many entities could be considered </w:t>
      </w:r>
      <w:r w:rsidR="00B9325B">
        <w:t xml:space="preserve">as </w:t>
      </w:r>
      <w:bookmarkStart w:id="0" w:name="_GoBack"/>
      <w:bookmarkEnd w:id="0"/>
      <w:r w:rsidR="00B9544F">
        <w:t xml:space="preserve">the </w:t>
      </w:r>
      <w:r w:rsidR="00BB03B2">
        <w:t>consignor</w:t>
      </w:r>
      <w:r w:rsidR="00B9544F">
        <w:t xml:space="preserve"> including the cell manufacturer, the battery manufacturer, the device manufacturer, the retailer or the consumer. Not </w:t>
      </w:r>
      <w:proofErr w:type="gramStart"/>
      <w:r w:rsidR="00B9544F">
        <w:t>all of</w:t>
      </w:r>
      <w:proofErr w:type="gramEnd"/>
      <w:r w:rsidR="00B9544F">
        <w:t xml:space="preserve"> these entities would necessarily know how to handle a damaged battery. It was noted that the requirement for a phone number was introduced at a time when there were </w:t>
      </w:r>
      <w:proofErr w:type="gramStart"/>
      <w:r w:rsidR="00B9544F">
        <w:t>a number of</w:t>
      </w:r>
      <w:proofErr w:type="gramEnd"/>
      <w:r w:rsidR="00B9544F">
        <w:t xml:space="preserve"> safety recalls, and the process for handling them was relatively new. Now that there was greater awareness, it was suggested consideration could be given to achieving the original objective in a less ambiguous manner. Some thought requiring a phone number was unnecessary, noting that a number was not required for fully regulated shipments of lithium batteries.</w:t>
      </w:r>
    </w:p>
    <w:p w14:paraId="233F81E6" w14:textId="77777777" w:rsidR="00A27407" w:rsidRDefault="00A27407" w:rsidP="00A27407">
      <w:pPr>
        <w:pStyle w:val="SingleTxtG"/>
      </w:pPr>
      <w:r>
        <w:t>3.</w:t>
      </w:r>
      <w:r>
        <w:tab/>
      </w:r>
      <w:r w:rsidR="00256D47">
        <w:t>For the information of the Sub-Committee, f</w:t>
      </w:r>
      <w:r w:rsidR="00EB6779">
        <w:t xml:space="preserve">urther research has shown that the original marking requirement originated from an amendment to Special Provision 188 of the Model Regulations (ST/SG/AC.10/C.3/2006/97), which in turn </w:t>
      </w:r>
      <w:r w:rsidR="00256D47">
        <w:t xml:space="preserve">was based on IEC 62281:2004 </w:t>
      </w:r>
      <w:r w:rsidR="00256D47" w:rsidRPr="00256D47">
        <w:rPr>
          <w:i/>
          <w:iCs/>
        </w:rPr>
        <w:t>Safety of primary and secondary lithium cells and batteries during transport</w:t>
      </w:r>
      <w:r w:rsidR="00256D47">
        <w:t xml:space="preserve">. </w:t>
      </w:r>
    </w:p>
    <w:p w14:paraId="5667239A" w14:textId="77777777" w:rsidR="00691C82" w:rsidRDefault="00A27407" w:rsidP="00A27407">
      <w:pPr>
        <w:pStyle w:val="SingleTxtG"/>
      </w:pPr>
      <w:r>
        <w:t>4.</w:t>
      </w:r>
      <w:r>
        <w:tab/>
      </w:r>
      <w:r w:rsidR="00BD04E5">
        <w:t>T</w:t>
      </w:r>
      <w:r w:rsidR="00F06FD4">
        <w:t xml:space="preserve">he Sub-Committee </w:t>
      </w:r>
      <w:r w:rsidR="00BD04E5">
        <w:t>is</w:t>
      </w:r>
      <w:r w:rsidR="00F06FD4">
        <w:t xml:space="preserve"> </w:t>
      </w:r>
      <w:r w:rsidR="00BD04E5">
        <w:t xml:space="preserve">requested to provide clarification </w:t>
      </w:r>
      <w:r w:rsidR="00F06FD4">
        <w:t>on the requirement so that feedback could be provided to the DGP/27 meeting (16-20 September 2019)</w:t>
      </w:r>
      <w:r w:rsidR="00BD04E5">
        <w:t>.</w:t>
      </w:r>
    </w:p>
    <w:p w14:paraId="4DCDBCFC" w14:textId="77777777" w:rsidR="00C5381F" w:rsidRDefault="00691C82" w:rsidP="00A27407">
      <w:pPr>
        <w:pStyle w:val="5Para"/>
        <w:numPr>
          <w:ilvl w:val="0"/>
          <w:numId w:val="0"/>
        </w:numPr>
        <w:rPr>
          <w:rFonts w:eastAsia="SimSun"/>
          <w:lang w:eastAsia="en-GB"/>
        </w:rPr>
      </w:pPr>
      <w:r>
        <w:tab/>
      </w:r>
      <w:r>
        <w:tab/>
      </w:r>
      <w:r>
        <w:tab/>
      </w:r>
      <w:r>
        <w:tab/>
      </w:r>
      <w:r>
        <w:tab/>
      </w:r>
      <w:r>
        <w:tab/>
      </w:r>
      <w:r w:rsidR="00BD04E5">
        <w:t xml:space="preserve"> </w:t>
      </w:r>
      <w:r w:rsidR="00C5381F">
        <w:rPr>
          <w:rFonts w:eastAsia="SimSun"/>
          <w:u w:val="single"/>
          <w:lang w:eastAsia="en-GB"/>
        </w:rPr>
        <w:tab/>
      </w:r>
      <w:r w:rsidR="00C5381F">
        <w:rPr>
          <w:rFonts w:eastAsia="SimSun"/>
          <w:u w:val="single"/>
          <w:lang w:eastAsia="en-GB"/>
        </w:rPr>
        <w:tab/>
      </w:r>
      <w:r w:rsidR="00C5381F">
        <w:rPr>
          <w:rFonts w:eastAsia="SimSun"/>
          <w:u w:val="single"/>
          <w:lang w:eastAsia="en-GB"/>
        </w:rPr>
        <w:tab/>
      </w:r>
    </w:p>
    <w:sectPr w:rsidR="00C5381F" w:rsidSect="00A27407">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699" w:right="1138" w:bottom="144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9003" w14:textId="77777777" w:rsidR="006C32A0" w:rsidRDefault="006C32A0"/>
  </w:endnote>
  <w:endnote w:type="continuationSeparator" w:id="0">
    <w:p w14:paraId="749AE8F6" w14:textId="77777777" w:rsidR="006C32A0" w:rsidRDefault="006C32A0"/>
  </w:endnote>
  <w:endnote w:type="continuationNotice" w:id="1">
    <w:p w14:paraId="668B9D0F" w14:textId="77777777" w:rsidR="006C32A0" w:rsidRDefault="006C3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7372" w14:textId="77777777" w:rsidR="00485105" w:rsidRPr="0099001C" w:rsidRDefault="00485105"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2740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3827" w14:textId="77777777" w:rsidR="00485105" w:rsidRPr="0099001C" w:rsidRDefault="00485105"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B7C2F">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EE60" w14:textId="77777777" w:rsidR="006C32A0" w:rsidRPr="000B175B" w:rsidRDefault="006C32A0" w:rsidP="000B175B">
      <w:pPr>
        <w:tabs>
          <w:tab w:val="right" w:pos="2155"/>
        </w:tabs>
        <w:spacing w:after="80"/>
        <w:ind w:left="680"/>
        <w:rPr>
          <w:u w:val="single"/>
        </w:rPr>
      </w:pPr>
      <w:r>
        <w:rPr>
          <w:u w:val="single"/>
        </w:rPr>
        <w:tab/>
      </w:r>
    </w:p>
  </w:footnote>
  <w:footnote w:type="continuationSeparator" w:id="0">
    <w:p w14:paraId="151471FC" w14:textId="77777777" w:rsidR="006C32A0" w:rsidRPr="00FC68B7" w:rsidRDefault="006C32A0" w:rsidP="00FC68B7">
      <w:pPr>
        <w:tabs>
          <w:tab w:val="left" w:pos="2155"/>
        </w:tabs>
        <w:spacing w:after="80"/>
        <w:ind w:left="680"/>
        <w:rPr>
          <w:u w:val="single"/>
        </w:rPr>
      </w:pPr>
      <w:r>
        <w:rPr>
          <w:u w:val="single"/>
        </w:rPr>
        <w:tab/>
      </w:r>
    </w:p>
  </w:footnote>
  <w:footnote w:type="continuationNotice" w:id="1">
    <w:p w14:paraId="6E6CA181" w14:textId="77777777" w:rsidR="006C32A0" w:rsidRDefault="006C3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9BC1" w14:textId="77777777" w:rsidR="00485105" w:rsidRPr="0099001C" w:rsidRDefault="00485105" w:rsidP="00BD04E5">
    <w:pPr>
      <w:pStyle w:val="Header"/>
    </w:pPr>
    <w:r>
      <w:t>UN/SCETDG/5</w:t>
    </w:r>
    <w:r w:rsidR="00BD04E5">
      <w:t>5</w:t>
    </w:r>
    <w:r>
      <w:t>/INF.</w:t>
    </w:r>
    <w:r w:rsidR="000430E6">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B3E0" w14:textId="77777777" w:rsidR="00485105" w:rsidRPr="0099001C" w:rsidRDefault="00485105" w:rsidP="000430E6">
    <w:pPr>
      <w:pStyle w:val="Header"/>
      <w:jc w:val="right"/>
    </w:pPr>
    <w:r>
      <w:t>UN/SCETDG/52</w:t>
    </w:r>
    <w:r w:rsidRPr="007E344F">
      <w:t>/INF.</w:t>
    </w:r>
    <w:r w:rsidR="000430E6">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15:restartNumberingAfterBreak="0">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A13631"/>
    <w:multiLevelType w:val="multilevel"/>
    <w:tmpl w:val="43E40774"/>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8" w15:restartNumberingAfterBreak="0">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4" w15:restartNumberingAfterBreak="0">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2"/>
  </w:num>
  <w:num w:numId="10">
    <w:abstractNumId w:val="6"/>
  </w:num>
  <w:num w:numId="11">
    <w:abstractNumId w:val="2"/>
  </w:num>
  <w:num w:numId="12">
    <w:abstractNumId w:val="17"/>
  </w:num>
  <w:num w:numId="13">
    <w:abstractNumId w:val="0"/>
  </w:num>
  <w:num w:numId="14">
    <w:abstractNumId w:val="8"/>
  </w:num>
  <w:num w:numId="15">
    <w:abstractNumId w:val="13"/>
  </w:num>
  <w:num w:numId="16">
    <w:abstractNumId w:val="3"/>
  </w:num>
  <w:num w:numId="17">
    <w:abstractNumId w:val="5"/>
  </w:num>
  <w:num w:numId="18">
    <w:abstractNumId w:val="10"/>
  </w:num>
  <w:num w:numId="19">
    <w:abstractNumId w:val="4"/>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4378"/>
    <w:rsid w:val="0003119F"/>
    <w:rsid w:val="000430E6"/>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56BAC"/>
    <w:rsid w:val="00161D70"/>
    <w:rsid w:val="00180C41"/>
    <w:rsid w:val="00183DC8"/>
    <w:rsid w:val="00193B7D"/>
    <w:rsid w:val="001A0FC9"/>
    <w:rsid w:val="001B2357"/>
    <w:rsid w:val="001B4B04"/>
    <w:rsid w:val="001B5ACD"/>
    <w:rsid w:val="001C0DA8"/>
    <w:rsid w:val="001C5E99"/>
    <w:rsid w:val="001C6663"/>
    <w:rsid w:val="001C7895"/>
    <w:rsid w:val="001D26DF"/>
    <w:rsid w:val="001D3183"/>
    <w:rsid w:val="001D55D4"/>
    <w:rsid w:val="001E0674"/>
    <w:rsid w:val="002101F1"/>
    <w:rsid w:val="00211E0B"/>
    <w:rsid w:val="0022014D"/>
    <w:rsid w:val="0023129D"/>
    <w:rsid w:val="002405A7"/>
    <w:rsid w:val="00256D4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562B5"/>
    <w:rsid w:val="003660FF"/>
    <w:rsid w:val="00391D76"/>
    <w:rsid w:val="0039277A"/>
    <w:rsid w:val="003972E0"/>
    <w:rsid w:val="0039784F"/>
    <w:rsid w:val="003B0606"/>
    <w:rsid w:val="003B7450"/>
    <w:rsid w:val="003C2CC4"/>
    <w:rsid w:val="003C3936"/>
    <w:rsid w:val="003C6B13"/>
    <w:rsid w:val="003C6CEF"/>
    <w:rsid w:val="003D338E"/>
    <w:rsid w:val="003D4B23"/>
    <w:rsid w:val="003F1ED3"/>
    <w:rsid w:val="003F3A45"/>
    <w:rsid w:val="00403098"/>
    <w:rsid w:val="00404E53"/>
    <w:rsid w:val="004062D6"/>
    <w:rsid w:val="004140B5"/>
    <w:rsid w:val="00417B26"/>
    <w:rsid w:val="004270F6"/>
    <w:rsid w:val="004325CB"/>
    <w:rsid w:val="00436DA4"/>
    <w:rsid w:val="00437DB4"/>
    <w:rsid w:val="00446DE4"/>
    <w:rsid w:val="0045190E"/>
    <w:rsid w:val="00451982"/>
    <w:rsid w:val="00453178"/>
    <w:rsid w:val="00456753"/>
    <w:rsid w:val="00485105"/>
    <w:rsid w:val="00485596"/>
    <w:rsid w:val="004A41CA"/>
    <w:rsid w:val="004E302A"/>
    <w:rsid w:val="004F15A6"/>
    <w:rsid w:val="004F537F"/>
    <w:rsid w:val="00500736"/>
    <w:rsid w:val="00503228"/>
    <w:rsid w:val="00504608"/>
    <w:rsid w:val="00505384"/>
    <w:rsid w:val="00510C3B"/>
    <w:rsid w:val="005420F2"/>
    <w:rsid w:val="0054603C"/>
    <w:rsid w:val="005627B5"/>
    <w:rsid w:val="00564203"/>
    <w:rsid w:val="00564A8C"/>
    <w:rsid w:val="0058072A"/>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6387E"/>
    <w:rsid w:val="00665595"/>
    <w:rsid w:val="0066711E"/>
    <w:rsid w:val="00685B23"/>
    <w:rsid w:val="00691C82"/>
    <w:rsid w:val="006A7392"/>
    <w:rsid w:val="006B4463"/>
    <w:rsid w:val="006B7086"/>
    <w:rsid w:val="006B70E1"/>
    <w:rsid w:val="006C32A0"/>
    <w:rsid w:val="006D56DA"/>
    <w:rsid w:val="006E32FA"/>
    <w:rsid w:val="006E3B52"/>
    <w:rsid w:val="006E535C"/>
    <w:rsid w:val="006E564B"/>
    <w:rsid w:val="006F73EE"/>
    <w:rsid w:val="00701292"/>
    <w:rsid w:val="007017DA"/>
    <w:rsid w:val="00704A02"/>
    <w:rsid w:val="007219A5"/>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B7C2F"/>
    <w:rsid w:val="008C64C2"/>
    <w:rsid w:val="008C6669"/>
    <w:rsid w:val="008D0F3F"/>
    <w:rsid w:val="008E0675"/>
    <w:rsid w:val="008E0E46"/>
    <w:rsid w:val="008E35B1"/>
    <w:rsid w:val="008E3A43"/>
    <w:rsid w:val="008F02A0"/>
    <w:rsid w:val="008F321A"/>
    <w:rsid w:val="009011F2"/>
    <w:rsid w:val="00906526"/>
    <w:rsid w:val="00907AD2"/>
    <w:rsid w:val="009111C7"/>
    <w:rsid w:val="00915D65"/>
    <w:rsid w:val="0092654D"/>
    <w:rsid w:val="00963CBA"/>
    <w:rsid w:val="00974A8D"/>
    <w:rsid w:val="00984D05"/>
    <w:rsid w:val="0099001C"/>
    <w:rsid w:val="00991261"/>
    <w:rsid w:val="009A00F2"/>
    <w:rsid w:val="009A1A51"/>
    <w:rsid w:val="009D04D9"/>
    <w:rsid w:val="009D2BF9"/>
    <w:rsid w:val="009F277A"/>
    <w:rsid w:val="009F3A17"/>
    <w:rsid w:val="009F3AEC"/>
    <w:rsid w:val="00A11117"/>
    <w:rsid w:val="00A1427D"/>
    <w:rsid w:val="00A178D3"/>
    <w:rsid w:val="00A27407"/>
    <w:rsid w:val="00A36006"/>
    <w:rsid w:val="00A50936"/>
    <w:rsid w:val="00A72F22"/>
    <w:rsid w:val="00A748A6"/>
    <w:rsid w:val="00A74999"/>
    <w:rsid w:val="00A805EB"/>
    <w:rsid w:val="00A80961"/>
    <w:rsid w:val="00A879A4"/>
    <w:rsid w:val="00AA426C"/>
    <w:rsid w:val="00AA617C"/>
    <w:rsid w:val="00AC0B48"/>
    <w:rsid w:val="00AD741B"/>
    <w:rsid w:val="00AE1130"/>
    <w:rsid w:val="00AE1A34"/>
    <w:rsid w:val="00AE6625"/>
    <w:rsid w:val="00B16223"/>
    <w:rsid w:val="00B30179"/>
    <w:rsid w:val="00B33EC0"/>
    <w:rsid w:val="00B60509"/>
    <w:rsid w:val="00B60768"/>
    <w:rsid w:val="00B769FC"/>
    <w:rsid w:val="00B81E12"/>
    <w:rsid w:val="00B82575"/>
    <w:rsid w:val="00B84573"/>
    <w:rsid w:val="00B85790"/>
    <w:rsid w:val="00B902A6"/>
    <w:rsid w:val="00B9325B"/>
    <w:rsid w:val="00B9544F"/>
    <w:rsid w:val="00BA02A0"/>
    <w:rsid w:val="00BA177E"/>
    <w:rsid w:val="00BA1781"/>
    <w:rsid w:val="00BA21CD"/>
    <w:rsid w:val="00BA3E6E"/>
    <w:rsid w:val="00BA5217"/>
    <w:rsid w:val="00BA5A31"/>
    <w:rsid w:val="00BB03B2"/>
    <w:rsid w:val="00BB2C95"/>
    <w:rsid w:val="00BC74E9"/>
    <w:rsid w:val="00BD04E5"/>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745C3"/>
    <w:rsid w:val="00CC3B13"/>
    <w:rsid w:val="00CE4A8F"/>
    <w:rsid w:val="00D104D0"/>
    <w:rsid w:val="00D2031B"/>
    <w:rsid w:val="00D25FE2"/>
    <w:rsid w:val="00D317BB"/>
    <w:rsid w:val="00D33331"/>
    <w:rsid w:val="00D36BEB"/>
    <w:rsid w:val="00D43252"/>
    <w:rsid w:val="00D56172"/>
    <w:rsid w:val="00D63626"/>
    <w:rsid w:val="00D7433B"/>
    <w:rsid w:val="00D75E0A"/>
    <w:rsid w:val="00D83CD1"/>
    <w:rsid w:val="00D87B56"/>
    <w:rsid w:val="00D978C6"/>
    <w:rsid w:val="00DA67AD"/>
    <w:rsid w:val="00DB5D0F"/>
    <w:rsid w:val="00DB5E48"/>
    <w:rsid w:val="00DC3242"/>
    <w:rsid w:val="00DD6A25"/>
    <w:rsid w:val="00DE3A0C"/>
    <w:rsid w:val="00DF12F7"/>
    <w:rsid w:val="00DF20EE"/>
    <w:rsid w:val="00DF6905"/>
    <w:rsid w:val="00E02C81"/>
    <w:rsid w:val="00E05F4F"/>
    <w:rsid w:val="00E130AB"/>
    <w:rsid w:val="00E133AF"/>
    <w:rsid w:val="00E459FF"/>
    <w:rsid w:val="00E56114"/>
    <w:rsid w:val="00E61967"/>
    <w:rsid w:val="00E66A1A"/>
    <w:rsid w:val="00E702D7"/>
    <w:rsid w:val="00E7260F"/>
    <w:rsid w:val="00E87921"/>
    <w:rsid w:val="00E903CF"/>
    <w:rsid w:val="00E95F60"/>
    <w:rsid w:val="00E96630"/>
    <w:rsid w:val="00EA264E"/>
    <w:rsid w:val="00EA750B"/>
    <w:rsid w:val="00EB6779"/>
    <w:rsid w:val="00ED7A2A"/>
    <w:rsid w:val="00EE20B2"/>
    <w:rsid w:val="00EF1D7F"/>
    <w:rsid w:val="00F033C8"/>
    <w:rsid w:val="00F0382A"/>
    <w:rsid w:val="00F06FD4"/>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F1773"/>
  <w15:docId w15:val="{01194A2C-8A29-4632-B00C-5AF29E1B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character" w:customStyle="1" w:styleId="HeaderChar">
    <w:name w:val="Header Char"/>
    <w:aliases w:val="6_G Char"/>
    <w:basedOn w:val="DefaultParagraphFont"/>
    <w:link w:val="Header"/>
    <w:uiPriority w:val="99"/>
    <w:rsid w:val="00F0382A"/>
    <w:rPr>
      <w:b/>
      <w:sz w:val="18"/>
      <w:lang w:eastAsia="en-US"/>
    </w:rPr>
  </w:style>
  <w:style w:type="paragraph" w:customStyle="1" w:styleId="2Para">
    <w:name w:val="2Para"/>
    <w:basedOn w:val="Normal"/>
    <w:rsid w:val="008B7C2F"/>
    <w:pPr>
      <w:numPr>
        <w:ilvl w:val="1"/>
        <w:numId w:val="20"/>
      </w:numPr>
      <w:tabs>
        <w:tab w:val="left" w:pos="1440"/>
      </w:tabs>
      <w:suppressAutoHyphens w:val="0"/>
      <w:spacing w:before="260" w:after="260" w:line="240" w:lineRule="auto"/>
      <w:jc w:val="both"/>
    </w:pPr>
    <w:rPr>
      <w:rFonts w:eastAsiaTheme="minorEastAsia"/>
      <w:sz w:val="22"/>
      <w:szCs w:val="22"/>
    </w:rPr>
  </w:style>
  <w:style w:type="paragraph" w:customStyle="1" w:styleId="3Para">
    <w:name w:val="3Para"/>
    <w:basedOn w:val="Normal"/>
    <w:rsid w:val="008B7C2F"/>
    <w:pPr>
      <w:numPr>
        <w:ilvl w:val="2"/>
        <w:numId w:val="20"/>
      </w:numPr>
      <w:tabs>
        <w:tab w:val="left" w:pos="1440"/>
      </w:tabs>
      <w:suppressAutoHyphens w:val="0"/>
      <w:autoSpaceDE w:val="0"/>
      <w:autoSpaceDN w:val="0"/>
      <w:adjustRightInd w:val="0"/>
      <w:spacing w:before="260" w:after="260" w:line="240" w:lineRule="auto"/>
      <w:jc w:val="both"/>
    </w:pPr>
    <w:rPr>
      <w:rFonts w:eastAsiaTheme="minorEastAsia"/>
      <w:sz w:val="22"/>
      <w:szCs w:val="24"/>
    </w:rPr>
  </w:style>
  <w:style w:type="paragraph" w:customStyle="1" w:styleId="4Para">
    <w:name w:val="4Para"/>
    <w:basedOn w:val="Normal"/>
    <w:rsid w:val="008B7C2F"/>
    <w:pPr>
      <w:numPr>
        <w:ilvl w:val="3"/>
        <w:numId w:val="20"/>
      </w:numPr>
      <w:tabs>
        <w:tab w:val="left" w:pos="1440"/>
      </w:tabs>
      <w:suppressAutoHyphens w:val="0"/>
      <w:spacing w:before="260" w:after="260" w:line="240" w:lineRule="auto"/>
      <w:jc w:val="both"/>
    </w:pPr>
    <w:rPr>
      <w:rFonts w:eastAsiaTheme="minorEastAsia"/>
      <w:sz w:val="22"/>
      <w:szCs w:val="24"/>
    </w:rPr>
  </w:style>
  <w:style w:type="paragraph" w:customStyle="1" w:styleId="5Para">
    <w:name w:val="5Para"/>
    <w:basedOn w:val="Normal"/>
    <w:rsid w:val="008B7C2F"/>
    <w:pPr>
      <w:numPr>
        <w:ilvl w:val="4"/>
        <w:numId w:val="20"/>
      </w:numPr>
      <w:tabs>
        <w:tab w:val="left" w:pos="1440"/>
      </w:tabs>
      <w:suppressAutoHyphens w:val="0"/>
      <w:spacing w:before="260" w:after="260" w:line="240" w:lineRule="auto"/>
      <w:jc w:val="both"/>
    </w:pPr>
    <w:rPr>
      <w:rFonts w:eastAsiaTheme="minorEastAsia"/>
      <w:sz w:val="22"/>
      <w:szCs w:val="24"/>
    </w:rPr>
  </w:style>
  <w:style w:type="paragraph" w:customStyle="1" w:styleId="6Para">
    <w:name w:val="6Para"/>
    <w:basedOn w:val="Normal"/>
    <w:rsid w:val="008B7C2F"/>
    <w:pPr>
      <w:numPr>
        <w:ilvl w:val="5"/>
        <w:numId w:val="20"/>
      </w:numPr>
      <w:tabs>
        <w:tab w:val="left" w:pos="1440"/>
      </w:tabs>
      <w:suppressAutoHyphens w:val="0"/>
      <w:spacing w:before="260" w:after="260" w:line="240" w:lineRule="auto"/>
      <w:jc w:val="both"/>
    </w:pPr>
    <w:rPr>
      <w:rFonts w:eastAsiaTheme="minorEastAsia"/>
      <w:sz w:val="22"/>
      <w:szCs w:val="24"/>
    </w:rPr>
  </w:style>
  <w:style w:type="paragraph" w:customStyle="1" w:styleId="7Para">
    <w:name w:val="7Para"/>
    <w:basedOn w:val="Normal"/>
    <w:rsid w:val="008B7C2F"/>
    <w:pPr>
      <w:numPr>
        <w:ilvl w:val="6"/>
        <w:numId w:val="20"/>
      </w:numPr>
      <w:tabs>
        <w:tab w:val="left" w:pos="1440"/>
      </w:tabs>
      <w:suppressAutoHyphens w:val="0"/>
      <w:spacing w:before="260" w:after="260" w:line="240" w:lineRule="auto"/>
      <w:jc w:val="both"/>
    </w:pPr>
    <w:rPr>
      <w:rFonts w:eastAsiaTheme="minorEastAsia"/>
      <w:sz w:val="22"/>
      <w:szCs w:val="24"/>
    </w:rPr>
  </w:style>
  <w:style w:type="paragraph" w:customStyle="1" w:styleId="8Para">
    <w:name w:val="8Para"/>
    <w:basedOn w:val="Normal"/>
    <w:rsid w:val="008B7C2F"/>
    <w:pPr>
      <w:numPr>
        <w:ilvl w:val="7"/>
        <w:numId w:val="20"/>
      </w:numPr>
      <w:tabs>
        <w:tab w:val="left" w:pos="1440"/>
      </w:tabs>
      <w:suppressAutoHyphens w:val="0"/>
      <w:spacing w:before="260" w:after="260" w:line="240" w:lineRule="auto"/>
      <w:jc w:val="both"/>
    </w:pPr>
    <w:rPr>
      <w:rFonts w:eastAsiaTheme="minorEastAsia"/>
      <w:sz w:val="22"/>
      <w:szCs w:val="24"/>
    </w:rPr>
  </w:style>
  <w:style w:type="paragraph" w:customStyle="1" w:styleId="1Heading">
    <w:name w:val="1Heading"/>
    <w:basedOn w:val="TOC1"/>
    <w:next w:val="2Para"/>
    <w:rsid w:val="008B7C2F"/>
    <w:pPr>
      <w:keepNext/>
      <w:numPr>
        <w:numId w:val="20"/>
      </w:numPr>
      <w:tabs>
        <w:tab w:val="clear" w:pos="720"/>
      </w:tabs>
      <w:suppressAutoHyphens w:val="0"/>
      <w:spacing w:before="520" w:after="260" w:line="240" w:lineRule="auto"/>
      <w:ind w:left="2418" w:right="2880" w:hanging="360"/>
      <w:jc w:val="both"/>
      <w:outlineLvl w:val="0"/>
    </w:pPr>
    <w:rPr>
      <w:rFonts w:eastAsiaTheme="minorEastAsia"/>
      <w:b/>
      <w:caps/>
      <w:sz w:val="22"/>
      <w:szCs w:val="22"/>
    </w:rPr>
  </w:style>
  <w:style w:type="paragraph" w:styleId="TOC1">
    <w:name w:val="toc 1"/>
    <w:basedOn w:val="Normal"/>
    <w:next w:val="Normal"/>
    <w:autoRedefine/>
    <w:semiHidden/>
    <w:unhideWhenUsed/>
    <w:rsid w:val="008B7C2F"/>
    <w:pPr>
      <w:spacing w:after="100"/>
    </w:pPr>
  </w:style>
  <w:style w:type="character" w:customStyle="1" w:styleId="FooterChar">
    <w:name w:val="Footer Char"/>
    <w:aliases w:val="3_G Char"/>
    <w:link w:val="Footer"/>
    <w:rsid w:val="00B9544F"/>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6A1F-4183-420A-8D1A-D3FD39EB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2019-06-24T12:08:00Z</cp:lastPrinted>
  <dcterms:created xsi:type="dcterms:W3CDTF">2019-06-24T08:31:00Z</dcterms:created>
  <dcterms:modified xsi:type="dcterms:W3CDTF">2019-06-24T12:08:00Z</dcterms:modified>
</cp:coreProperties>
</file>