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1973116F" w14:textId="77777777" w:rsidTr="000216CC">
        <w:trPr>
          <w:trHeight w:val="851"/>
        </w:trPr>
        <w:tc>
          <w:tcPr>
            <w:tcW w:w="1259" w:type="dxa"/>
            <w:tcBorders>
              <w:top w:val="nil"/>
              <w:left w:val="nil"/>
              <w:bottom w:val="single" w:sz="4" w:space="0" w:color="auto"/>
              <w:right w:val="nil"/>
            </w:tcBorders>
            <w:shd w:val="clear" w:color="auto" w:fill="auto"/>
          </w:tcPr>
          <w:p w14:paraId="0CC293D6"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FAE1DA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5B58B1A" w14:textId="5DB32D5B"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9B72E4">
              <w:rPr>
                <w:b/>
                <w:sz w:val="40"/>
                <w:szCs w:val="40"/>
                <w:lang w:val="fr-CH"/>
              </w:rPr>
              <w:t>5</w:t>
            </w:r>
            <w:r w:rsidRPr="00947F38">
              <w:rPr>
                <w:b/>
                <w:sz w:val="40"/>
                <w:szCs w:val="40"/>
                <w:lang w:val="fr-CH"/>
              </w:rPr>
              <w:t>/INF.</w:t>
            </w:r>
            <w:r w:rsidR="009760CA">
              <w:rPr>
                <w:b/>
                <w:sz w:val="40"/>
                <w:szCs w:val="40"/>
                <w:lang w:val="fr-CH"/>
              </w:rPr>
              <w:t>2</w:t>
            </w:r>
            <w:r w:rsidR="00F57557">
              <w:rPr>
                <w:b/>
                <w:sz w:val="40"/>
                <w:szCs w:val="40"/>
                <w:lang w:val="fr-CH"/>
              </w:rPr>
              <w:t>5</w:t>
            </w:r>
          </w:p>
          <w:p w14:paraId="50A65E0E" w14:textId="77777777" w:rsidR="000216CC" w:rsidRPr="00947F38" w:rsidRDefault="000216CC" w:rsidP="00497711">
            <w:pPr>
              <w:jc w:val="right"/>
              <w:rPr>
                <w:highlight w:val="yellow"/>
                <w:lang w:val="fr-CH"/>
              </w:rPr>
            </w:pPr>
          </w:p>
        </w:tc>
      </w:tr>
    </w:tbl>
    <w:p w14:paraId="6E709AB3"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1E6D8C08" w14:textId="77777777" w:rsidTr="00165735">
        <w:tc>
          <w:tcPr>
            <w:tcW w:w="9645" w:type="dxa"/>
            <w:gridSpan w:val="2"/>
            <w:tcMar>
              <w:top w:w="142" w:type="dxa"/>
              <w:left w:w="108" w:type="dxa"/>
              <w:bottom w:w="142" w:type="dxa"/>
              <w:right w:w="108" w:type="dxa"/>
            </w:tcMar>
          </w:tcPr>
          <w:p w14:paraId="70EBBAE3" w14:textId="396F71DD" w:rsidR="00645A0B" w:rsidRPr="001039FD" w:rsidRDefault="00645A0B" w:rsidP="00AA142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9760CA">
              <w:rPr>
                <w:b/>
              </w:rPr>
              <w:t>13</w:t>
            </w:r>
            <w:r w:rsidR="0078669C">
              <w:rPr>
                <w:b/>
              </w:rPr>
              <w:t xml:space="preserve"> June </w:t>
            </w:r>
            <w:r w:rsidR="00AA142F">
              <w:rPr>
                <w:b/>
              </w:rPr>
              <w:t>2019</w:t>
            </w:r>
          </w:p>
        </w:tc>
      </w:tr>
      <w:tr w:rsidR="00645A0B" w:rsidRPr="001039FD" w14:paraId="58E9B209" w14:textId="77777777" w:rsidTr="00165735">
        <w:tc>
          <w:tcPr>
            <w:tcW w:w="4652" w:type="dxa"/>
            <w:tcMar>
              <w:top w:w="57" w:type="dxa"/>
              <w:left w:w="108" w:type="dxa"/>
              <w:bottom w:w="0" w:type="dxa"/>
              <w:right w:w="108" w:type="dxa"/>
            </w:tcMar>
            <w:vAlign w:val="center"/>
          </w:tcPr>
          <w:p w14:paraId="6BA1C23B"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37A53B88" w14:textId="77777777" w:rsidR="00645A0B" w:rsidRPr="001039FD" w:rsidRDefault="00645A0B" w:rsidP="00165735">
            <w:pPr>
              <w:spacing w:before="120"/>
              <w:rPr>
                <w:b/>
              </w:rPr>
            </w:pPr>
          </w:p>
        </w:tc>
      </w:tr>
      <w:tr w:rsidR="00645A0B" w:rsidRPr="001039FD" w14:paraId="3CAC5BEB" w14:textId="77777777" w:rsidTr="00165735">
        <w:tc>
          <w:tcPr>
            <w:tcW w:w="4652" w:type="dxa"/>
            <w:tcMar>
              <w:top w:w="57" w:type="dxa"/>
              <w:left w:w="108" w:type="dxa"/>
              <w:bottom w:w="0" w:type="dxa"/>
              <w:right w:w="108" w:type="dxa"/>
            </w:tcMar>
          </w:tcPr>
          <w:p w14:paraId="185FF71D" w14:textId="7A9CE977" w:rsidR="00645A0B" w:rsidRPr="00AA142F" w:rsidRDefault="00E601C0" w:rsidP="00AA142F">
            <w:pPr>
              <w:spacing w:before="120"/>
              <w:ind w:left="34" w:hanging="34"/>
              <w:rPr>
                <w:b/>
              </w:rPr>
            </w:pPr>
            <w:r w:rsidRPr="00AA142F">
              <w:rPr>
                <w:b/>
              </w:rPr>
              <w:t>F</w:t>
            </w:r>
            <w:r w:rsidR="00E2792B" w:rsidRPr="00AA142F">
              <w:rPr>
                <w:b/>
              </w:rPr>
              <w:t>ift</w:t>
            </w:r>
            <w:r w:rsidR="000E685A">
              <w:rPr>
                <w:b/>
              </w:rPr>
              <w:t>y</w:t>
            </w:r>
            <w:r w:rsidR="001B3102" w:rsidRPr="00AA142F">
              <w:rPr>
                <w:b/>
              </w:rPr>
              <w:t>-</w:t>
            </w:r>
            <w:r w:rsidR="00AB3D4E" w:rsidRPr="00AA142F">
              <w:rPr>
                <w:b/>
              </w:rPr>
              <w:t>f</w:t>
            </w:r>
            <w:r w:rsidR="00AA142F" w:rsidRPr="00AA142F">
              <w:rPr>
                <w:b/>
              </w:rPr>
              <w:t>ift</w:t>
            </w:r>
            <w:r w:rsidR="000E685A">
              <w:rPr>
                <w:b/>
              </w:rPr>
              <w:t>h</w:t>
            </w:r>
            <w:r w:rsidR="00645A0B" w:rsidRPr="00AA142F">
              <w:rPr>
                <w:b/>
              </w:rPr>
              <w:t xml:space="preserve"> session</w:t>
            </w:r>
            <w:r w:rsidR="000E685A">
              <w:rPr>
                <w:b/>
              </w:rPr>
              <w:t xml:space="preserve">, </w:t>
            </w:r>
          </w:p>
        </w:tc>
        <w:tc>
          <w:tcPr>
            <w:tcW w:w="4993" w:type="dxa"/>
            <w:tcMar>
              <w:top w:w="57" w:type="dxa"/>
              <w:left w:w="108" w:type="dxa"/>
              <w:bottom w:w="0" w:type="dxa"/>
              <w:right w:w="108" w:type="dxa"/>
            </w:tcMar>
          </w:tcPr>
          <w:p w14:paraId="3497BFF8" w14:textId="77777777" w:rsidR="00645A0B" w:rsidRPr="00AA142F" w:rsidRDefault="00645A0B" w:rsidP="00E601C0">
            <w:pPr>
              <w:spacing w:before="120"/>
              <w:rPr>
                <w:b/>
              </w:rPr>
            </w:pPr>
          </w:p>
        </w:tc>
      </w:tr>
      <w:tr w:rsidR="00645A0B" w:rsidRPr="001039FD" w14:paraId="37485905" w14:textId="77777777" w:rsidTr="00165735">
        <w:tc>
          <w:tcPr>
            <w:tcW w:w="4652" w:type="dxa"/>
            <w:tcMar>
              <w:top w:w="28" w:type="dxa"/>
              <w:left w:w="108" w:type="dxa"/>
              <w:bottom w:w="0" w:type="dxa"/>
              <w:right w:w="108" w:type="dxa"/>
            </w:tcMar>
          </w:tcPr>
          <w:p w14:paraId="3B4F2382" w14:textId="31E0FB95" w:rsidR="00645A0B" w:rsidRPr="00AA142F" w:rsidRDefault="00645A0B" w:rsidP="00AA142F">
            <w:pPr>
              <w:tabs>
                <w:tab w:val="left" w:pos="0"/>
                <w:tab w:val="left" w:pos="6361"/>
                <w:tab w:val="left" w:pos="6939"/>
              </w:tabs>
              <w:spacing w:before="40"/>
              <w:ind w:left="34" w:hanging="34"/>
              <w:outlineLvl w:val="0"/>
            </w:pPr>
            <w:r w:rsidRPr="00AA142F">
              <w:rPr>
                <w:bCs/>
              </w:rPr>
              <w:t>Geneva</w:t>
            </w:r>
            <w:r w:rsidR="000E685A">
              <w:rPr>
                <w:bCs/>
              </w:rPr>
              <w:t xml:space="preserve">, </w:t>
            </w:r>
            <w:r w:rsidR="000E685A" w:rsidRPr="009760CA">
              <w:rPr>
                <w:bCs/>
              </w:rPr>
              <w:t>1-5 July</w:t>
            </w:r>
          </w:p>
          <w:p w14:paraId="66120399" w14:textId="41294C6A" w:rsidR="00AA142F" w:rsidRDefault="00AA142F" w:rsidP="00AA142F">
            <w:pPr>
              <w:spacing w:before="40"/>
              <w:ind w:left="34" w:hanging="34"/>
            </w:pPr>
            <w:r w:rsidRPr="00AA142F">
              <w:t xml:space="preserve">Item </w:t>
            </w:r>
            <w:r w:rsidR="00C039FA">
              <w:t>4 (f)</w:t>
            </w:r>
            <w:r w:rsidRPr="00AA142F">
              <w:t xml:space="preserve"> of the provisional agenda</w:t>
            </w:r>
            <w:r w:rsidR="000E685A">
              <w:t>,</w:t>
            </w:r>
          </w:p>
          <w:p w14:paraId="5EE9402D" w14:textId="3DBB35E7" w:rsidR="00E16BD2" w:rsidRPr="00C039FA" w:rsidRDefault="00C039FA" w:rsidP="00AA142F">
            <w:pPr>
              <w:spacing w:before="40"/>
              <w:ind w:left="34" w:hanging="34"/>
              <w:rPr>
                <w:b/>
                <w:bCs/>
              </w:rPr>
            </w:pPr>
            <w:r w:rsidRPr="00C039FA">
              <w:rPr>
                <w:b/>
                <w:bCs/>
              </w:rPr>
              <w:t>Electric storage systems: miscellaneous</w:t>
            </w:r>
          </w:p>
          <w:p w14:paraId="5C20E876" w14:textId="77777777" w:rsidR="00645A0B" w:rsidRPr="00AA142F" w:rsidRDefault="00645A0B" w:rsidP="00EA48C4">
            <w:pPr>
              <w:spacing w:before="40"/>
              <w:ind w:left="34" w:hanging="34"/>
              <w:rPr>
                <w:b/>
                <w:bCs/>
              </w:rPr>
            </w:pPr>
          </w:p>
        </w:tc>
        <w:tc>
          <w:tcPr>
            <w:tcW w:w="4993" w:type="dxa"/>
            <w:tcMar>
              <w:top w:w="28" w:type="dxa"/>
              <w:left w:w="108" w:type="dxa"/>
              <w:bottom w:w="0" w:type="dxa"/>
              <w:right w:w="108" w:type="dxa"/>
            </w:tcMar>
          </w:tcPr>
          <w:p w14:paraId="7582D593" w14:textId="77777777" w:rsidR="00645A0B" w:rsidRPr="001039FD" w:rsidRDefault="00645A0B" w:rsidP="009C31D5">
            <w:pPr>
              <w:spacing w:before="40"/>
              <w:rPr>
                <w:b/>
                <w:bCs/>
              </w:rPr>
            </w:pPr>
          </w:p>
        </w:tc>
      </w:tr>
    </w:tbl>
    <w:p w14:paraId="692F5673" w14:textId="359C22C3" w:rsidR="00C039FA" w:rsidRPr="00BC1FB8" w:rsidRDefault="00C039FA" w:rsidP="00C039FA">
      <w:pPr>
        <w:pStyle w:val="HChG"/>
      </w:pPr>
      <w:r>
        <w:tab/>
      </w:r>
      <w:r>
        <w:tab/>
        <w:t xml:space="preserve">Correction and </w:t>
      </w:r>
      <w:r w:rsidR="00EA722C">
        <w:rPr>
          <w:lang w:val="fr-CH"/>
        </w:rPr>
        <w:t>c</w:t>
      </w:r>
      <w:bookmarkStart w:id="0" w:name="_GoBack"/>
      <w:bookmarkEnd w:id="0"/>
      <w:r>
        <w:t>larifications on Packing Instruction P903</w:t>
      </w:r>
    </w:p>
    <w:p w14:paraId="58147A94" w14:textId="04F65396" w:rsidR="00C039FA" w:rsidRPr="00AC05E0" w:rsidRDefault="00C039FA" w:rsidP="00C039FA">
      <w:pPr>
        <w:pStyle w:val="H1G"/>
      </w:pPr>
      <w:r>
        <w:tab/>
      </w:r>
      <w:r>
        <w:tab/>
      </w:r>
      <w:r w:rsidRPr="00AC05E0">
        <w:t>Transmitted by</w:t>
      </w:r>
      <w:r>
        <w:t xml:space="preserve"> PRBA - the Rechargeable Battery Association, and </w:t>
      </w:r>
      <w:r w:rsidRPr="00400019">
        <w:t>the Advanced Rechargeable &amp; Lithium Batteries Association</w:t>
      </w:r>
      <w:r>
        <w:t xml:space="preserve"> </w:t>
      </w:r>
      <w:r w:rsidRPr="00400019">
        <w:t>(RECHARGE)</w:t>
      </w:r>
    </w:p>
    <w:p w14:paraId="24AF62D3" w14:textId="77777777" w:rsidR="00C039FA" w:rsidRPr="00F0114F" w:rsidRDefault="00C039FA" w:rsidP="00C039FA">
      <w:pPr>
        <w:pStyle w:val="HChG"/>
      </w:pPr>
      <w:r w:rsidRPr="00F0114F">
        <w:tab/>
      </w:r>
      <w:r w:rsidRPr="00F0114F">
        <w:tab/>
        <w:t>Introduction</w:t>
      </w:r>
    </w:p>
    <w:p w14:paraId="776EF112" w14:textId="1F656522" w:rsidR="00C039FA" w:rsidRDefault="00C039FA" w:rsidP="00C039FA">
      <w:pPr>
        <w:pStyle w:val="SingleTxtG"/>
        <w:numPr>
          <w:ilvl w:val="0"/>
          <w:numId w:val="22"/>
        </w:numPr>
        <w:ind w:left="1134" w:firstLine="0"/>
        <w:rPr>
          <w:lang w:val="en-US"/>
        </w:rPr>
      </w:pPr>
      <w:r>
        <w:rPr>
          <w:lang w:val="en-US"/>
        </w:rPr>
        <w:t xml:space="preserve">Packing Instruction P903 authorizes the use of strong outer packaging for batteries and battery assemblies with a gross mass of more than 12 kg and have </w:t>
      </w:r>
      <w:bookmarkStart w:id="1" w:name="_Hlk9600236"/>
      <w:r>
        <w:rPr>
          <w:lang w:val="en-US"/>
        </w:rPr>
        <w:t>an impact resistant outer casing</w:t>
      </w:r>
      <w:bookmarkEnd w:id="1"/>
      <w:r>
        <w:rPr>
          <w:lang w:val="en-US"/>
        </w:rPr>
        <w:t>. PRBA has determined the language in P903 is not consistent with similar language in the ICAO TI, which has caused confusion for some competent authorities issuing approvals under the ICAO TI Packing Instruction 965, Section IA. This Informal document is intended to correct this inconsistency</w:t>
      </w:r>
      <w:r w:rsidR="00757827">
        <w:rPr>
          <w:lang w:val="en-US"/>
        </w:rPr>
        <w:t xml:space="preserve"> and to</w:t>
      </w:r>
      <w:r>
        <w:rPr>
          <w:lang w:val="en-US"/>
        </w:rPr>
        <w:t xml:space="preserve"> clarify the use of this provision for larger lithium batteries and assemblies exceeding 12 kg that have </w:t>
      </w:r>
      <w:r w:rsidRPr="001338F1">
        <w:rPr>
          <w:lang w:val="en-US"/>
        </w:rPr>
        <w:t>impact resistant outer casing</w:t>
      </w:r>
      <w:r>
        <w:rPr>
          <w:lang w:val="en-US"/>
        </w:rPr>
        <w:t>s</w:t>
      </w:r>
      <w:r w:rsidR="00757827">
        <w:rPr>
          <w:lang w:val="en-US"/>
        </w:rPr>
        <w:t>.</w:t>
      </w:r>
    </w:p>
    <w:p w14:paraId="7623371F" w14:textId="77777777" w:rsidR="00C039FA" w:rsidRDefault="00C039FA" w:rsidP="00C039FA">
      <w:pPr>
        <w:pStyle w:val="SingleTxtG"/>
        <w:numPr>
          <w:ilvl w:val="0"/>
          <w:numId w:val="22"/>
        </w:numPr>
        <w:ind w:left="1134" w:firstLine="0"/>
        <w:rPr>
          <w:lang w:val="en-US"/>
        </w:rPr>
      </w:pPr>
      <w:bookmarkStart w:id="2" w:name="_Hlk9600579"/>
      <w:bookmarkStart w:id="3" w:name="_Hlk9928803"/>
      <w:r>
        <w:rPr>
          <w:lang w:val="en-US"/>
        </w:rPr>
        <w:t xml:space="preserve">Paragraph (2) in P903 </w:t>
      </w:r>
      <w:bookmarkEnd w:id="2"/>
      <w:r>
        <w:rPr>
          <w:lang w:val="en-US"/>
        </w:rPr>
        <w:t>includes the following text:</w:t>
      </w:r>
    </w:p>
    <w:p w14:paraId="40069C91" w14:textId="77777777" w:rsidR="00C039FA" w:rsidRDefault="00C039FA" w:rsidP="00C039FA">
      <w:pPr>
        <w:pStyle w:val="SingleTxtG"/>
        <w:ind w:left="1710"/>
        <w:rPr>
          <w:lang w:val="en-US"/>
        </w:rPr>
      </w:pPr>
      <w:r>
        <w:rPr>
          <w:lang w:val="en-US"/>
        </w:rPr>
        <w:t>“In addition, for cells or batteries with a gross mass of 12 kg or more employing a strong, impact resistant outer casing, and assemblies of such cells or batteries:</w:t>
      </w:r>
    </w:p>
    <w:p w14:paraId="58B14DB3" w14:textId="5454B8BB" w:rsidR="00C039FA" w:rsidRPr="00C039FA" w:rsidRDefault="00C039FA" w:rsidP="00C039FA">
      <w:pPr>
        <w:pStyle w:val="SingleTxtG"/>
        <w:ind w:left="1701"/>
      </w:pPr>
      <w:r>
        <w:tab/>
      </w:r>
      <w:r>
        <w:rPr>
          <w:lang w:val="fr-CH"/>
        </w:rPr>
        <w:t>(a)</w:t>
      </w:r>
      <w:r>
        <w:tab/>
      </w:r>
      <w:r w:rsidRPr="00C039FA">
        <w:t>Strong outer packaging;</w:t>
      </w:r>
    </w:p>
    <w:p w14:paraId="24FEC2DE" w14:textId="02344796" w:rsidR="00C039FA" w:rsidRPr="00C039FA" w:rsidRDefault="00C039FA" w:rsidP="00C039FA">
      <w:pPr>
        <w:pStyle w:val="SingleTxtG"/>
        <w:ind w:left="1701"/>
      </w:pPr>
      <w:r>
        <w:tab/>
      </w:r>
      <w:r>
        <w:rPr>
          <w:lang w:val="fr-CH"/>
        </w:rPr>
        <w:t>(b)</w:t>
      </w:r>
      <w:r>
        <w:tab/>
      </w:r>
      <w:r w:rsidRPr="00C039FA">
        <w:t>Protective enclosures (e.g., fully enclosed or wooden slated crates); or</w:t>
      </w:r>
    </w:p>
    <w:p w14:paraId="5C867545" w14:textId="665738EF" w:rsidR="00C039FA" w:rsidRPr="00C039FA" w:rsidRDefault="00C039FA" w:rsidP="00C039FA">
      <w:pPr>
        <w:pStyle w:val="SingleTxtG"/>
        <w:ind w:left="1701"/>
      </w:pPr>
      <w:r>
        <w:tab/>
      </w:r>
      <w:r>
        <w:rPr>
          <w:lang w:val="fr-CH"/>
        </w:rPr>
        <w:t>(c)</w:t>
      </w:r>
      <w:r>
        <w:tab/>
      </w:r>
      <w:r w:rsidRPr="00C039FA">
        <w:t>Pallets or other handling devices.”</w:t>
      </w:r>
      <w:bookmarkEnd w:id="3"/>
    </w:p>
    <w:p w14:paraId="2D4DC1DE" w14:textId="0FE58E83" w:rsidR="00C039FA" w:rsidRPr="00F57557" w:rsidRDefault="00C039FA" w:rsidP="00C039FA">
      <w:pPr>
        <w:pStyle w:val="SingleTxtG"/>
        <w:rPr>
          <w:lang w:val="fr-CH"/>
        </w:rPr>
      </w:pPr>
      <w:r>
        <w:tab/>
      </w:r>
      <w:r>
        <w:rPr>
          <w:lang w:val="fr-CH"/>
        </w:rPr>
        <w:t>3.</w:t>
      </w:r>
      <w:r>
        <w:tab/>
      </w:r>
      <w:r w:rsidRPr="00C039FA">
        <w:t>The phrase “and assemblies of such cells or batteries” is not consistent with the ICAO TI, Packing Instruction 965 Section IA, which states “or assemblies of such cells or batteries.”  (Emphasis added.)</w:t>
      </w:r>
    </w:p>
    <w:p w14:paraId="1B132769" w14:textId="049BAB29" w:rsidR="00C039FA" w:rsidRPr="00C039FA" w:rsidRDefault="00C039FA" w:rsidP="00C039FA">
      <w:pPr>
        <w:pStyle w:val="SingleTxtG"/>
      </w:pPr>
      <w:r>
        <w:tab/>
      </w:r>
      <w:r>
        <w:rPr>
          <w:lang w:val="fr-CH"/>
        </w:rPr>
        <w:t>4.</w:t>
      </w:r>
      <w:r>
        <w:tab/>
      </w:r>
      <w:r w:rsidRPr="00C039FA">
        <w:t>The general structure of paragraph (2) in P903 is also causing confusion for how it can be utilized by battery manufacturers.  The industry has always operated under the following three scenarios for larger batteries, battery modules, or assembly of batteries over 12 kg.</w:t>
      </w:r>
    </w:p>
    <w:p w14:paraId="48DB9EBE" w14:textId="5456EF58" w:rsidR="00C039FA" w:rsidRPr="00CE1FC8" w:rsidRDefault="00C039FA" w:rsidP="00C039FA">
      <w:pPr>
        <w:pStyle w:val="SingleTxtG"/>
        <w:ind w:left="1701"/>
        <w:rPr>
          <w:lang w:val="en-US"/>
        </w:rPr>
      </w:pPr>
      <w:r>
        <w:rPr>
          <w:lang w:val="en-US"/>
        </w:rPr>
        <w:tab/>
        <w:t>(a)</w:t>
      </w:r>
      <w:r>
        <w:rPr>
          <w:lang w:val="en-US"/>
        </w:rPr>
        <w:tab/>
      </w:r>
      <w:r w:rsidRPr="00CE1FC8">
        <w:rPr>
          <w:lang w:val="en-US"/>
        </w:rPr>
        <w:t>Cells electrically connected to form a battery or battery module with a gross mass of more than 12 kg and has a strong, impact resistant outer casing may be packaged and transported in accordance with paragraph (2) in P903.</w:t>
      </w:r>
    </w:p>
    <w:p w14:paraId="2C65B052" w14:textId="6D41E2AB" w:rsidR="00C039FA" w:rsidRPr="00C039FA" w:rsidRDefault="00C039FA" w:rsidP="00C039FA">
      <w:pPr>
        <w:pStyle w:val="SingleTxtG"/>
        <w:ind w:left="1701"/>
      </w:pPr>
      <w:r>
        <w:lastRenderedPageBreak/>
        <w:tab/>
      </w:r>
      <w:r>
        <w:rPr>
          <w:lang w:val="fr-CH"/>
        </w:rPr>
        <w:t>(b)</w:t>
      </w:r>
      <w:r>
        <w:tab/>
      </w:r>
      <w:r w:rsidRPr="00C039FA">
        <w:t>Batteries or battery modules – regardless of weight or outer casing – that are electrically connected to form an assembly of batteries with a gross mass of more than 12 kg and a strong, impact resistant outer casing also may be packaged and transported in accordance paragraph (2) in P903.</w:t>
      </w:r>
    </w:p>
    <w:p w14:paraId="542A16B3" w14:textId="685BB73C" w:rsidR="00C039FA" w:rsidRPr="00C039FA" w:rsidRDefault="00C039FA" w:rsidP="00C039FA">
      <w:pPr>
        <w:pStyle w:val="SingleTxtG"/>
        <w:ind w:left="1701"/>
      </w:pPr>
      <w:r>
        <w:tab/>
      </w:r>
      <w:r>
        <w:rPr>
          <w:lang w:val="fr-CH"/>
        </w:rPr>
        <w:t>(c)</w:t>
      </w:r>
      <w:r>
        <w:tab/>
      </w:r>
      <w:r w:rsidRPr="00C039FA">
        <w:t xml:space="preserve">Batteries or battery modules, each of them having a gross mass of more than </w:t>
      </w:r>
      <w:r w:rsidRPr="00C039FA">
        <w:br/>
        <w:t>12 kg and a strong, impact resistant outer casing, that are electrically connected to form an assembly of batteries, also may be packaged and transported in accordance paragraph (2) in P903.</w:t>
      </w:r>
    </w:p>
    <w:p w14:paraId="6EC1C8CC" w14:textId="701824E0" w:rsidR="00C039FA" w:rsidRDefault="00C039FA" w:rsidP="00C039FA">
      <w:pPr>
        <w:pStyle w:val="SingleTxtG"/>
        <w:rPr>
          <w:lang w:val="en-US"/>
        </w:rPr>
      </w:pPr>
      <w:r>
        <w:rPr>
          <w:lang w:val="en-US"/>
        </w:rPr>
        <w:tab/>
        <w:t>5.</w:t>
      </w:r>
      <w:r>
        <w:rPr>
          <w:lang w:val="en-US"/>
        </w:rPr>
        <w:tab/>
        <w:t xml:space="preserve">We understand one competent authority is interpreting paragraph (2) in P903 to require an assembly of batteries </w:t>
      </w:r>
      <w:r w:rsidRPr="0079020E">
        <w:rPr>
          <w:i/>
          <w:u w:val="single"/>
          <w:lang w:val="en-US"/>
        </w:rPr>
        <w:t>and</w:t>
      </w:r>
      <w:r>
        <w:rPr>
          <w:lang w:val="en-US"/>
        </w:rPr>
        <w:t xml:space="preserve"> the battery modules within the assembly to </w:t>
      </w:r>
      <w:r w:rsidRPr="0079020E">
        <w:rPr>
          <w:i/>
          <w:u w:val="single"/>
          <w:lang w:val="en-US"/>
        </w:rPr>
        <w:t>both</w:t>
      </w:r>
      <w:r>
        <w:rPr>
          <w:lang w:val="en-US"/>
        </w:rPr>
        <w:t xml:space="preserve"> have a gross mass of more than 12 kg and strong, impact-resistant outer casings. The industry has never interpreted paragraph (2) in P903 to require both the battery modules and the assembly of such modules to have a gross mass of more than 12 kg and strong, impact resistant out casings. To therefore help clarify this provision, we have proposed below minor modifications to paragraph (2) in P903.</w:t>
      </w:r>
    </w:p>
    <w:p w14:paraId="1B413E36" w14:textId="4128AB36" w:rsidR="00C039FA" w:rsidRPr="004613A8" w:rsidRDefault="00C039FA" w:rsidP="00C039FA">
      <w:pPr>
        <w:pStyle w:val="SingleTxtG"/>
        <w:rPr>
          <w:lang w:val="en-US"/>
        </w:rPr>
      </w:pPr>
      <w:bookmarkStart w:id="4" w:name="_Hlk11073961"/>
      <w:r>
        <w:rPr>
          <w:lang w:val="en-US"/>
        </w:rPr>
        <w:tab/>
        <w:t>6.</w:t>
      </w:r>
      <w:r>
        <w:rPr>
          <w:lang w:val="en-US"/>
        </w:rPr>
        <w:tab/>
        <w:t xml:space="preserve">We would appreciate comments on the proposal below from members of the Sub-Committee to prepare a Working document for the fifty-sixth session. </w:t>
      </w:r>
    </w:p>
    <w:p w14:paraId="30FC5A16" w14:textId="77777777" w:rsidR="00C039FA" w:rsidRPr="008F4897" w:rsidRDefault="00C039FA" w:rsidP="00C039FA">
      <w:pPr>
        <w:pStyle w:val="HChG"/>
      </w:pPr>
      <w:r>
        <w:tab/>
      </w:r>
      <w:r>
        <w:tab/>
        <w:t>Proposal</w:t>
      </w:r>
      <w:bookmarkEnd w:id="4"/>
    </w:p>
    <w:p w14:paraId="5C18C7DF" w14:textId="06422B62" w:rsidR="00C039FA" w:rsidRPr="00BA49CC" w:rsidRDefault="00C039FA" w:rsidP="00C039FA">
      <w:pPr>
        <w:pStyle w:val="SingleTxtG"/>
      </w:pPr>
      <w:r>
        <w:tab/>
      </w:r>
      <w:r>
        <w:rPr>
          <w:lang w:val="fr-CH"/>
        </w:rPr>
        <w:t>7.</w:t>
      </w:r>
      <w:r>
        <w:tab/>
      </w:r>
      <w:r w:rsidRPr="00BA49CC">
        <w:t xml:space="preserve">Paragraph (2) in P903 </w:t>
      </w:r>
      <w:r>
        <w:t>shall be amended as follows</w:t>
      </w:r>
      <w:r w:rsidRPr="00BA49CC">
        <w:t>:</w:t>
      </w:r>
    </w:p>
    <w:p w14:paraId="3DB89399" w14:textId="77777777" w:rsidR="00C039FA" w:rsidRPr="00FC7F20" w:rsidRDefault="00C039FA" w:rsidP="00C039FA">
      <w:pPr>
        <w:spacing w:after="120"/>
        <w:ind w:left="1710" w:right="1134"/>
        <w:jc w:val="both"/>
        <w:rPr>
          <w:lang w:val="en-US"/>
        </w:rPr>
      </w:pPr>
      <w:r w:rsidRPr="00BA49CC">
        <w:rPr>
          <w:lang w:val="en-US"/>
        </w:rPr>
        <w:t xml:space="preserve">“In addition, for </w:t>
      </w:r>
      <w:r>
        <w:rPr>
          <w:u w:val="single"/>
          <w:lang w:val="en-US"/>
        </w:rPr>
        <w:t>a</w:t>
      </w:r>
      <w:r>
        <w:rPr>
          <w:lang w:val="en-US"/>
        </w:rPr>
        <w:t xml:space="preserve"> </w:t>
      </w:r>
      <w:r w:rsidRPr="00BA49CC">
        <w:rPr>
          <w:lang w:val="en-US"/>
        </w:rPr>
        <w:t>cell</w:t>
      </w:r>
      <w:r w:rsidRPr="003F7587">
        <w:rPr>
          <w:strike/>
          <w:lang w:val="en-US"/>
        </w:rPr>
        <w:t>s</w:t>
      </w:r>
      <w:r>
        <w:rPr>
          <w:u w:val="single"/>
          <w:lang w:val="en-US"/>
        </w:rPr>
        <w:t>,</w:t>
      </w:r>
      <w:r>
        <w:rPr>
          <w:lang w:val="en-US"/>
        </w:rPr>
        <w:t xml:space="preserve"> </w:t>
      </w:r>
      <w:r w:rsidRPr="003F7587">
        <w:rPr>
          <w:strike/>
          <w:lang w:val="en-US"/>
        </w:rPr>
        <w:t>or</w:t>
      </w:r>
      <w:r>
        <w:rPr>
          <w:lang w:val="en-US"/>
        </w:rPr>
        <w:t xml:space="preserve"> </w:t>
      </w:r>
      <w:proofErr w:type="spellStart"/>
      <w:r w:rsidRPr="003F7587">
        <w:rPr>
          <w:lang w:val="en-US"/>
        </w:rPr>
        <w:t>batter</w:t>
      </w:r>
      <w:r>
        <w:rPr>
          <w:u w:val="single"/>
          <w:lang w:val="en-US"/>
        </w:rPr>
        <w:t>y</w:t>
      </w:r>
      <w:r w:rsidRPr="003F7587">
        <w:rPr>
          <w:strike/>
          <w:lang w:val="en-US"/>
        </w:rPr>
        <w:t>ies</w:t>
      </w:r>
      <w:proofErr w:type="spellEnd"/>
      <w:r>
        <w:rPr>
          <w:u w:val="single"/>
          <w:lang w:val="en-US"/>
        </w:rPr>
        <w:t>,</w:t>
      </w:r>
      <w:r w:rsidRPr="00BA49CC">
        <w:rPr>
          <w:lang w:val="en-US"/>
        </w:rPr>
        <w:t xml:space="preserve"> </w:t>
      </w:r>
      <w:r>
        <w:rPr>
          <w:u w:val="single"/>
          <w:lang w:val="en-US"/>
        </w:rPr>
        <w:t xml:space="preserve">or assembly of </w:t>
      </w:r>
      <w:r w:rsidRPr="003F7587">
        <w:rPr>
          <w:lang w:val="en-US"/>
        </w:rPr>
        <w:t>batteries</w:t>
      </w:r>
      <w:r>
        <w:rPr>
          <w:lang w:val="en-US"/>
        </w:rPr>
        <w:t xml:space="preserve"> </w:t>
      </w:r>
      <w:r w:rsidRPr="003F7587">
        <w:rPr>
          <w:lang w:val="en-US"/>
        </w:rPr>
        <w:t>with</w:t>
      </w:r>
      <w:r w:rsidRPr="00BA49CC">
        <w:rPr>
          <w:lang w:val="en-US"/>
        </w:rPr>
        <w:t xml:space="preserve"> a gross mass of </w:t>
      </w:r>
      <w:r>
        <w:rPr>
          <w:lang w:val="en-US"/>
        </w:rPr>
        <w:br/>
      </w:r>
      <w:r w:rsidRPr="00BA49CC">
        <w:rPr>
          <w:lang w:val="en-US"/>
        </w:rPr>
        <w:t>12 kg or more employing a strong, impact resistant outer casing</w:t>
      </w:r>
      <w:r w:rsidRPr="003F7587">
        <w:rPr>
          <w:strike/>
          <w:lang w:val="en-US"/>
        </w:rPr>
        <w:t>, and assemblies of such cells or batteries</w:t>
      </w:r>
      <w:r>
        <w:rPr>
          <w:u w:val="single"/>
          <w:lang w:val="en-US"/>
        </w:rPr>
        <w:t>,</w:t>
      </w:r>
      <w:r>
        <w:rPr>
          <w:lang w:val="en-US"/>
        </w:rPr>
        <w:t xml:space="preserve"> </w:t>
      </w:r>
      <w:r w:rsidRPr="00CE1FC8">
        <w:rPr>
          <w:u w:val="single"/>
          <w:lang w:val="en-US"/>
        </w:rPr>
        <w:t>or an assembly of batteries comprised of batteries each with a gross mass of 12 kg or more and employing a strong, impact resistant outer casing</w:t>
      </w:r>
      <w:r w:rsidRPr="00CE1FC8">
        <w:rPr>
          <w:lang w:val="en-US"/>
        </w:rPr>
        <w:t>:</w:t>
      </w:r>
    </w:p>
    <w:p w14:paraId="6D032966" w14:textId="3F7603AC" w:rsidR="00C039FA" w:rsidRPr="00BA49CC" w:rsidRDefault="00C039FA" w:rsidP="00C039FA">
      <w:pPr>
        <w:pStyle w:val="SingleTxtG"/>
        <w:ind w:firstLine="567"/>
      </w:pPr>
      <w:r>
        <w:tab/>
      </w:r>
      <w:r>
        <w:rPr>
          <w:lang w:val="fr-CH"/>
        </w:rPr>
        <w:t>(a)</w:t>
      </w:r>
      <w:r>
        <w:tab/>
      </w:r>
      <w:r w:rsidRPr="00BA49CC">
        <w:t>Strong outer packaging;</w:t>
      </w:r>
    </w:p>
    <w:p w14:paraId="2D581F93" w14:textId="5B55E700" w:rsidR="00C039FA" w:rsidRDefault="00C039FA" w:rsidP="00C039FA">
      <w:pPr>
        <w:pStyle w:val="SingleTxtG"/>
        <w:ind w:firstLine="567"/>
      </w:pPr>
      <w:r>
        <w:tab/>
      </w:r>
      <w:r>
        <w:rPr>
          <w:lang w:val="fr-CH"/>
        </w:rPr>
        <w:t>(b)</w:t>
      </w:r>
      <w:r>
        <w:tab/>
      </w:r>
      <w:r w:rsidRPr="00BA49CC">
        <w:t>Protective enclosures (e.g., fully enclosed or wooden slated crates); or</w:t>
      </w:r>
    </w:p>
    <w:p w14:paraId="28C00513" w14:textId="694B99E3" w:rsidR="00C039FA" w:rsidRPr="00F57557" w:rsidRDefault="00C039FA" w:rsidP="00C039FA">
      <w:pPr>
        <w:pStyle w:val="SingleTxtG"/>
        <w:ind w:firstLine="567"/>
        <w:rPr>
          <w:lang w:val="fr-CH"/>
        </w:rPr>
      </w:pPr>
      <w:r>
        <w:tab/>
      </w:r>
      <w:r>
        <w:rPr>
          <w:lang w:val="fr-CH"/>
        </w:rPr>
        <w:t>(c)</w:t>
      </w:r>
      <w:r>
        <w:tab/>
      </w:r>
      <w:r w:rsidRPr="00BA49CC">
        <w:t>Pallets or other handling devices.”</w:t>
      </w:r>
      <w:r w:rsidR="00F57557">
        <w:rPr>
          <w:lang w:val="fr-CH"/>
        </w:rPr>
        <w:t>.</w:t>
      </w:r>
    </w:p>
    <w:p w14:paraId="698F65FE" w14:textId="77777777" w:rsidR="00C039FA" w:rsidRPr="007A19DA" w:rsidRDefault="00C039FA" w:rsidP="00C039FA">
      <w:pPr>
        <w:spacing w:before="240"/>
        <w:jc w:val="center"/>
      </w:pPr>
      <w:r>
        <w:rPr>
          <w:u w:val="single"/>
        </w:rPr>
        <w:tab/>
      </w:r>
      <w:r>
        <w:rPr>
          <w:u w:val="single"/>
        </w:rPr>
        <w:tab/>
      </w:r>
      <w:r>
        <w:rPr>
          <w:u w:val="single"/>
        </w:rPr>
        <w:tab/>
      </w:r>
      <w:r>
        <w:tab/>
      </w:r>
    </w:p>
    <w:p w14:paraId="3D48B50A" w14:textId="77777777" w:rsidR="00C039FA" w:rsidRPr="006C50B0" w:rsidRDefault="00C039FA" w:rsidP="00C039FA">
      <w:pPr>
        <w:pStyle w:val="SingleTxtG"/>
      </w:pPr>
    </w:p>
    <w:p w14:paraId="29560C76" w14:textId="77777777" w:rsidR="00C039FA" w:rsidRPr="00802D6E" w:rsidRDefault="00C039FA" w:rsidP="00C039FA"/>
    <w:p w14:paraId="442EF557" w14:textId="77777777" w:rsidR="00C039FA" w:rsidRPr="00C039FA" w:rsidRDefault="00C039FA" w:rsidP="00C039FA"/>
    <w:sectPr w:rsidR="00C039FA" w:rsidRPr="00C039FA" w:rsidSect="0096164A">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52B1" w14:textId="77777777" w:rsidR="009545BB" w:rsidRDefault="009545BB"/>
  </w:endnote>
  <w:endnote w:type="continuationSeparator" w:id="0">
    <w:p w14:paraId="6F278827" w14:textId="77777777" w:rsidR="009545BB" w:rsidRDefault="009545BB"/>
  </w:endnote>
  <w:endnote w:type="continuationNotice" w:id="1">
    <w:p w14:paraId="2A24D1E2" w14:textId="77777777" w:rsidR="009545BB" w:rsidRDefault="0095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891611234"/>
      <w:docPartObj>
        <w:docPartGallery w:val="Page Numbers (Bottom of Page)"/>
        <w:docPartUnique/>
      </w:docPartObj>
    </w:sdtPr>
    <w:sdtEndPr>
      <w:rPr>
        <w:noProof/>
      </w:rPr>
    </w:sdtEndPr>
    <w:sdtContent>
      <w:p w14:paraId="7E9B01D1" w14:textId="265224F2" w:rsidR="004E2C4F" w:rsidRPr="004E2C4F" w:rsidRDefault="004E2C4F">
        <w:pPr>
          <w:pStyle w:val="Footer"/>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1FC39ED2" w14:textId="77777777" w:rsidR="009B72E4" w:rsidRDefault="009B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72911195"/>
      <w:docPartObj>
        <w:docPartGallery w:val="Page Numbers (Bottom of Page)"/>
        <w:docPartUnique/>
      </w:docPartObj>
    </w:sdtPr>
    <w:sdtEndPr>
      <w:rPr>
        <w:noProof/>
      </w:rPr>
    </w:sdtEndPr>
    <w:sdtContent>
      <w:p w14:paraId="557DD131" w14:textId="6327C7A1" w:rsidR="004E2C4F" w:rsidRPr="004E2C4F" w:rsidRDefault="004E2C4F">
        <w:pPr>
          <w:pStyle w:val="Footer"/>
          <w:jc w:val="right"/>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3A60B9A3" w14:textId="77777777" w:rsidR="004E2C4F" w:rsidRDefault="004E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9FF3" w14:textId="77777777" w:rsidR="009545BB" w:rsidRPr="000B175B" w:rsidRDefault="009545BB" w:rsidP="000B175B">
      <w:pPr>
        <w:tabs>
          <w:tab w:val="right" w:pos="2155"/>
        </w:tabs>
        <w:spacing w:after="80"/>
        <w:ind w:left="680"/>
        <w:rPr>
          <w:u w:val="single"/>
        </w:rPr>
      </w:pPr>
      <w:r>
        <w:rPr>
          <w:u w:val="single"/>
        </w:rPr>
        <w:tab/>
      </w:r>
    </w:p>
  </w:footnote>
  <w:footnote w:type="continuationSeparator" w:id="0">
    <w:p w14:paraId="575F4CA0" w14:textId="77777777" w:rsidR="009545BB" w:rsidRPr="00FC68B7" w:rsidRDefault="009545BB" w:rsidP="00FC68B7">
      <w:pPr>
        <w:tabs>
          <w:tab w:val="left" w:pos="2155"/>
        </w:tabs>
        <w:spacing w:after="80"/>
        <w:ind w:left="680"/>
        <w:rPr>
          <w:u w:val="single"/>
        </w:rPr>
      </w:pPr>
      <w:r>
        <w:rPr>
          <w:u w:val="single"/>
        </w:rPr>
        <w:tab/>
      </w:r>
    </w:p>
  </w:footnote>
  <w:footnote w:type="continuationNotice" w:id="1">
    <w:p w14:paraId="17CA88CB" w14:textId="77777777" w:rsidR="009545BB" w:rsidRDefault="00954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5FFC" w14:textId="5130E7AF" w:rsidR="00EA597A" w:rsidRDefault="00EA597A" w:rsidP="00EA597A">
    <w:pPr>
      <w:pStyle w:val="Header"/>
      <w:spacing w:after="240"/>
    </w:pPr>
    <w:r w:rsidRPr="00162E11">
      <w:rPr>
        <w:lang w:val="nl-NL"/>
      </w:rPr>
      <w:t>UN/SCETDG/5</w:t>
    </w:r>
    <w:r w:rsidR="009B72E4">
      <w:rPr>
        <w:lang w:val="nl-NL"/>
      </w:rPr>
      <w:t>5</w:t>
    </w:r>
    <w:r w:rsidRPr="00162E11">
      <w:rPr>
        <w:lang w:val="nl-NL"/>
      </w:rPr>
      <w:t>/INF.</w:t>
    </w:r>
    <w:r w:rsidR="0096164A">
      <w:rPr>
        <w:lang w:val="nl-NL"/>
      </w:rPr>
      <w:t>2</w:t>
    </w:r>
    <w:r w:rsidR="00C039FA">
      <w:rPr>
        <w:lang w:val="nl-N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D8B6" w14:textId="7FA5EFC5" w:rsidR="00B34CAE" w:rsidRPr="00EA597A" w:rsidRDefault="00EA597A" w:rsidP="00EA597A">
    <w:pPr>
      <w:pStyle w:val="Header"/>
      <w:spacing w:after="240"/>
      <w:jc w:val="right"/>
    </w:pPr>
    <w:r w:rsidRPr="00162E11">
      <w:rPr>
        <w:lang w:val="nl-NL"/>
      </w:rPr>
      <w:t>UN/SCETDG/</w:t>
    </w:r>
    <w:r w:rsidR="009B72E4">
      <w:rPr>
        <w:lang w:val="nl-NL"/>
      </w:rPr>
      <w:t>55/INF</w:t>
    </w:r>
    <w:r w:rsidR="004E2C4F">
      <w:rPr>
        <w:lang w:val="nl-NL"/>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89F5" w14:textId="4F090F04" w:rsidR="000B033E" w:rsidRPr="009B72E4" w:rsidRDefault="000B033E" w:rsidP="009B72E4">
    <w:pPr>
      <w:pStyle w:val="Header"/>
      <w:pBdr>
        <w:bottom w:val="none" w:sz="0" w:space="0" w:color="auto"/>
      </w:pBd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207857"/>
    <w:multiLevelType w:val="hybridMultilevel"/>
    <w:tmpl w:val="B5168AB4"/>
    <w:lvl w:ilvl="0" w:tplc="97B43FC4">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2" w15:restartNumberingAfterBreak="0">
    <w:nsid w:val="10221E95"/>
    <w:multiLevelType w:val="hybridMultilevel"/>
    <w:tmpl w:val="E640D18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3C1017E"/>
    <w:multiLevelType w:val="hybridMultilevel"/>
    <w:tmpl w:val="F16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611C5F"/>
    <w:multiLevelType w:val="hybridMultilevel"/>
    <w:tmpl w:val="1AA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4066A"/>
    <w:multiLevelType w:val="hybridMultilevel"/>
    <w:tmpl w:val="C71AC25E"/>
    <w:lvl w:ilvl="0" w:tplc="18B07A14">
      <w:start w:val="1"/>
      <w:numFmt w:val="decimal"/>
      <w:lvlText w:val="%1."/>
      <w:lvlJc w:val="left"/>
      <w:pPr>
        <w:ind w:left="1689" w:hanging="555"/>
      </w:pPr>
      <w:rPr>
        <w:rFonts w:hint="default"/>
      </w:rPr>
    </w:lvl>
    <w:lvl w:ilvl="1" w:tplc="0332DCB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DFB4DE7"/>
    <w:multiLevelType w:val="hybridMultilevel"/>
    <w:tmpl w:val="D5C810E0"/>
    <w:lvl w:ilvl="0" w:tplc="EE689D66">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F5A78A3"/>
    <w:multiLevelType w:val="hybridMultilevel"/>
    <w:tmpl w:val="7C16EB7A"/>
    <w:lvl w:ilvl="0" w:tplc="742AFF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64841"/>
    <w:multiLevelType w:val="hybridMultilevel"/>
    <w:tmpl w:val="AEE2A8CA"/>
    <w:lvl w:ilvl="0" w:tplc="71901A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20"/>
  </w:num>
  <w:num w:numId="15">
    <w:abstractNumId w:val="22"/>
  </w:num>
  <w:num w:numId="16">
    <w:abstractNumId w:val="24"/>
  </w:num>
  <w:num w:numId="17">
    <w:abstractNumId w:val="15"/>
  </w:num>
  <w:num w:numId="18">
    <w:abstractNumId w:val="13"/>
  </w:num>
  <w:num w:numId="19">
    <w:abstractNumId w:val="17"/>
  </w:num>
  <w:num w:numId="20">
    <w:abstractNumId w:val="11"/>
  </w:num>
  <w:num w:numId="21">
    <w:abstractNumId w:val="21"/>
  </w:num>
  <w:num w:numId="22">
    <w:abstractNumId w:val="23"/>
  </w:num>
  <w:num w:numId="23">
    <w:abstractNumId w:val="18"/>
  </w:num>
  <w:num w:numId="24">
    <w:abstractNumId w:val="16"/>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nl-NL" w:vendorID="64" w:dllVersion="6" w:nlCheck="1" w:checkStyle="0"/>
  <w:activeWritingStyle w:appName="MSWord" w:lang="fi-FI" w:vendorID="64" w:dllVersion="6" w:nlCheck="1" w:checkStyle="0"/>
  <w:activeWritingStyle w:appName="MSWord" w:lang="en-Z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239C"/>
    <w:rsid w:val="00053492"/>
    <w:rsid w:val="00054081"/>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09D0"/>
    <w:rsid w:val="00091046"/>
    <w:rsid w:val="00091419"/>
    <w:rsid w:val="00091CB3"/>
    <w:rsid w:val="000931C0"/>
    <w:rsid w:val="000A2236"/>
    <w:rsid w:val="000A35F2"/>
    <w:rsid w:val="000A3A48"/>
    <w:rsid w:val="000A4C38"/>
    <w:rsid w:val="000A78CD"/>
    <w:rsid w:val="000B033E"/>
    <w:rsid w:val="000B175B"/>
    <w:rsid w:val="000B27B8"/>
    <w:rsid w:val="000B2968"/>
    <w:rsid w:val="000B2972"/>
    <w:rsid w:val="000B31B2"/>
    <w:rsid w:val="000B3A0F"/>
    <w:rsid w:val="000B4919"/>
    <w:rsid w:val="000B7AF2"/>
    <w:rsid w:val="000C1ED8"/>
    <w:rsid w:val="000C5D4B"/>
    <w:rsid w:val="000C717F"/>
    <w:rsid w:val="000C75A9"/>
    <w:rsid w:val="000D0B8F"/>
    <w:rsid w:val="000D4819"/>
    <w:rsid w:val="000D481F"/>
    <w:rsid w:val="000D6D97"/>
    <w:rsid w:val="000D71B9"/>
    <w:rsid w:val="000D7830"/>
    <w:rsid w:val="000E0415"/>
    <w:rsid w:val="000E685A"/>
    <w:rsid w:val="000F21B8"/>
    <w:rsid w:val="000F52D6"/>
    <w:rsid w:val="000F6A20"/>
    <w:rsid w:val="001001A5"/>
    <w:rsid w:val="001036F4"/>
    <w:rsid w:val="001039FD"/>
    <w:rsid w:val="0010461A"/>
    <w:rsid w:val="001106F4"/>
    <w:rsid w:val="00110F3C"/>
    <w:rsid w:val="00111EE7"/>
    <w:rsid w:val="00114FDB"/>
    <w:rsid w:val="00115303"/>
    <w:rsid w:val="00117787"/>
    <w:rsid w:val="00117D0D"/>
    <w:rsid w:val="001209C3"/>
    <w:rsid w:val="00121EB7"/>
    <w:rsid w:val="00123BDC"/>
    <w:rsid w:val="0012588D"/>
    <w:rsid w:val="001272B5"/>
    <w:rsid w:val="00127E60"/>
    <w:rsid w:val="00130DFE"/>
    <w:rsid w:val="00131B10"/>
    <w:rsid w:val="00131B47"/>
    <w:rsid w:val="00131D42"/>
    <w:rsid w:val="00133C50"/>
    <w:rsid w:val="001406F4"/>
    <w:rsid w:val="0014240C"/>
    <w:rsid w:val="00142716"/>
    <w:rsid w:val="00143C6B"/>
    <w:rsid w:val="001448E1"/>
    <w:rsid w:val="00146CFA"/>
    <w:rsid w:val="00154A34"/>
    <w:rsid w:val="001559EB"/>
    <w:rsid w:val="00156996"/>
    <w:rsid w:val="00162E11"/>
    <w:rsid w:val="001633FB"/>
    <w:rsid w:val="00163A1B"/>
    <w:rsid w:val="00164058"/>
    <w:rsid w:val="00165735"/>
    <w:rsid w:val="00167786"/>
    <w:rsid w:val="00171076"/>
    <w:rsid w:val="00173874"/>
    <w:rsid w:val="00181019"/>
    <w:rsid w:val="00182CAC"/>
    <w:rsid w:val="001835BF"/>
    <w:rsid w:val="00184B86"/>
    <w:rsid w:val="00192BCE"/>
    <w:rsid w:val="00196A1B"/>
    <w:rsid w:val="001A02A4"/>
    <w:rsid w:val="001A3B0D"/>
    <w:rsid w:val="001B13F0"/>
    <w:rsid w:val="001B28B7"/>
    <w:rsid w:val="001B3102"/>
    <w:rsid w:val="001B35EE"/>
    <w:rsid w:val="001B4B04"/>
    <w:rsid w:val="001B5DA2"/>
    <w:rsid w:val="001B6B72"/>
    <w:rsid w:val="001B6F2D"/>
    <w:rsid w:val="001B710C"/>
    <w:rsid w:val="001C0055"/>
    <w:rsid w:val="001C18A3"/>
    <w:rsid w:val="001C2208"/>
    <w:rsid w:val="001C429D"/>
    <w:rsid w:val="001C6663"/>
    <w:rsid w:val="001C6854"/>
    <w:rsid w:val="001C7895"/>
    <w:rsid w:val="001D26DF"/>
    <w:rsid w:val="001D2FDC"/>
    <w:rsid w:val="001D3123"/>
    <w:rsid w:val="001D3A88"/>
    <w:rsid w:val="001D4B2D"/>
    <w:rsid w:val="001D4E70"/>
    <w:rsid w:val="001E32DA"/>
    <w:rsid w:val="001E655A"/>
    <w:rsid w:val="001E797C"/>
    <w:rsid w:val="001F273F"/>
    <w:rsid w:val="00211B12"/>
    <w:rsid w:val="00211E0B"/>
    <w:rsid w:val="00213328"/>
    <w:rsid w:val="0021481D"/>
    <w:rsid w:val="00221589"/>
    <w:rsid w:val="00221AC2"/>
    <w:rsid w:val="0022393F"/>
    <w:rsid w:val="0022394D"/>
    <w:rsid w:val="00224CD9"/>
    <w:rsid w:val="002309A7"/>
    <w:rsid w:val="00235381"/>
    <w:rsid w:val="00237785"/>
    <w:rsid w:val="00240E13"/>
    <w:rsid w:val="00241178"/>
    <w:rsid w:val="00241466"/>
    <w:rsid w:val="002440E7"/>
    <w:rsid w:val="00247570"/>
    <w:rsid w:val="00257C1E"/>
    <w:rsid w:val="00261B71"/>
    <w:rsid w:val="002621F5"/>
    <w:rsid w:val="00263A49"/>
    <w:rsid w:val="002708B5"/>
    <w:rsid w:val="00270DDB"/>
    <w:rsid w:val="002725CA"/>
    <w:rsid w:val="00273A92"/>
    <w:rsid w:val="00275F9C"/>
    <w:rsid w:val="00277896"/>
    <w:rsid w:val="00280EB7"/>
    <w:rsid w:val="00287D81"/>
    <w:rsid w:val="002907B0"/>
    <w:rsid w:val="002976CF"/>
    <w:rsid w:val="002A0BD2"/>
    <w:rsid w:val="002A5B17"/>
    <w:rsid w:val="002A6DCE"/>
    <w:rsid w:val="002B0609"/>
    <w:rsid w:val="002B067A"/>
    <w:rsid w:val="002B1514"/>
    <w:rsid w:val="002B1CDA"/>
    <w:rsid w:val="002B2310"/>
    <w:rsid w:val="002C014E"/>
    <w:rsid w:val="002C0681"/>
    <w:rsid w:val="002C72E8"/>
    <w:rsid w:val="002C7F25"/>
    <w:rsid w:val="002D5A85"/>
    <w:rsid w:val="002D5C7D"/>
    <w:rsid w:val="002E35BB"/>
    <w:rsid w:val="002E5DE4"/>
    <w:rsid w:val="002F68FD"/>
    <w:rsid w:val="0030053A"/>
    <w:rsid w:val="00304CDC"/>
    <w:rsid w:val="00306ABF"/>
    <w:rsid w:val="003107FA"/>
    <w:rsid w:val="003147D0"/>
    <w:rsid w:val="00315D73"/>
    <w:rsid w:val="00316FF9"/>
    <w:rsid w:val="00321716"/>
    <w:rsid w:val="003229D8"/>
    <w:rsid w:val="00327D0A"/>
    <w:rsid w:val="003517C3"/>
    <w:rsid w:val="00355502"/>
    <w:rsid w:val="00356BC7"/>
    <w:rsid w:val="00357A20"/>
    <w:rsid w:val="00360777"/>
    <w:rsid w:val="00361A5F"/>
    <w:rsid w:val="003667C8"/>
    <w:rsid w:val="00372F06"/>
    <w:rsid w:val="003734CA"/>
    <w:rsid w:val="00375904"/>
    <w:rsid w:val="0038642D"/>
    <w:rsid w:val="00391647"/>
    <w:rsid w:val="0039277A"/>
    <w:rsid w:val="00396F6A"/>
    <w:rsid w:val="003972E0"/>
    <w:rsid w:val="003A1EC2"/>
    <w:rsid w:val="003A342A"/>
    <w:rsid w:val="003A43F9"/>
    <w:rsid w:val="003A52D7"/>
    <w:rsid w:val="003A5A16"/>
    <w:rsid w:val="003B0EEF"/>
    <w:rsid w:val="003C0657"/>
    <w:rsid w:val="003C18C9"/>
    <w:rsid w:val="003C2CC4"/>
    <w:rsid w:val="003C2D54"/>
    <w:rsid w:val="003C655D"/>
    <w:rsid w:val="003D013F"/>
    <w:rsid w:val="003D4B23"/>
    <w:rsid w:val="003E012C"/>
    <w:rsid w:val="003F23A4"/>
    <w:rsid w:val="003F5B52"/>
    <w:rsid w:val="00400604"/>
    <w:rsid w:val="00401CDD"/>
    <w:rsid w:val="00403EC6"/>
    <w:rsid w:val="00406CD4"/>
    <w:rsid w:val="00430086"/>
    <w:rsid w:val="00430918"/>
    <w:rsid w:val="004325CB"/>
    <w:rsid w:val="004354EE"/>
    <w:rsid w:val="00435F8D"/>
    <w:rsid w:val="00437F3F"/>
    <w:rsid w:val="00441F35"/>
    <w:rsid w:val="004420B6"/>
    <w:rsid w:val="00443C8A"/>
    <w:rsid w:val="00446DE4"/>
    <w:rsid w:val="00452D10"/>
    <w:rsid w:val="004533A7"/>
    <w:rsid w:val="00454036"/>
    <w:rsid w:val="00455E0F"/>
    <w:rsid w:val="004562AA"/>
    <w:rsid w:val="0046443A"/>
    <w:rsid w:val="004653B3"/>
    <w:rsid w:val="004654C4"/>
    <w:rsid w:val="0046668F"/>
    <w:rsid w:val="0046773D"/>
    <w:rsid w:val="0046788D"/>
    <w:rsid w:val="0048304D"/>
    <w:rsid w:val="004832AA"/>
    <w:rsid w:val="00484A9B"/>
    <w:rsid w:val="00485DC7"/>
    <w:rsid w:val="00486816"/>
    <w:rsid w:val="00487D4C"/>
    <w:rsid w:val="00492AF9"/>
    <w:rsid w:val="00494C77"/>
    <w:rsid w:val="00497711"/>
    <w:rsid w:val="00497E4F"/>
    <w:rsid w:val="004B2C9D"/>
    <w:rsid w:val="004B5939"/>
    <w:rsid w:val="004B5C97"/>
    <w:rsid w:val="004B73D6"/>
    <w:rsid w:val="004C39D0"/>
    <w:rsid w:val="004C4F1A"/>
    <w:rsid w:val="004C6D6D"/>
    <w:rsid w:val="004D2DA8"/>
    <w:rsid w:val="004E0C5D"/>
    <w:rsid w:val="004E2C4F"/>
    <w:rsid w:val="004E372F"/>
    <w:rsid w:val="004E3D60"/>
    <w:rsid w:val="004E487D"/>
    <w:rsid w:val="004E68B5"/>
    <w:rsid w:val="004F4240"/>
    <w:rsid w:val="004F77CD"/>
    <w:rsid w:val="00500194"/>
    <w:rsid w:val="005008C4"/>
    <w:rsid w:val="00507CF1"/>
    <w:rsid w:val="00511208"/>
    <w:rsid w:val="00513684"/>
    <w:rsid w:val="00522177"/>
    <w:rsid w:val="00523ABF"/>
    <w:rsid w:val="00527910"/>
    <w:rsid w:val="005322D3"/>
    <w:rsid w:val="005327A3"/>
    <w:rsid w:val="005420F2"/>
    <w:rsid w:val="0054211E"/>
    <w:rsid w:val="00542505"/>
    <w:rsid w:val="005449AE"/>
    <w:rsid w:val="005475D4"/>
    <w:rsid w:val="00552899"/>
    <w:rsid w:val="00554BDC"/>
    <w:rsid w:val="00555CDB"/>
    <w:rsid w:val="00561B6D"/>
    <w:rsid w:val="00562D45"/>
    <w:rsid w:val="0056615B"/>
    <w:rsid w:val="00567DFB"/>
    <w:rsid w:val="00571DAA"/>
    <w:rsid w:val="005725F9"/>
    <w:rsid w:val="00572F9D"/>
    <w:rsid w:val="005730C1"/>
    <w:rsid w:val="00574DB2"/>
    <w:rsid w:val="0057573C"/>
    <w:rsid w:val="0058129D"/>
    <w:rsid w:val="005829D1"/>
    <w:rsid w:val="00590144"/>
    <w:rsid w:val="00594F31"/>
    <w:rsid w:val="00595944"/>
    <w:rsid w:val="0059682C"/>
    <w:rsid w:val="005A0B37"/>
    <w:rsid w:val="005A64DD"/>
    <w:rsid w:val="005B029F"/>
    <w:rsid w:val="005B09F0"/>
    <w:rsid w:val="005B0CED"/>
    <w:rsid w:val="005B3DB3"/>
    <w:rsid w:val="005B528A"/>
    <w:rsid w:val="005C4CB5"/>
    <w:rsid w:val="005D0C6C"/>
    <w:rsid w:val="005D3EC1"/>
    <w:rsid w:val="005D4B5B"/>
    <w:rsid w:val="005E5946"/>
    <w:rsid w:val="005F1AB7"/>
    <w:rsid w:val="005F3A39"/>
    <w:rsid w:val="005F5C2F"/>
    <w:rsid w:val="005F7BB1"/>
    <w:rsid w:val="00600285"/>
    <w:rsid w:val="00602490"/>
    <w:rsid w:val="00603E3C"/>
    <w:rsid w:val="00611FC4"/>
    <w:rsid w:val="00612812"/>
    <w:rsid w:val="006143EA"/>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2614"/>
    <w:rsid w:val="00662121"/>
    <w:rsid w:val="00662E09"/>
    <w:rsid w:val="00667788"/>
    <w:rsid w:val="00667AAD"/>
    <w:rsid w:val="006703B6"/>
    <w:rsid w:val="00670CF0"/>
    <w:rsid w:val="006738A8"/>
    <w:rsid w:val="00674FF0"/>
    <w:rsid w:val="00675F87"/>
    <w:rsid w:val="00677380"/>
    <w:rsid w:val="00683778"/>
    <w:rsid w:val="00684C14"/>
    <w:rsid w:val="00690C20"/>
    <w:rsid w:val="00690CD6"/>
    <w:rsid w:val="006960A9"/>
    <w:rsid w:val="006A048B"/>
    <w:rsid w:val="006A1458"/>
    <w:rsid w:val="006A3932"/>
    <w:rsid w:val="006A3FCC"/>
    <w:rsid w:val="006A63E3"/>
    <w:rsid w:val="006A7392"/>
    <w:rsid w:val="006B1C55"/>
    <w:rsid w:val="006B2F18"/>
    <w:rsid w:val="006C0D34"/>
    <w:rsid w:val="006C1D3B"/>
    <w:rsid w:val="006C251B"/>
    <w:rsid w:val="006C2F7E"/>
    <w:rsid w:val="006D1E57"/>
    <w:rsid w:val="006D1F4D"/>
    <w:rsid w:val="006D1FCA"/>
    <w:rsid w:val="006D3560"/>
    <w:rsid w:val="006D5A79"/>
    <w:rsid w:val="006D7E3D"/>
    <w:rsid w:val="006E3B65"/>
    <w:rsid w:val="006E564B"/>
    <w:rsid w:val="007008CB"/>
    <w:rsid w:val="007025C0"/>
    <w:rsid w:val="00707F04"/>
    <w:rsid w:val="00711637"/>
    <w:rsid w:val="00714F4F"/>
    <w:rsid w:val="0071521B"/>
    <w:rsid w:val="007245CD"/>
    <w:rsid w:val="007245FA"/>
    <w:rsid w:val="0072632A"/>
    <w:rsid w:val="00736E6A"/>
    <w:rsid w:val="00741F59"/>
    <w:rsid w:val="0074697D"/>
    <w:rsid w:val="0075168C"/>
    <w:rsid w:val="0075315E"/>
    <w:rsid w:val="00753319"/>
    <w:rsid w:val="00755EBE"/>
    <w:rsid w:val="00755F90"/>
    <w:rsid w:val="00757827"/>
    <w:rsid w:val="00761619"/>
    <w:rsid w:val="0076177C"/>
    <w:rsid w:val="00763C33"/>
    <w:rsid w:val="00766322"/>
    <w:rsid w:val="00766B1B"/>
    <w:rsid w:val="00770BCD"/>
    <w:rsid w:val="00770D3F"/>
    <w:rsid w:val="00771904"/>
    <w:rsid w:val="00773353"/>
    <w:rsid w:val="00774129"/>
    <w:rsid w:val="00774E8F"/>
    <w:rsid w:val="00774EAA"/>
    <w:rsid w:val="00780EB5"/>
    <w:rsid w:val="0078123B"/>
    <w:rsid w:val="007827D7"/>
    <w:rsid w:val="00784656"/>
    <w:rsid w:val="00786434"/>
    <w:rsid w:val="0078669C"/>
    <w:rsid w:val="00790791"/>
    <w:rsid w:val="007918E7"/>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E7DFF"/>
    <w:rsid w:val="007F2A54"/>
    <w:rsid w:val="007F444F"/>
    <w:rsid w:val="007F5104"/>
    <w:rsid w:val="007F6611"/>
    <w:rsid w:val="00800024"/>
    <w:rsid w:val="008037A2"/>
    <w:rsid w:val="00811097"/>
    <w:rsid w:val="0081414F"/>
    <w:rsid w:val="00816582"/>
    <w:rsid w:val="008165B6"/>
    <w:rsid w:val="008175E9"/>
    <w:rsid w:val="00820A2D"/>
    <w:rsid w:val="008242D7"/>
    <w:rsid w:val="00826C09"/>
    <w:rsid w:val="0083043E"/>
    <w:rsid w:val="0083069A"/>
    <w:rsid w:val="00832A1D"/>
    <w:rsid w:val="00834479"/>
    <w:rsid w:val="00834C79"/>
    <w:rsid w:val="00843AB2"/>
    <w:rsid w:val="00846809"/>
    <w:rsid w:val="008574DA"/>
    <w:rsid w:val="008604BA"/>
    <w:rsid w:val="00860785"/>
    <w:rsid w:val="0086107D"/>
    <w:rsid w:val="0086335F"/>
    <w:rsid w:val="00864251"/>
    <w:rsid w:val="00866995"/>
    <w:rsid w:val="00871FD5"/>
    <w:rsid w:val="00881213"/>
    <w:rsid w:val="008813D6"/>
    <w:rsid w:val="00892009"/>
    <w:rsid w:val="00895269"/>
    <w:rsid w:val="008979B1"/>
    <w:rsid w:val="008A0B75"/>
    <w:rsid w:val="008A1542"/>
    <w:rsid w:val="008A57D9"/>
    <w:rsid w:val="008A6B25"/>
    <w:rsid w:val="008A6C4F"/>
    <w:rsid w:val="008A7679"/>
    <w:rsid w:val="008A7AB3"/>
    <w:rsid w:val="008B3478"/>
    <w:rsid w:val="008B65FB"/>
    <w:rsid w:val="008C3B3C"/>
    <w:rsid w:val="008C3C74"/>
    <w:rsid w:val="008C4283"/>
    <w:rsid w:val="008C620E"/>
    <w:rsid w:val="008C74C3"/>
    <w:rsid w:val="008C7BF7"/>
    <w:rsid w:val="008D134F"/>
    <w:rsid w:val="008D3C75"/>
    <w:rsid w:val="008D6942"/>
    <w:rsid w:val="008E0E46"/>
    <w:rsid w:val="008E15F2"/>
    <w:rsid w:val="008E1DAE"/>
    <w:rsid w:val="008E295A"/>
    <w:rsid w:val="008E4B13"/>
    <w:rsid w:val="008E5A6F"/>
    <w:rsid w:val="008F2D9A"/>
    <w:rsid w:val="008F44B8"/>
    <w:rsid w:val="008F504A"/>
    <w:rsid w:val="00904EBC"/>
    <w:rsid w:val="0090623D"/>
    <w:rsid w:val="00916335"/>
    <w:rsid w:val="00921BEF"/>
    <w:rsid w:val="00923019"/>
    <w:rsid w:val="009242B0"/>
    <w:rsid w:val="00924B63"/>
    <w:rsid w:val="009363B6"/>
    <w:rsid w:val="00940F46"/>
    <w:rsid w:val="00941ECC"/>
    <w:rsid w:val="00945A5D"/>
    <w:rsid w:val="00946250"/>
    <w:rsid w:val="00946A0D"/>
    <w:rsid w:val="00947F38"/>
    <w:rsid w:val="009545BB"/>
    <w:rsid w:val="00955109"/>
    <w:rsid w:val="00961362"/>
    <w:rsid w:val="0096164A"/>
    <w:rsid w:val="00963B67"/>
    <w:rsid w:val="00963CBA"/>
    <w:rsid w:val="00966912"/>
    <w:rsid w:val="009701ED"/>
    <w:rsid w:val="009760CA"/>
    <w:rsid w:val="00984471"/>
    <w:rsid w:val="00985F37"/>
    <w:rsid w:val="009879EA"/>
    <w:rsid w:val="009908A5"/>
    <w:rsid w:val="0099124E"/>
    <w:rsid w:val="00991261"/>
    <w:rsid w:val="009950A3"/>
    <w:rsid w:val="009953D5"/>
    <w:rsid w:val="009A1D29"/>
    <w:rsid w:val="009A3A89"/>
    <w:rsid w:val="009A3B12"/>
    <w:rsid w:val="009A4740"/>
    <w:rsid w:val="009A4FE2"/>
    <w:rsid w:val="009A5D20"/>
    <w:rsid w:val="009B025E"/>
    <w:rsid w:val="009B140E"/>
    <w:rsid w:val="009B72E4"/>
    <w:rsid w:val="009B798F"/>
    <w:rsid w:val="009C31D5"/>
    <w:rsid w:val="009C5D1E"/>
    <w:rsid w:val="009C6394"/>
    <w:rsid w:val="009D0E2A"/>
    <w:rsid w:val="009D0F0E"/>
    <w:rsid w:val="009D1AAE"/>
    <w:rsid w:val="009D634E"/>
    <w:rsid w:val="009D6CA8"/>
    <w:rsid w:val="009E1560"/>
    <w:rsid w:val="009E47FC"/>
    <w:rsid w:val="009F0F06"/>
    <w:rsid w:val="009F3C03"/>
    <w:rsid w:val="009F4EEB"/>
    <w:rsid w:val="009F4FC5"/>
    <w:rsid w:val="009F77AD"/>
    <w:rsid w:val="00A031BD"/>
    <w:rsid w:val="00A07F24"/>
    <w:rsid w:val="00A1427D"/>
    <w:rsid w:val="00A159CB"/>
    <w:rsid w:val="00A22FE4"/>
    <w:rsid w:val="00A235F1"/>
    <w:rsid w:val="00A2784C"/>
    <w:rsid w:val="00A27A9B"/>
    <w:rsid w:val="00A34B00"/>
    <w:rsid w:val="00A3777A"/>
    <w:rsid w:val="00A50077"/>
    <w:rsid w:val="00A51778"/>
    <w:rsid w:val="00A54CA8"/>
    <w:rsid w:val="00A563A0"/>
    <w:rsid w:val="00A57236"/>
    <w:rsid w:val="00A60196"/>
    <w:rsid w:val="00A6199C"/>
    <w:rsid w:val="00A61FC3"/>
    <w:rsid w:val="00A622AF"/>
    <w:rsid w:val="00A65229"/>
    <w:rsid w:val="00A65F4A"/>
    <w:rsid w:val="00A66636"/>
    <w:rsid w:val="00A71119"/>
    <w:rsid w:val="00A72F22"/>
    <w:rsid w:val="00A744D7"/>
    <w:rsid w:val="00A748A6"/>
    <w:rsid w:val="00A74A46"/>
    <w:rsid w:val="00A75EC9"/>
    <w:rsid w:val="00A810D4"/>
    <w:rsid w:val="00A83538"/>
    <w:rsid w:val="00A8523D"/>
    <w:rsid w:val="00A85DF5"/>
    <w:rsid w:val="00A879A4"/>
    <w:rsid w:val="00A940D4"/>
    <w:rsid w:val="00AA142F"/>
    <w:rsid w:val="00AA1D9A"/>
    <w:rsid w:val="00AA32EB"/>
    <w:rsid w:val="00AB382F"/>
    <w:rsid w:val="00AB3D4E"/>
    <w:rsid w:val="00AB4CF1"/>
    <w:rsid w:val="00AC0D78"/>
    <w:rsid w:val="00AC1990"/>
    <w:rsid w:val="00AC31E3"/>
    <w:rsid w:val="00AD34EE"/>
    <w:rsid w:val="00AD3821"/>
    <w:rsid w:val="00AD40DE"/>
    <w:rsid w:val="00AD7C88"/>
    <w:rsid w:val="00AE45DE"/>
    <w:rsid w:val="00AE6851"/>
    <w:rsid w:val="00AF0878"/>
    <w:rsid w:val="00AF1FD0"/>
    <w:rsid w:val="00AF2F9D"/>
    <w:rsid w:val="00AF33AD"/>
    <w:rsid w:val="00AF5B37"/>
    <w:rsid w:val="00AF6710"/>
    <w:rsid w:val="00B013E6"/>
    <w:rsid w:val="00B03306"/>
    <w:rsid w:val="00B04D66"/>
    <w:rsid w:val="00B10C19"/>
    <w:rsid w:val="00B1157C"/>
    <w:rsid w:val="00B1501F"/>
    <w:rsid w:val="00B161F0"/>
    <w:rsid w:val="00B24740"/>
    <w:rsid w:val="00B26710"/>
    <w:rsid w:val="00B26B3C"/>
    <w:rsid w:val="00B30179"/>
    <w:rsid w:val="00B3317B"/>
    <w:rsid w:val="00B34CAE"/>
    <w:rsid w:val="00B354DC"/>
    <w:rsid w:val="00B41384"/>
    <w:rsid w:val="00B4398E"/>
    <w:rsid w:val="00B47274"/>
    <w:rsid w:val="00B5392B"/>
    <w:rsid w:val="00B57A89"/>
    <w:rsid w:val="00B64269"/>
    <w:rsid w:val="00B715BF"/>
    <w:rsid w:val="00B717D8"/>
    <w:rsid w:val="00B71E2B"/>
    <w:rsid w:val="00B72B30"/>
    <w:rsid w:val="00B73DA8"/>
    <w:rsid w:val="00B74F7C"/>
    <w:rsid w:val="00B75E05"/>
    <w:rsid w:val="00B81E12"/>
    <w:rsid w:val="00B84AAC"/>
    <w:rsid w:val="00B85381"/>
    <w:rsid w:val="00B90C81"/>
    <w:rsid w:val="00B90F54"/>
    <w:rsid w:val="00B91CC3"/>
    <w:rsid w:val="00B92A0C"/>
    <w:rsid w:val="00B93068"/>
    <w:rsid w:val="00B93292"/>
    <w:rsid w:val="00BA0CBC"/>
    <w:rsid w:val="00BB176D"/>
    <w:rsid w:val="00BB3B28"/>
    <w:rsid w:val="00BC0C09"/>
    <w:rsid w:val="00BC74E9"/>
    <w:rsid w:val="00BD586C"/>
    <w:rsid w:val="00BD6433"/>
    <w:rsid w:val="00BE0D90"/>
    <w:rsid w:val="00BE1A4B"/>
    <w:rsid w:val="00BE1FF8"/>
    <w:rsid w:val="00BE4967"/>
    <w:rsid w:val="00BE50CA"/>
    <w:rsid w:val="00BE618E"/>
    <w:rsid w:val="00BF08ED"/>
    <w:rsid w:val="00C0263F"/>
    <w:rsid w:val="00C039FA"/>
    <w:rsid w:val="00C03B44"/>
    <w:rsid w:val="00C078F8"/>
    <w:rsid w:val="00C13A85"/>
    <w:rsid w:val="00C218A4"/>
    <w:rsid w:val="00C2317D"/>
    <w:rsid w:val="00C31109"/>
    <w:rsid w:val="00C36D37"/>
    <w:rsid w:val="00C40FDC"/>
    <w:rsid w:val="00C463DD"/>
    <w:rsid w:val="00C46D5B"/>
    <w:rsid w:val="00C537D5"/>
    <w:rsid w:val="00C54ADB"/>
    <w:rsid w:val="00C54CEA"/>
    <w:rsid w:val="00C61DA2"/>
    <w:rsid w:val="00C62F76"/>
    <w:rsid w:val="00C666C2"/>
    <w:rsid w:val="00C66D78"/>
    <w:rsid w:val="00C7150F"/>
    <w:rsid w:val="00C72913"/>
    <w:rsid w:val="00C745C3"/>
    <w:rsid w:val="00C81212"/>
    <w:rsid w:val="00C84FF1"/>
    <w:rsid w:val="00C8629C"/>
    <w:rsid w:val="00C91180"/>
    <w:rsid w:val="00C93C11"/>
    <w:rsid w:val="00C96ECD"/>
    <w:rsid w:val="00C971F6"/>
    <w:rsid w:val="00CA049C"/>
    <w:rsid w:val="00CA381C"/>
    <w:rsid w:val="00CA5E74"/>
    <w:rsid w:val="00CA74D3"/>
    <w:rsid w:val="00CB2158"/>
    <w:rsid w:val="00CB6380"/>
    <w:rsid w:val="00CC2B2B"/>
    <w:rsid w:val="00CC4CA6"/>
    <w:rsid w:val="00CD0009"/>
    <w:rsid w:val="00CD30EE"/>
    <w:rsid w:val="00CD3225"/>
    <w:rsid w:val="00CD7CCE"/>
    <w:rsid w:val="00CE21D9"/>
    <w:rsid w:val="00CE4083"/>
    <w:rsid w:val="00CE46BA"/>
    <w:rsid w:val="00CE4A8F"/>
    <w:rsid w:val="00CE6FBE"/>
    <w:rsid w:val="00CF1050"/>
    <w:rsid w:val="00CF6F32"/>
    <w:rsid w:val="00CF778D"/>
    <w:rsid w:val="00D01746"/>
    <w:rsid w:val="00D029E2"/>
    <w:rsid w:val="00D0631B"/>
    <w:rsid w:val="00D06C3A"/>
    <w:rsid w:val="00D06F88"/>
    <w:rsid w:val="00D164BA"/>
    <w:rsid w:val="00D2031B"/>
    <w:rsid w:val="00D25E8C"/>
    <w:rsid w:val="00D25FE2"/>
    <w:rsid w:val="00D26740"/>
    <w:rsid w:val="00D27E89"/>
    <w:rsid w:val="00D317D0"/>
    <w:rsid w:val="00D33DE8"/>
    <w:rsid w:val="00D35135"/>
    <w:rsid w:val="00D37E80"/>
    <w:rsid w:val="00D40F5B"/>
    <w:rsid w:val="00D43252"/>
    <w:rsid w:val="00D46231"/>
    <w:rsid w:val="00D477C4"/>
    <w:rsid w:val="00D47F84"/>
    <w:rsid w:val="00D54088"/>
    <w:rsid w:val="00D5409C"/>
    <w:rsid w:val="00D57C13"/>
    <w:rsid w:val="00D57FD9"/>
    <w:rsid w:val="00D60685"/>
    <w:rsid w:val="00D610C1"/>
    <w:rsid w:val="00D658FA"/>
    <w:rsid w:val="00D730E3"/>
    <w:rsid w:val="00D753D8"/>
    <w:rsid w:val="00D9274F"/>
    <w:rsid w:val="00D96248"/>
    <w:rsid w:val="00D96CC5"/>
    <w:rsid w:val="00D9735F"/>
    <w:rsid w:val="00D978C6"/>
    <w:rsid w:val="00D97B77"/>
    <w:rsid w:val="00DA0055"/>
    <w:rsid w:val="00DA5397"/>
    <w:rsid w:val="00DA6620"/>
    <w:rsid w:val="00DA67AD"/>
    <w:rsid w:val="00DB072B"/>
    <w:rsid w:val="00DB2D4D"/>
    <w:rsid w:val="00DB4967"/>
    <w:rsid w:val="00DD026E"/>
    <w:rsid w:val="00DD42A0"/>
    <w:rsid w:val="00DD4C95"/>
    <w:rsid w:val="00DE027F"/>
    <w:rsid w:val="00DE236F"/>
    <w:rsid w:val="00DE3E90"/>
    <w:rsid w:val="00DE3ECB"/>
    <w:rsid w:val="00DE4785"/>
    <w:rsid w:val="00DE7267"/>
    <w:rsid w:val="00DF0A4D"/>
    <w:rsid w:val="00DF18DA"/>
    <w:rsid w:val="00DF3039"/>
    <w:rsid w:val="00DF3A04"/>
    <w:rsid w:val="00DF4518"/>
    <w:rsid w:val="00DF56CE"/>
    <w:rsid w:val="00E01324"/>
    <w:rsid w:val="00E04F8A"/>
    <w:rsid w:val="00E130AB"/>
    <w:rsid w:val="00E1679E"/>
    <w:rsid w:val="00E16956"/>
    <w:rsid w:val="00E16BD2"/>
    <w:rsid w:val="00E17678"/>
    <w:rsid w:val="00E178A1"/>
    <w:rsid w:val="00E239A0"/>
    <w:rsid w:val="00E2792B"/>
    <w:rsid w:val="00E27BAA"/>
    <w:rsid w:val="00E32E00"/>
    <w:rsid w:val="00E34E58"/>
    <w:rsid w:val="00E36838"/>
    <w:rsid w:val="00E36C10"/>
    <w:rsid w:val="00E37EBA"/>
    <w:rsid w:val="00E40B76"/>
    <w:rsid w:val="00E42461"/>
    <w:rsid w:val="00E4393B"/>
    <w:rsid w:val="00E4443D"/>
    <w:rsid w:val="00E4688C"/>
    <w:rsid w:val="00E52EB0"/>
    <w:rsid w:val="00E54352"/>
    <w:rsid w:val="00E5644E"/>
    <w:rsid w:val="00E5691C"/>
    <w:rsid w:val="00E601C0"/>
    <w:rsid w:val="00E605F8"/>
    <w:rsid w:val="00E631BA"/>
    <w:rsid w:val="00E6613A"/>
    <w:rsid w:val="00E67816"/>
    <w:rsid w:val="00E7260F"/>
    <w:rsid w:val="00E730D8"/>
    <w:rsid w:val="00E73EB3"/>
    <w:rsid w:val="00E769C0"/>
    <w:rsid w:val="00E80E28"/>
    <w:rsid w:val="00E81230"/>
    <w:rsid w:val="00E8535A"/>
    <w:rsid w:val="00E864BE"/>
    <w:rsid w:val="00E90647"/>
    <w:rsid w:val="00E93C5C"/>
    <w:rsid w:val="00E96630"/>
    <w:rsid w:val="00EA0364"/>
    <w:rsid w:val="00EA48C4"/>
    <w:rsid w:val="00EA5700"/>
    <w:rsid w:val="00EA597A"/>
    <w:rsid w:val="00EA722C"/>
    <w:rsid w:val="00EA772F"/>
    <w:rsid w:val="00EB291B"/>
    <w:rsid w:val="00EB2AE3"/>
    <w:rsid w:val="00EB4C06"/>
    <w:rsid w:val="00EB51D5"/>
    <w:rsid w:val="00EB65EF"/>
    <w:rsid w:val="00EB6832"/>
    <w:rsid w:val="00EB6C04"/>
    <w:rsid w:val="00EB71BA"/>
    <w:rsid w:val="00EB798F"/>
    <w:rsid w:val="00EC14E9"/>
    <w:rsid w:val="00EC271A"/>
    <w:rsid w:val="00EC5CD2"/>
    <w:rsid w:val="00EC755A"/>
    <w:rsid w:val="00ED1B72"/>
    <w:rsid w:val="00ED1D48"/>
    <w:rsid w:val="00ED3508"/>
    <w:rsid w:val="00ED3F6F"/>
    <w:rsid w:val="00ED4023"/>
    <w:rsid w:val="00ED7A2A"/>
    <w:rsid w:val="00EE1B32"/>
    <w:rsid w:val="00EE2247"/>
    <w:rsid w:val="00EE3EB7"/>
    <w:rsid w:val="00EE4D59"/>
    <w:rsid w:val="00EE73C3"/>
    <w:rsid w:val="00EF0FC6"/>
    <w:rsid w:val="00EF1D7F"/>
    <w:rsid w:val="00EF4AAC"/>
    <w:rsid w:val="00EF5AFA"/>
    <w:rsid w:val="00F00E46"/>
    <w:rsid w:val="00F01C57"/>
    <w:rsid w:val="00F02060"/>
    <w:rsid w:val="00F03FA2"/>
    <w:rsid w:val="00F05283"/>
    <w:rsid w:val="00F07537"/>
    <w:rsid w:val="00F075EF"/>
    <w:rsid w:val="00F07E12"/>
    <w:rsid w:val="00F11ABA"/>
    <w:rsid w:val="00F1200D"/>
    <w:rsid w:val="00F1497B"/>
    <w:rsid w:val="00F162F4"/>
    <w:rsid w:val="00F21360"/>
    <w:rsid w:val="00F2304A"/>
    <w:rsid w:val="00F30A8A"/>
    <w:rsid w:val="00F34267"/>
    <w:rsid w:val="00F3574D"/>
    <w:rsid w:val="00F3681F"/>
    <w:rsid w:val="00F36C43"/>
    <w:rsid w:val="00F40295"/>
    <w:rsid w:val="00F40E75"/>
    <w:rsid w:val="00F412D3"/>
    <w:rsid w:val="00F444E3"/>
    <w:rsid w:val="00F5087E"/>
    <w:rsid w:val="00F50D35"/>
    <w:rsid w:val="00F51BAB"/>
    <w:rsid w:val="00F535BE"/>
    <w:rsid w:val="00F54674"/>
    <w:rsid w:val="00F54A7E"/>
    <w:rsid w:val="00F570EA"/>
    <w:rsid w:val="00F57557"/>
    <w:rsid w:val="00F6396F"/>
    <w:rsid w:val="00F64C95"/>
    <w:rsid w:val="00F65C0A"/>
    <w:rsid w:val="00F74116"/>
    <w:rsid w:val="00F75E96"/>
    <w:rsid w:val="00F77CF6"/>
    <w:rsid w:val="00F81BD1"/>
    <w:rsid w:val="00F83E5C"/>
    <w:rsid w:val="00FA00A0"/>
    <w:rsid w:val="00FA26B1"/>
    <w:rsid w:val="00FA2BF7"/>
    <w:rsid w:val="00FA3FB7"/>
    <w:rsid w:val="00FA65A2"/>
    <w:rsid w:val="00FB5A37"/>
    <w:rsid w:val="00FB5F32"/>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8D7D0"/>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25141395">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259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4BA9-FF1F-4230-BF53-01DF2E72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2019-06-13T09:21:00Z</cp:lastPrinted>
  <dcterms:created xsi:type="dcterms:W3CDTF">2019-06-13T07:41:00Z</dcterms:created>
  <dcterms:modified xsi:type="dcterms:W3CDTF">2019-06-13T09:21:00Z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