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74E1C" w14:paraId="343732D6" w14:textId="77777777" w:rsidTr="000303F7">
        <w:trPr>
          <w:trHeight w:val="851"/>
        </w:trPr>
        <w:tc>
          <w:tcPr>
            <w:tcW w:w="1259" w:type="dxa"/>
            <w:shd w:val="clear" w:color="auto" w:fill="auto"/>
          </w:tcPr>
          <w:p w14:paraId="04971942" w14:textId="77777777" w:rsidR="00446DE4" w:rsidRPr="001039FD" w:rsidRDefault="00446DE4" w:rsidP="000216CC">
            <w:pPr>
              <w:spacing w:after="80" w:line="340" w:lineRule="exact"/>
            </w:pPr>
          </w:p>
        </w:tc>
        <w:tc>
          <w:tcPr>
            <w:tcW w:w="2236" w:type="dxa"/>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01E901AB" w14:textId="7F0402C7"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705FF3">
              <w:rPr>
                <w:b/>
                <w:sz w:val="40"/>
                <w:szCs w:val="40"/>
                <w:lang w:val="fr-CH"/>
              </w:rPr>
              <w:t>20</w:t>
            </w:r>
          </w:p>
          <w:p w14:paraId="1B05B920" w14:textId="00E18840" w:rsidR="00FC215C" w:rsidRPr="00947F38" w:rsidRDefault="0008715C" w:rsidP="00FC215C">
            <w:pPr>
              <w:jc w:val="right"/>
              <w:rPr>
                <w:b/>
                <w:sz w:val="40"/>
                <w:szCs w:val="40"/>
                <w:lang w:val="fr-CH"/>
              </w:rPr>
            </w:pPr>
            <w:r w:rsidRPr="00F72D49">
              <w:rPr>
                <w:b/>
                <w:sz w:val="40"/>
                <w:szCs w:val="40"/>
                <w:lang w:val="fr-FR"/>
              </w:rPr>
              <w:t>UN/SCEGHS/37/INF.</w:t>
            </w:r>
            <w:r w:rsidR="00705FF3">
              <w:rPr>
                <w:b/>
                <w:sz w:val="40"/>
                <w:szCs w:val="40"/>
                <w:lang w:val="fr-FR"/>
              </w:rPr>
              <w:t>9</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5A8BD185" w:rsidR="00645A0B" w:rsidRPr="001039FD" w:rsidRDefault="00645A0B" w:rsidP="00D45FE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705FF3">
              <w:rPr>
                <w:b/>
              </w:rPr>
              <w:t>11</w:t>
            </w:r>
            <w:r w:rsidR="00A94962">
              <w:rPr>
                <w:b/>
              </w:rPr>
              <w:t xml:space="preserve"> </w:t>
            </w:r>
            <w:r w:rsidR="00D45FE3">
              <w:rPr>
                <w:b/>
              </w:rPr>
              <w:t>June</w:t>
            </w:r>
            <w:r w:rsidR="00A94962">
              <w:rPr>
                <w:b/>
              </w:rPr>
              <w:t xml:space="preserve"> 2019</w:t>
            </w:r>
          </w:p>
        </w:tc>
      </w:tr>
      <w:tr w:rsidR="006B30F1" w:rsidRPr="001039FD" w14:paraId="0E3B19FA" w14:textId="77777777" w:rsidTr="00E528E3">
        <w:tc>
          <w:tcPr>
            <w:tcW w:w="4652" w:type="dxa"/>
            <w:tcMar>
              <w:top w:w="57" w:type="dxa"/>
              <w:left w:w="108" w:type="dxa"/>
              <w:bottom w:w="0" w:type="dxa"/>
              <w:right w:w="108" w:type="dxa"/>
            </w:tcMar>
            <w:vAlign w:val="center"/>
          </w:tcPr>
          <w:p w14:paraId="27DC77F0" w14:textId="04C51F6A"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14:paraId="4FF1E716" w14:textId="34B69A5F"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14:paraId="30683080" w14:textId="77777777" w:rsidTr="00165735">
        <w:tc>
          <w:tcPr>
            <w:tcW w:w="4652" w:type="dxa"/>
            <w:tcMar>
              <w:top w:w="57" w:type="dxa"/>
              <w:left w:w="108" w:type="dxa"/>
              <w:bottom w:w="0" w:type="dxa"/>
              <w:right w:w="108" w:type="dxa"/>
            </w:tcMar>
          </w:tcPr>
          <w:p w14:paraId="0C603D47" w14:textId="46C6120A"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14:paraId="631B7BC5" w14:textId="21747814"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14:paraId="37141C3A" w14:textId="77777777" w:rsidTr="00165735">
        <w:tc>
          <w:tcPr>
            <w:tcW w:w="4652" w:type="dxa"/>
            <w:tcMar>
              <w:top w:w="28" w:type="dxa"/>
              <w:left w:w="108" w:type="dxa"/>
              <w:bottom w:w="0" w:type="dxa"/>
              <w:right w:w="108" w:type="dxa"/>
            </w:tcMar>
          </w:tcPr>
          <w:p w14:paraId="2819629D" w14:textId="18B07EB0"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14:paraId="70E8D8C7" w14:textId="400B88BE" w:rsidR="00244DC1" w:rsidRPr="00061070" w:rsidRDefault="00244DC1" w:rsidP="00244DC1">
            <w:pPr>
              <w:spacing w:before="40"/>
              <w:ind w:left="34" w:hanging="34"/>
            </w:pPr>
            <w:r w:rsidRPr="00061070">
              <w:t>Item 2</w:t>
            </w:r>
            <w:r>
              <w:t xml:space="preserve"> </w:t>
            </w:r>
            <w:r w:rsidRPr="00061070">
              <w:t>(</w:t>
            </w:r>
            <w:r w:rsidR="000A1B5A">
              <w:t>h</w:t>
            </w:r>
            <w:r w:rsidRPr="00061070">
              <w:t>) of the provisional agenda</w:t>
            </w:r>
          </w:p>
          <w:p w14:paraId="2FD14FE4" w14:textId="2C788F40"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r>
            <w:r w:rsidR="00BD16FB" w:rsidRPr="00BD16FB">
              <w:rPr>
                <w:b/>
              </w:rPr>
              <w:t>Review of Chapter 2.1 of the GHS</w:t>
            </w:r>
          </w:p>
        </w:tc>
        <w:tc>
          <w:tcPr>
            <w:tcW w:w="4993" w:type="dxa"/>
            <w:tcMar>
              <w:top w:w="28" w:type="dxa"/>
              <w:left w:w="108" w:type="dxa"/>
              <w:bottom w:w="0" w:type="dxa"/>
              <w:right w:w="108" w:type="dxa"/>
            </w:tcMar>
          </w:tcPr>
          <w:p w14:paraId="11977B8E" w14:textId="77777777" w:rsidR="00244DC1" w:rsidRPr="003B5F49" w:rsidRDefault="00244DC1" w:rsidP="00244DC1">
            <w:r w:rsidRPr="003B5F49">
              <w:t>Geneva,</w:t>
            </w:r>
            <w:r w:rsidRPr="00283442">
              <w:t xml:space="preserve"> </w:t>
            </w:r>
            <w:r>
              <w:t>8-10 July 2019</w:t>
            </w:r>
          </w:p>
          <w:p w14:paraId="7B6BB081" w14:textId="77777777" w:rsidR="00244DC1" w:rsidRPr="003B5F49" w:rsidRDefault="00244DC1" w:rsidP="00244DC1">
            <w:r>
              <w:t>Item 2 (b)</w:t>
            </w:r>
            <w:r w:rsidRPr="003B5F49">
              <w:t xml:space="preserve"> of the provisional agenda</w:t>
            </w:r>
          </w:p>
          <w:p w14:paraId="7DE0E091" w14:textId="4326841A"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14:paraId="198BB929" w14:textId="549A0474" w:rsidR="008B65FB" w:rsidRPr="0013097E" w:rsidRDefault="008B65FB" w:rsidP="00921EDE">
      <w:pPr>
        <w:pStyle w:val="HChG"/>
        <w:rPr>
          <w:rFonts w:eastAsia="MS Mincho"/>
          <w:lang w:val="en-GB" w:eastAsia="ja-JP"/>
        </w:rPr>
      </w:pPr>
      <w:r w:rsidRPr="001039FD">
        <w:rPr>
          <w:rFonts w:eastAsia="MS Mincho"/>
          <w:lang w:val="en-GB" w:eastAsia="ja-JP"/>
        </w:rPr>
        <w:tab/>
      </w:r>
      <w:r w:rsidRPr="001039FD">
        <w:rPr>
          <w:rFonts w:eastAsia="MS Mincho"/>
          <w:lang w:val="en-GB" w:eastAsia="ja-JP"/>
        </w:rPr>
        <w:tab/>
      </w:r>
      <w:r w:rsidR="0013097E">
        <w:rPr>
          <w:rFonts w:eastAsia="MS Mincho"/>
          <w:lang w:val="en-GB" w:eastAsia="ja-JP"/>
        </w:rPr>
        <w:t>P</w:t>
      </w:r>
      <w:r w:rsidR="00074E1C">
        <w:rPr>
          <w:rFonts w:eastAsia="MS Mincho"/>
          <w:lang w:val="en-GB" w:eastAsia="ja-JP"/>
        </w:rPr>
        <w:t>ossible</w:t>
      </w:r>
      <w:r w:rsidR="0013097E">
        <w:rPr>
          <w:rFonts w:eastAsia="MS Mincho"/>
          <w:lang w:val="en-GB" w:eastAsia="ja-JP"/>
        </w:rPr>
        <w:t xml:space="preserve"> </w:t>
      </w:r>
      <w:r w:rsidR="00AF5F5C">
        <w:rPr>
          <w:rFonts w:eastAsia="MS Mincho"/>
          <w:lang w:val="en-GB" w:eastAsia="ja-JP"/>
        </w:rPr>
        <w:t>h</w:t>
      </w:r>
      <w:proofErr w:type="spellStart"/>
      <w:r w:rsidR="00921EDE" w:rsidRPr="00921EDE">
        <w:rPr>
          <w:rFonts w:eastAsia="MS Mincho"/>
          <w:lang w:eastAsia="ja-JP"/>
        </w:rPr>
        <w:t>azard</w:t>
      </w:r>
      <w:proofErr w:type="spellEnd"/>
      <w:r w:rsidR="00921EDE" w:rsidRPr="00921EDE">
        <w:rPr>
          <w:rFonts w:eastAsia="MS Mincho"/>
          <w:lang w:eastAsia="ja-JP"/>
        </w:rPr>
        <w:t xml:space="preserve"> communication elements for </w:t>
      </w:r>
      <w:r w:rsidR="00B85299" w:rsidRPr="00B85299">
        <w:rPr>
          <w:rFonts w:eastAsia="MS Mincho"/>
          <w:lang w:val="en-GB" w:eastAsia="ja-JP"/>
        </w:rPr>
        <w:t xml:space="preserve">the </w:t>
      </w:r>
      <w:r w:rsidR="00B85299">
        <w:rPr>
          <w:rFonts w:eastAsia="MS Mincho"/>
          <w:lang w:val="en-GB" w:eastAsia="ja-JP"/>
        </w:rPr>
        <w:t>classifications of the</w:t>
      </w:r>
      <w:r w:rsidR="0075219F">
        <w:rPr>
          <w:rFonts w:eastAsia="MS Mincho"/>
          <w:lang w:val="en-GB" w:eastAsia="ja-JP"/>
        </w:rPr>
        <w:t xml:space="preserve"> po</w:t>
      </w:r>
      <w:r w:rsidR="00074E1C">
        <w:rPr>
          <w:rFonts w:eastAsia="MS Mincho"/>
          <w:lang w:val="en-GB" w:eastAsia="ja-JP"/>
        </w:rPr>
        <w:t>tential</w:t>
      </w:r>
      <w:r w:rsidR="0075219F" w:rsidRPr="0075219F">
        <w:rPr>
          <w:rFonts w:eastAsia="MS Mincho"/>
          <w:lang w:val="en-GB" w:eastAsia="ja-JP"/>
        </w:rPr>
        <w:t xml:space="preserve"> </w:t>
      </w:r>
      <w:r w:rsidR="00921EDE" w:rsidRPr="00921EDE">
        <w:rPr>
          <w:rFonts w:eastAsia="MS Mincho"/>
          <w:lang w:eastAsia="ja-JP"/>
        </w:rPr>
        <w:t xml:space="preserve">new </w:t>
      </w:r>
      <w:r w:rsidR="0013097E" w:rsidRPr="0013097E">
        <w:rPr>
          <w:rFonts w:eastAsia="MS Mincho"/>
          <w:lang w:val="en-GB" w:eastAsia="ja-JP"/>
        </w:rPr>
        <w:t xml:space="preserve">GHS </w:t>
      </w:r>
      <w:r w:rsidR="00921EDE" w:rsidRPr="00921EDE">
        <w:rPr>
          <w:rFonts w:eastAsia="MS Mincho"/>
          <w:lang w:eastAsia="ja-JP"/>
        </w:rPr>
        <w:t>Chapter 2.1</w:t>
      </w:r>
    </w:p>
    <w:p w14:paraId="204B1670" w14:textId="46261D0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240C18" w:rsidRPr="00240C18">
        <w:rPr>
          <w:szCs w:val="24"/>
        </w:rPr>
        <w:t>expert from Sweden</w:t>
      </w:r>
    </w:p>
    <w:p w14:paraId="6CEA6F12" w14:textId="447841DB" w:rsidR="001B710C" w:rsidRPr="00F34E55" w:rsidRDefault="00162E11" w:rsidP="00162E11">
      <w:pPr>
        <w:pStyle w:val="HChG"/>
        <w:rPr>
          <w:lang w:val="en-GB"/>
        </w:rPr>
      </w:pPr>
      <w:r>
        <w:rPr>
          <w:rFonts w:eastAsia="MS Mincho"/>
        </w:rPr>
        <w:tab/>
      </w:r>
      <w:r>
        <w:rPr>
          <w:rFonts w:eastAsia="MS Mincho"/>
        </w:rPr>
        <w:tab/>
      </w:r>
      <w:r w:rsidR="00F77CF6" w:rsidRPr="00F34E55">
        <w:rPr>
          <w:rFonts w:eastAsia="MS Mincho"/>
          <w:lang w:val="en-GB"/>
        </w:rPr>
        <w:t>Background</w:t>
      </w:r>
      <w:r w:rsidR="00B354DC" w:rsidRPr="00F34E55">
        <w:rPr>
          <w:lang w:val="en-GB"/>
        </w:rPr>
        <w:t xml:space="preserve"> </w:t>
      </w:r>
    </w:p>
    <w:p w14:paraId="6A8A7505" w14:textId="68EB79FC" w:rsidR="00EF4D79" w:rsidRPr="00921EDE" w:rsidRDefault="00921EDE" w:rsidP="001B710C">
      <w:pPr>
        <w:pStyle w:val="SingleTxtG"/>
        <w:numPr>
          <w:ilvl w:val="0"/>
          <w:numId w:val="46"/>
        </w:numPr>
        <w:tabs>
          <w:tab w:val="right" w:pos="1710"/>
        </w:tabs>
        <w:ind w:left="1170" w:hanging="36"/>
      </w:pPr>
      <w:r w:rsidRPr="00921EDE">
        <w:rPr>
          <w:lang w:val="en-GB"/>
        </w:rPr>
        <w:t xml:space="preserve">The </w:t>
      </w:r>
      <w:r w:rsidR="0075219F">
        <w:rPr>
          <w:lang w:val="en-GB"/>
        </w:rPr>
        <w:t xml:space="preserve">progress of the work </w:t>
      </w:r>
      <w:r w:rsidRPr="00921EDE">
        <w:rPr>
          <w:lang w:val="en-GB"/>
        </w:rPr>
        <w:t xml:space="preserve">on revising Chapter 2.1 </w:t>
      </w:r>
      <w:r w:rsidR="0075219F">
        <w:rPr>
          <w:lang w:val="en-GB"/>
        </w:rPr>
        <w:t>for Explosives in</w:t>
      </w:r>
      <w:r w:rsidR="0075219F" w:rsidRPr="00921EDE">
        <w:rPr>
          <w:lang w:val="en-GB"/>
        </w:rPr>
        <w:t xml:space="preserve"> </w:t>
      </w:r>
      <w:r w:rsidRPr="00921EDE">
        <w:rPr>
          <w:lang w:val="en-GB"/>
        </w:rPr>
        <w:t xml:space="preserve">the GHS has been </w:t>
      </w:r>
      <w:r w:rsidR="00E97A29">
        <w:rPr>
          <w:lang w:val="en-GB"/>
        </w:rPr>
        <w:t>reported</w:t>
      </w:r>
      <w:r w:rsidRPr="00921EDE">
        <w:rPr>
          <w:lang w:val="en-GB"/>
        </w:rPr>
        <w:t xml:space="preserve"> in many papers to the Sub-Committees over the past two biennia.</w:t>
      </w:r>
      <w:r w:rsidR="009C5C44">
        <w:rPr>
          <w:rStyle w:val="FootnoteReference"/>
          <w:lang w:val="en-GB"/>
        </w:rPr>
        <w:footnoteReference w:id="2"/>
      </w:r>
      <w:r w:rsidRPr="00921EDE">
        <w:rPr>
          <w:lang w:val="en-GB"/>
        </w:rPr>
        <w:t xml:space="preserve"> At the previous (36:th) session of the SCEGHS, new Terms of Reference</w:t>
      </w:r>
      <w:r w:rsidR="0075219F">
        <w:rPr>
          <w:lang w:val="en-GB"/>
        </w:rPr>
        <w:t>(</w:t>
      </w:r>
      <w:proofErr w:type="spellStart"/>
      <w:r w:rsidR="0075219F">
        <w:rPr>
          <w:lang w:val="en-GB"/>
        </w:rPr>
        <w:t>ToR</w:t>
      </w:r>
      <w:proofErr w:type="spellEnd"/>
      <w:r w:rsidR="0075219F">
        <w:rPr>
          <w:lang w:val="en-GB"/>
        </w:rPr>
        <w:t xml:space="preserve">) </w:t>
      </w:r>
      <w:r w:rsidRPr="00921EDE">
        <w:rPr>
          <w:lang w:val="en-GB"/>
        </w:rPr>
        <w:t xml:space="preserve"> and associated Programme of Work (</w:t>
      </w:r>
      <w:proofErr w:type="spellStart"/>
      <w:r w:rsidRPr="00921EDE">
        <w:rPr>
          <w:lang w:val="en-GB"/>
        </w:rPr>
        <w:t>PoW</w:t>
      </w:r>
      <w:proofErr w:type="spellEnd"/>
      <w:r w:rsidRPr="00921EDE">
        <w:rPr>
          <w:lang w:val="en-GB"/>
        </w:rPr>
        <w:t>) were adopted</w:t>
      </w:r>
      <w:r w:rsidR="0075219F">
        <w:rPr>
          <w:lang w:val="en-GB"/>
        </w:rPr>
        <w:t>, and the work is to be completed within the 2019-2020 biennium</w:t>
      </w:r>
      <w:r w:rsidRPr="00921EDE">
        <w:rPr>
          <w:lang w:val="en-GB"/>
        </w:rPr>
        <w:t>.</w:t>
      </w:r>
      <w:r w:rsidR="009C5C44">
        <w:rPr>
          <w:rStyle w:val="FootnoteReference"/>
          <w:lang w:val="en-GB"/>
        </w:rPr>
        <w:footnoteReference w:id="3"/>
      </w:r>
      <w:r w:rsidRPr="00921EDE">
        <w:rPr>
          <w:lang w:val="en-GB"/>
        </w:rPr>
        <w:t xml:space="preserve"> The </w:t>
      </w:r>
      <w:r w:rsidR="0075219F">
        <w:rPr>
          <w:lang w:val="en-GB"/>
        </w:rPr>
        <w:t xml:space="preserve">core of the new GHS classification system and </w:t>
      </w:r>
      <w:r w:rsidRPr="00921EDE">
        <w:rPr>
          <w:lang w:val="en-GB"/>
        </w:rPr>
        <w:t xml:space="preserve">current status of the items within this </w:t>
      </w:r>
      <w:proofErr w:type="spellStart"/>
      <w:r w:rsidRPr="00921EDE">
        <w:rPr>
          <w:lang w:val="en-GB"/>
        </w:rPr>
        <w:t>PoW</w:t>
      </w:r>
      <w:proofErr w:type="spellEnd"/>
      <w:r w:rsidRPr="00921EDE">
        <w:rPr>
          <w:lang w:val="en-GB"/>
        </w:rPr>
        <w:t xml:space="preserve"> have been described in working document 5 to the 37:th session of SCEGHS (working document 32 to th</w:t>
      </w:r>
      <w:r>
        <w:rPr>
          <w:lang w:val="en-GB"/>
        </w:rPr>
        <w:t>e 55:th session of the SCETDG).</w:t>
      </w:r>
      <w:r w:rsidR="009C5C44">
        <w:rPr>
          <w:rStyle w:val="FootnoteReference"/>
          <w:lang w:val="en-GB"/>
        </w:rPr>
        <w:footnoteReference w:id="4"/>
      </w:r>
    </w:p>
    <w:p w14:paraId="711C7577" w14:textId="60136869" w:rsidR="0075219F" w:rsidRPr="0075219F" w:rsidRDefault="00921EDE" w:rsidP="0075219F">
      <w:pPr>
        <w:pStyle w:val="SingleTxtG"/>
        <w:numPr>
          <w:ilvl w:val="0"/>
          <w:numId w:val="46"/>
        </w:numPr>
        <w:tabs>
          <w:tab w:val="right" w:pos="1710"/>
        </w:tabs>
        <w:ind w:left="1170" w:hanging="36"/>
      </w:pPr>
      <w:r w:rsidRPr="00921EDE">
        <w:rPr>
          <w:lang w:val="en-GB"/>
        </w:rPr>
        <w:t>This informal paper a</w:t>
      </w:r>
      <w:r w:rsidR="00B72FD6">
        <w:rPr>
          <w:lang w:val="en-GB"/>
        </w:rPr>
        <w:t xml:space="preserve">ddresses </w:t>
      </w:r>
      <w:r w:rsidRPr="00921EDE">
        <w:rPr>
          <w:lang w:val="en-GB"/>
        </w:rPr>
        <w:t xml:space="preserve">item 2 of the </w:t>
      </w:r>
      <w:proofErr w:type="spellStart"/>
      <w:r w:rsidRPr="00921EDE">
        <w:rPr>
          <w:lang w:val="en-GB"/>
        </w:rPr>
        <w:t>PoW</w:t>
      </w:r>
      <w:proofErr w:type="spellEnd"/>
      <w:r w:rsidRPr="00921EDE">
        <w:rPr>
          <w:lang w:val="en-GB"/>
        </w:rPr>
        <w:t xml:space="preserve">, which is to assign hazard communication elements to the various GHS classifications within the </w:t>
      </w:r>
      <w:r w:rsidR="00B72FD6">
        <w:rPr>
          <w:lang w:val="en-GB"/>
        </w:rPr>
        <w:t xml:space="preserve">new </w:t>
      </w:r>
      <w:r w:rsidRPr="00921EDE">
        <w:rPr>
          <w:lang w:val="en-GB"/>
        </w:rPr>
        <w:t>system under development. It sets out to provide a basis for the discussions ar</w:t>
      </w:r>
      <w:r w:rsidR="00B72FD6">
        <w:rPr>
          <w:lang w:val="en-GB"/>
        </w:rPr>
        <w:t>ound this item and is not intended to preclude their outcome</w:t>
      </w:r>
      <w:r w:rsidR="00411E3D">
        <w:rPr>
          <w:lang w:val="en-GB"/>
        </w:rPr>
        <w:t xml:space="preserve"> nor</w:t>
      </w:r>
      <w:r w:rsidR="009C3734">
        <w:rPr>
          <w:lang w:val="en-GB"/>
        </w:rPr>
        <w:t xml:space="preserve"> to</w:t>
      </w:r>
      <w:r w:rsidR="00E97A29">
        <w:rPr>
          <w:lang w:val="en-GB"/>
        </w:rPr>
        <w:t xml:space="preserve"> exclude any </w:t>
      </w:r>
      <w:r w:rsidR="00411E3D">
        <w:rPr>
          <w:lang w:val="en-GB"/>
        </w:rPr>
        <w:t>possibilities not brought up herein</w:t>
      </w:r>
      <w:r w:rsidR="00B72FD6">
        <w:rPr>
          <w:lang w:val="en-GB"/>
        </w:rPr>
        <w:t xml:space="preserve">. </w:t>
      </w:r>
      <w:r w:rsidR="009C3734">
        <w:rPr>
          <w:lang w:val="en-GB"/>
        </w:rPr>
        <w:t>T</w:t>
      </w:r>
      <w:r w:rsidR="00C228E5">
        <w:rPr>
          <w:lang w:val="en-GB"/>
        </w:rPr>
        <w:t>h</w:t>
      </w:r>
      <w:r w:rsidR="009C3734">
        <w:rPr>
          <w:lang w:val="en-GB"/>
        </w:rPr>
        <w:t xml:space="preserve">e ideas reflected in </w:t>
      </w:r>
      <w:r w:rsidR="00C228E5">
        <w:rPr>
          <w:lang w:val="en-GB"/>
        </w:rPr>
        <w:t xml:space="preserve">is paper </w:t>
      </w:r>
      <w:r w:rsidR="009C3734">
        <w:rPr>
          <w:lang w:val="en-GB"/>
        </w:rPr>
        <w:t xml:space="preserve">build upon discussions </w:t>
      </w:r>
      <w:r w:rsidR="00C228E5">
        <w:rPr>
          <w:lang w:val="en-GB"/>
        </w:rPr>
        <w:t>in the Inform</w:t>
      </w:r>
      <w:r w:rsidR="00397EE9">
        <w:rPr>
          <w:lang w:val="en-GB"/>
        </w:rPr>
        <w:t>al Correspondence Group (ICG) for</w:t>
      </w:r>
      <w:r w:rsidR="00C228E5">
        <w:rPr>
          <w:lang w:val="en-GB"/>
        </w:rPr>
        <w:t xml:space="preserve"> the review of </w:t>
      </w:r>
      <w:r w:rsidR="00397EE9">
        <w:rPr>
          <w:lang w:val="en-GB"/>
        </w:rPr>
        <w:t xml:space="preserve">GHS </w:t>
      </w:r>
      <w:r w:rsidR="009C3734">
        <w:rPr>
          <w:lang w:val="en-GB"/>
        </w:rPr>
        <w:t xml:space="preserve">Chapter 2.1. </w:t>
      </w:r>
      <w:r w:rsidR="0013097E">
        <w:rPr>
          <w:lang w:val="en-GB"/>
        </w:rPr>
        <w:t>Although the paper was circulated within the ICG for comments</w:t>
      </w:r>
      <w:r w:rsidR="0075219F">
        <w:rPr>
          <w:lang w:val="en-GB"/>
        </w:rPr>
        <w:t>,</w:t>
      </w:r>
      <w:r w:rsidR="0013097E">
        <w:rPr>
          <w:lang w:val="en-GB"/>
        </w:rPr>
        <w:t xml:space="preserve"> it</w:t>
      </w:r>
      <w:r w:rsidR="009C3734">
        <w:rPr>
          <w:lang w:val="en-GB"/>
        </w:rPr>
        <w:t xml:space="preserve"> reflects</w:t>
      </w:r>
      <w:r w:rsidR="00C228E5">
        <w:rPr>
          <w:lang w:val="en-GB"/>
        </w:rPr>
        <w:t xml:space="preserve"> the </w:t>
      </w:r>
      <w:r w:rsidR="009C3734">
        <w:rPr>
          <w:lang w:val="en-GB"/>
        </w:rPr>
        <w:t>thoughts</w:t>
      </w:r>
      <w:r w:rsidR="00C228E5">
        <w:rPr>
          <w:lang w:val="en-GB"/>
        </w:rPr>
        <w:t xml:space="preserve"> of the expert from Sweden only.</w:t>
      </w:r>
    </w:p>
    <w:p w14:paraId="778B41F8" w14:textId="7EF6B259" w:rsidR="00921EDE" w:rsidRPr="00B72FD6" w:rsidRDefault="00921EDE" w:rsidP="00921EDE">
      <w:pPr>
        <w:pStyle w:val="SingleTxtG"/>
        <w:tabs>
          <w:tab w:val="right" w:pos="1710"/>
        </w:tabs>
        <w:ind w:left="1170"/>
        <w:rPr>
          <w:b/>
          <w:sz w:val="24"/>
        </w:rPr>
      </w:pPr>
      <w:r w:rsidRPr="00B72FD6">
        <w:rPr>
          <w:b/>
          <w:sz w:val="24"/>
          <w:lang w:val="en-GB"/>
        </w:rPr>
        <w:t>Hazard communication for Category 1</w:t>
      </w:r>
    </w:p>
    <w:p w14:paraId="7D4645F4" w14:textId="30D9A62B" w:rsidR="00B72FD6" w:rsidRPr="00B72FD6" w:rsidRDefault="00921EDE" w:rsidP="001B710C">
      <w:pPr>
        <w:pStyle w:val="SingleTxtG"/>
        <w:numPr>
          <w:ilvl w:val="0"/>
          <w:numId w:val="46"/>
        </w:numPr>
        <w:tabs>
          <w:tab w:val="right" w:pos="1710"/>
        </w:tabs>
        <w:ind w:left="1170" w:hanging="36"/>
      </w:pPr>
      <w:r w:rsidRPr="00921EDE">
        <w:rPr>
          <w:lang w:val="en-GB"/>
        </w:rPr>
        <w:t xml:space="preserve">Category 1 </w:t>
      </w:r>
      <w:r w:rsidR="0075219F">
        <w:rPr>
          <w:lang w:val="en-GB"/>
        </w:rPr>
        <w:t xml:space="preserve">of the new system </w:t>
      </w:r>
      <w:r w:rsidRPr="00921EDE">
        <w:rPr>
          <w:lang w:val="en-GB"/>
        </w:rPr>
        <w:t>will</w:t>
      </w:r>
      <w:r w:rsidR="00B72FD6">
        <w:rPr>
          <w:lang w:val="en-GB"/>
        </w:rPr>
        <w:t xml:space="preserve"> presumably</w:t>
      </w:r>
      <w:r w:rsidRPr="00921EDE">
        <w:rPr>
          <w:lang w:val="en-GB"/>
        </w:rPr>
        <w:t xml:space="preserve"> </w:t>
      </w:r>
      <w:r w:rsidR="00B72FD6">
        <w:rPr>
          <w:lang w:val="en-GB"/>
        </w:rPr>
        <w:t>comprise all types of e</w:t>
      </w:r>
      <w:r w:rsidRPr="00921EDE">
        <w:rPr>
          <w:lang w:val="en-GB"/>
        </w:rPr>
        <w:t>xplosives with the common factor that they have not been assigned a division (as configured for transport)</w:t>
      </w:r>
      <w:r w:rsidR="00DA360F">
        <w:rPr>
          <w:lang w:val="en-GB"/>
        </w:rPr>
        <w:t xml:space="preserve"> in accordance with Part I of the UN Manual of Tests and Criteria (the Manual)</w:t>
      </w:r>
      <w:r w:rsidRPr="00921EDE">
        <w:rPr>
          <w:lang w:val="en-GB"/>
        </w:rPr>
        <w:t>.</w:t>
      </w:r>
      <w:r w:rsidR="0013097E">
        <w:rPr>
          <w:rStyle w:val="FootnoteReference"/>
          <w:lang w:val="en-GB"/>
        </w:rPr>
        <w:footnoteReference w:id="5"/>
      </w:r>
      <w:r w:rsidRPr="00921EDE">
        <w:rPr>
          <w:lang w:val="en-GB"/>
        </w:rPr>
        <w:t xml:space="preserve"> Within the ICG it has been more or less assumed that the exploding bomb symbol (</w:t>
      </w:r>
      <w:r w:rsidR="005E26D2">
        <w:rPr>
          <w:lang w:val="en-GB"/>
        </w:rPr>
        <w:t xml:space="preserve">GHS-pictogram </w:t>
      </w:r>
      <w:r w:rsidRPr="00921EDE">
        <w:rPr>
          <w:lang w:val="en-GB"/>
        </w:rPr>
        <w:lastRenderedPageBreak/>
        <w:t xml:space="preserve">GHS01) and the signal word “Danger” will be assigned to this category, although that could of course be </w:t>
      </w:r>
      <w:r w:rsidR="00B72FD6">
        <w:rPr>
          <w:lang w:val="en-GB"/>
        </w:rPr>
        <w:t>reconsidered</w:t>
      </w:r>
      <w:r w:rsidRPr="00921EDE">
        <w:rPr>
          <w:lang w:val="en-GB"/>
        </w:rPr>
        <w:t xml:space="preserve">. </w:t>
      </w:r>
    </w:p>
    <w:p w14:paraId="35FDA1A0" w14:textId="04EAD150" w:rsidR="00921EDE" w:rsidRPr="00921EDE" w:rsidRDefault="00921EDE" w:rsidP="001B710C">
      <w:pPr>
        <w:pStyle w:val="SingleTxtG"/>
        <w:numPr>
          <w:ilvl w:val="0"/>
          <w:numId w:val="46"/>
        </w:numPr>
        <w:tabs>
          <w:tab w:val="right" w:pos="1710"/>
        </w:tabs>
        <w:ind w:left="1170" w:hanging="36"/>
      </w:pPr>
      <w:r w:rsidRPr="00921EDE">
        <w:rPr>
          <w:lang w:val="en-GB"/>
        </w:rPr>
        <w:t>When it comes to assigning an appropriate hazard statement</w:t>
      </w:r>
      <w:r w:rsidR="00B72FD6">
        <w:rPr>
          <w:lang w:val="en-GB"/>
        </w:rPr>
        <w:t xml:space="preserve"> for Category 1</w:t>
      </w:r>
      <w:r w:rsidRPr="00921EDE">
        <w:rPr>
          <w:lang w:val="en-GB"/>
        </w:rPr>
        <w:t>, however, views have been divided wit</w:t>
      </w:r>
      <w:r w:rsidR="00193317">
        <w:rPr>
          <w:lang w:val="en-GB"/>
        </w:rPr>
        <w:t>hin the ICG. The core of the discussion</w:t>
      </w:r>
      <w:r w:rsidRPr="00921EDE">
        <w:rPr>
          <w:lang w:val="en-GB"/>
        </w:rPr>
        <w:t xml:space="preserve"> is how to </w:t>
      </w:r>
      <w:r w:rsidR="00193317">
        <w:rPr>
          <w:lang w:val="en-GB"/>
        </w:rPr>
        <w:t>highlight</w:t>
      </w:r>
      <w:r w:rsidRPr="00921EDE">
        <w:rPr>
          <w:lang w:val="en-GB"/>
        </w:rPr>
        <w:t xml:space="preserve"> the sensitivity to impact, friction and/or ele</w:t>
      </w:r>
      <w:r w:rsidR="00193317">
        <w:rPr>
          <w:lang w:val="en-GB"/>
        </w:rPr>
        <w:t>vated temperatures of e</w:t>
      </w:r>
      <w:r w:rsidRPr="00921EDE">
        <w:rPr>
          <w:lang w:val="en-GB"/>
        </w:rPr>
        <w:t>xplosives that do not pass Test series 3</w:t>
      </w:r>
      <w:r w:rsidR="00DA360F">
        <w:rPr>
          <w:lang w:val="en-GB"/>
        </w:rPr>
        <w:t xml:space="preserve"> of the Manual</w:t>
      </w:r>
      <w:r w:rsidRPr="00921EDE">
        <w:rPr>
          <w:lang w:val="en-GB"/>
        </w:rPr>
        <w:t xml:space="preserve">. It has been argued </w:t>
      </w:r>
      <w:r w:rsidR="00DA360F">
        <w:rPr>
          <w:lang w:val="en-GB"/>
        </w:rPr>
        <w:t xml:space="preserve">by some </w:t>
      </w:r>
      <w:r w:rsidRPr="00921EDE">
        <w:rPr>
          <w:lang w:val="en-GB"/>
        </w:rPr>
        <w:t xml:space="preserve">that a simple hazard statement like “Explosive” assigned to Category 1 as a whole does not cover this concern, and that information </w:t>
      </w:r>
      <w:r w:rsidR="00C114E5">
        <w:rPr>
          <w:lang w:val="en-GB"/>
        </w:rPr>
        <w:t xml:space="preserve">on sensitivity </w:t>
      </w:r>
      <w:r w:rsidRPr="00921EDE">
        <w:rPr>
          <w:lang w:val="en-GB"/>
        </w:rPr>
        <w:t xml:space="preserve">will be lost in comparison with the current </w:t>
      </w:r>
      <w:r w:rsidR="00B72FD6">
        <w:rPr>
          <w:lang w:val="en-GB"/>
        </w:rPr>
        <w:t xml:space="preserve">GHS </w:t>
      </w:r>
      <w:r w:rsidRPr="00921EDE">
        <w:rPr>
          <w:lang w:val="en-GB"/>
        </w:rPr>
        <w:t>classification and hazard statement “Unstable explosive”.</w:t>
      </w:r>
    </w:p>
    <w:p w14:paraId="14EC87AA" w14:textId="2A4B1B0B" w:rsidR="00921EDE" w:rsidRPr="007E5491" w:rsidRDefault="00921EDE" w:rsidP="001B710C">
      <w:pPr>
        <w:pStyle w:val="SingleTxtG"/>
        <w:numPr>
          <w:ilvl w:val="0"/>
          <w:numId w:val="46"/>
        </w:numPr>
        <w:tabs>
          <w:tab w:val="right" w:pos="1710"/>
        </w:tabs>
        <w:ind w:left="1170" w:hanging="36"/>
      </w:pPr>
      <w:r w:rsidRPr="00921EDE">
        <w:rPr>
          <w:lang w:val="en-GB"/>
        </w:rPr>
        <w:t>In order to</w:t>
      </w:r>
      <w:r w:rsidR="00B72FD6">
        <w:rPr>
          <w:lang w:val="en-GB"/>
        </w:rPr>
        <w:t xml:space="preserve"> cover</w:t>
      </w:r>
      <w:r w:rsidRPr="00921EDE">
        <w:rPr>
          <w:lang w:val="en-GB"/>
        </w:rPr>
        <w:t xml:space="preserve"> also the properties of the current “Unstable explosives”, it has been suggested by </w:t>
      </w:r>
      <w:r w:rsidR="00DA360F">
        <w:rPr>
          <w:lang w:val="en-GB"/>
        </w:rPr>
        <w:t>some</w:t>
      </w:r>
      <w:r w:rsidRPr="00921EDE">
        <w:rPr>
          <w:lang w:val="en-GB"/>
        </w:rPr>
        <w:t xml:space="preserve"> experts that the hazard statement for Category 1 should be “Extremely sensitive explosive” or something similar. While this would </w:t>
      </w:r>
      <w:r w:rsidR="00B72FD6">
        <w:rPr>
          <w:lang w:val="en-GB"/>
        </w:rPr>
        <w:t xml:space="preserve">address the concern over </w:t>
      </w:r>
      <w:r w:rsidR="00730ED7">
        <w:rPr>
          <w:lang w:val="en-GB"/>
        </w:rPr>
        <w:t>these particular e</w:t>
      </w:r>
      <w:r w:rsidRPr="00921EDE">
        <w:rPr>
          <w:lang w:val="en-GB"/>
        </w:rPr>
        <w:t>xplosives, it would</w:t>
      </w:r>
      <w:r w:rsidR="00DA360F">
        <w:rPr>
          <w:lang w:val="en-GB"/>
        </w:rPr>
        <w:t xml:space="preserve"> however</w:t>
      </w:r>
      <w:r w:rsidRPr="00921EDE">
        <w:rPr>
          <w:lang w:val="en-GB"/>
        </w:rPr>
        <w:t xml:space="preserve"> also</w:t>
      </w:r>
      <w:r w:rsidR="00730ED7">
        <w:rPr>
          <w:lang w:val="en-GB"/>
        </w:rPr>
        <w:t xml:space="preserve"> exaggerate the hazard for the e</w:t>
      </w:r>
      <w:r w:rsidRPr="00921EDE">
        <w:rPr>
          <w:lang w:val="en-GB"/>
        </w:rPr>
        <w:t xml:space="preserve">xplosives in this category </w:t>
      </w:r>
      <w:r w:rsidR="00B72FD6">
        <w:rPr>
          <w:lang w:val="en-GB"/>
        </w:rPr>
        <w:t>that are not “extremely sensitive”.</w:t>
      </w:r>
    </w:p>
    <w:p w14:paraId="057E39A1" w14:textId="46AEC684" w:rsidR="007E5491" w:rsidRPr="007E5491" w:rsidRDefault="00921EDE" w:rsidP="007E5491">
      <w:pPr>
        <w:pStyle w:val="SingleTxtG"/>
        <w:numPr>
          <w:ilvl w:val="0"/>
          <w:numId w:val="46"/>
        </w:numPr>
        <w:tabs>
          <w:tab w:val="right" w:pos="1710"/>
        </w:tabs>
        <w:ind w:left="1170" w:hanging="36"/>
      </w:pPr>
      <w:r w:rsidRPr="007E5491">
        <w:rPr>
          <w:lang w:val="en-GB"/>
        </w:rPr>
        <w:t xml:space="preserve">One option </w:t>
      </w:r>
      <w:r w:rsidR="00DA360F">
        <w:rPr>
          <w:lang w:val="en-GB"/>
        </w:rPr>
        <w:t xml:space="preserve">around this </w:t>
      </w:r>
      <w:r w:rsidRPr="007E5491">
        <w:rPr>
          <w:lang w:val="en-GB"/>
        </w:rPr>
        <w:t>that has been discussed</w:t>
      </w:r>
      <w:r w:rsidR="00DA360F">
        <w:rPr>
          <w:lang w:val="en-GB"/>
        </w:rPr>
        <w:t xml:space="preserve"> in the ICG</w:t>
      </w:r>
      <w:r w:rsidRPr="007E5491">
        <w:rPr>
          <w:lang w:val="en-GB"/>
        </w:rPr>
        <w:t xml:space="preserve"> is </w:t>
      </w:r>
      <w:r w:rsidR="00B72FD6">
        <w:rPr>
          <w:lang w:val="en-GB"/>
        </w:rPr>
        <w:t xml:space="preserve">to use </w:t>
      </w:r>
      <w:r w:rsidRPr="007E5491">
        <w:rPr>
          <w:lang w:val="en-GB"/>
        </w:rPr>
        <w:t>a “flexible” hazard statement similar to th</w:t>
      </w:r>
      <w:r w:rsidR="00DA360F">
        <w:rPr>
          <w:lang w:val="en-GB"/>
        </w:rPr>
        <w:t>e hazard statements</w:t>
      </w:r>
      <w:r w:rsidRPr="007E5491">
        <w:rPr>
          <w:lang w:val="en-GB"/>
        </w:rPr>
        <w:t xml:space="preserve"> used for the h</w:t>
      </w:r>
      <w:r w:rsidR="003D7BAE">
        <w:rPr>
          <w:lang w:val="en-GB"/>
        </w:rPr>
        <w:t xml:space="preserve">ealth hazards in Chapters 3.5- </w:t>
      </w:r>
      <w:r w:rsidRPr="007E5491">
        <w:rPr>
          <w:lang w:val="en-GB"/>
        </w:rPr>
        <w:t xml:space="preserve">3.9 of the GHS. These hazard statements </w:t>
      </w:r>
      <w:r w:rsidR="003D7BAE">
        <w:rPr>
          <w:lang w:val="en-GB"/>
        </w:rPr>
        <w:t xml:space="preserve">may be said to </w:t>
      </w:r>
      <w:r w:rsidRPr="007E5491">
        <w:rPr>
          <w:lang w:val="en-GB"/>
        </w:rPr>
        <w:t>have the general form:</w:t>
      </w:r>
    </w:p>
    <w:p w14:paraId="1481A508" w14:textId="72E03A5E" w:rsidR="00921EDE" w:rsidRPr="00921EDE" w:rsidRDefault="007E5491" w:rsidP="005D179A">
      <w:pPr>
        <w:pStyle w:val="SingleTxtG"/>
        <w:tabs>
          <w:tab w:val="right" w:pos="1710"/>
        </w:tabs>
        <w:ind w:left="1843" w:hanging="142"/>
      </w:pPr>
      <w:r>
        <w:tab/>
      </w:r>
      <w:r w:rsidR="003D7BAE" w:rsidRPr="003D7BAE">
        <w:rPr>
          <w:lang w:val="en-GB"/>
        </w:rPr>
        <w:t xml:space="preserve">General </w:t>
      </w:r>
      <w:r w:rsidR="00921EDE" w:rsidRPr="005D179A">
        <w:t>hazard</w:t>
      </w:r>
      <w:r w:rsidR="00921EDE" w:rsidRPr="00921EDE">
        <w:t xml:space="preserve"> (</w:t>
      </w:r>
      <w:r w:rsidR="00921EDE" w:rsidRPr="005D179A">
        <w:rPr>
          <w:i/>
        </w:rPr>
        <w:t>state if more detailed information is available</w:t>
      </w:r>
      <w:r w:rsidR="00921EDE" w:rsidRPr="00921EDE">
        <w:t>)</w:t>
      </w:r>
    </w:p>
    <w:p w14:paraId="10D3174F" w14:textId="19703BCF" w:rsidR="00921EDE" w:rsidRDefault="00D563C7" w:rsidP="00921EDE">
      <w:pPr>
        <w:pStyle w:val="SingleTxtG"/>
        <w:tabs>
          <w:tab w:val="right" w:pos="1710"/>
        </w:tabs>
        <w:rPr>
          <w:lang w:val="en-GB"/>
        </w:rPr>
      </w:pPr>
      <w:r>
        <w:rPr>
          <w:lang w:val="en-GB"/>
        </w:rPr>
        <w:t>For e</w:t>
      </w:r>
      <w:r w:rsidR="00921EDE" w:rsidRPr="00921EDE">
        <w:rPr>
          <w:lang w:val="en-GB"/>
        </w:rPr>
        <w:t>xplosives in Category 1, the description of the hazard could e.g. be “Explosive”, and the more detailed information would be information on</w:t>
      </w:r>
      <w:r w:rsidR="00DA360F">
        <w:rPr>
          <w:lang w:val="en-GB"/>
        </w:rPr>
        <w:t xml:space="preserve"> any</w:t>
      </w:r>
      <w:r w:rsidR="00921EDE" w:rsidRPr="00921EDE">
        <w:rPr>
          <w:lang w:val="en-GB"/>
        </w:rPr>
        <w:t xml:space="preserve"> extreme sensitivity</w:t>
      </w:r>
      <w:r w:rsidR="00DA360F">
        <w:rPr>
          <w:lang w:val="en-GB"/>
        </w:rPr>
        <w:t xml:space="preserve"> towards the properties investigated in Test series 3 of the Manual</w:t>
      </w:r>
      <w:r w:rsidR="005D179A">
        <w:rPr>
          <w:lang w:val="en-GB"/>
        </w:rPr>
        <w:t xml:space="preserve">: </w:t>
      </w:r>
    </w:p>
    <w:p w14:paraId="3EEC7F53" w14:textId="64BA9501" w:rsidR="00B72FD6" w:rsidRDefault="00B72FD6" w:rsidP="005D179A">
      <w:pPr>
        <w:pStyle w:val="SingleTxtG"/>
        <w:tabs>
          <w:tab w:val="right" w:pos="1843"/>
        </w:tabs>
        <w:ind w:left="1843" w:hanging="142"/>
        <w:rPr>
          <w:rFonts w:eastAsia="Garamond"/>
          <w:lang w:val="en-GB"/>
        </w:rPr>
      </w:pPr>
      <w:r w:rsidRPr="005D179A">
        <w:rPr>
          <w:lang w:val="en-GB"/>
        </w:rPr>
        <w:t>Explosive</w:t>
      </w:r>
      <w:r>
        <w:rPr>
          <w:lang w:val="en-GB"/>
        </w:rPr>
        <w:t xml:space="preserve"> </w:t>
      </w:r>
      <w:r w:rsidRPr="007E5491">
        <w:rPr>
          <w:rFonts w:eastAsia="Garamond"/>
          <w:lang w:val="en-GB"/>
        </w:rPr>
        <w:t>(</w:t>
      </w:r>
      <w:r w:rsidRPr="007E5491">
        <w:rPr>
          <w:rFonts w:eastAsia="Garamond"/>
          <w:i/>
          <w:lang w:val="en-GB"/>
        </w:rPr>
        <w:t>state if explosive is extremely sensitive to impact, friction or elevated temperatures, or if these properties have not been determined</w:t>
      </w:r>
      <w:r w:rsidRPr="007E5491">
        <w:rPr>
          <w:rFonts w:eastAsia="Garamond"/>
          <w:lang w:val="en-GB"/>
        </w:rPr>
        <w:t>)</w:t>
      </w:r>
    </w:p>
    <w:p w14:paraId="5FC84582" w14:textId="7FCB9D57" w:rsidR="005D179A" w:rsidRPr="00921EDE" w:rsidRDefault="005D179A" w:rsidP="005D179A">
      <w:pPr>
        <w:pStyle w:val="SingleTxtG"/>
        <w:tabs>
          <w:tab w:val="right" w:pos="1710"/>
        </w:tabs>
        <w:rPr>
          <w:lang w:val="en-GB"/>
        </w:rPr>
      </w:pPr>
      <w:r>
        <w:rPr>
          <w:lang w:val="en-GB"/>
        </w:rPr>
        <w:t>I</w:t>
      </w:r>
      <w:r w:rsidRPr="00921EDE">
        <w:rPr>
          <w:lang w:val="en-GB"/>
        </w:rPr>
        <w:t xml:space="preserve">t could be considered to </w:t>
      </w:r>
      <w:r w:rsidR="00DA360F">
        <w:rPr>
          <w:lang w:val="en-GB"/>
        </w:rPr>
        <w:t xml:space="preserve">explicitly </w:t>
      </w:r>
      <w:r w:rsidRPr="00921EDE">
        <w:rPr>
          <w:lang w:val="en-GB"/>
        </w:rPr>
        <w:t>refer to Test series 3 of th</w:t>
      </w:r>
      <w:r w:rsidR="00DA360F">
        <w:rPr>
          <w:lang w:val="en-GB"/>
        </w:rPr>
        <w:t>e</w:t>
      </w:r>
      <w:r w:rsidRPr="00921EDE">
        <w:rPr>
          <w:lang w:val="en-GB"/>
        </w:rPr>
        <w:t xml:space="preserve"> Manual as a suitable set of tests to determine th</w:t>
      </w:r>
      <w:r w:rsidR="00DA360F">
        <w:rPr>
          <w:lang w:val="en-GB"/>
        </w:rPr>
        <w:t>ese properties, e.g. via a note</w:t>
      </w:r>
      <w:r w:rsidR="00D563C7">
        <w:rPr>
          <w:lang w:val="en-GB"/>
        </w:rPr>
        <w:t xml:space="preserve"> or footnote</w:t>
      </w:r>
      <w:r w:rsidR="00DA360F">
        <w:rPr>
          <w:lang w:val="en-GB"/>
        </w:rPr>
        <w:t>.</w:t>
      </w:r>
    </w:p>
    <w:p w14:paraId="6169C76C" w14:textId="3AF28080" w:rsidR="00921EDE" w:rsidRPr="00921EDE" w:rsidRDefault="005D179A" w:rsidP="005D179A">
      <w:pPr>
        <w:pStyle w:val="SingleTxtG"/>
        <w:numPr>
          <w:ilvl w:val="0"/>
          <w:numId w:val="46"/>
        </w:numPr>
        <w:ind w:left="1170" w:hanging="36"/>
      </w:pPr>
      <w:r>
        <w:rPr>
          <w:lang w:val="en-GB"/>
        </w:rPr>
        <w:t>Another option c</w:t>
      </w:r>
      <w:r w:rsidR="00921EDE" w:rsidRPr="00921EDE">
        <w:rPr>
          <w:lang w:val="en-GB"/>
        </w:rPr>
        <w:t>ould be to use a</w:t>
      </w:r>
      <w:r w:rsidR="00D563C7">
        <w:rPr>
          <w:lang w:val="en-GB"/>
        </w:rPr>
        <w:t xml:space="preserve"> precautionary statement</w:t>
      </w:r>
      <w:r w:rsidR="003904BB">
        <w:rPr>
          <w:lang w:val="en-GB"/>
        </w:rPr>
        <w:t xml:space="preserve"> for these sensitive explosives</w:t>
      </w:r>
      <w:r w:rsidR="00921EDE" w:rsidRPr="00921EDE">
        <w:rPr>
          <w:lang w:val="en-GB"/>
        </w:rPr>
        <w:t>, such as “</w:t>
      </w:r>
      <w:r w:rsidRPr="005D179A">
        <w:rPr>
          <w:rFonts w:eastAsia="Garamond"/>
          <w:lang w:val="en-GB"/>
        </w:rPr>
        <w:t>Avoid impact/friction/el</w:t>
      </w:r>
      <w:r>
        <w:rPr>
          <w:rFonts w:eastAsia="Garamond"/>
          <w:lang w:val="en-GB"/>
        </w:rPr>
        <w:t xml:space="preserve">evated temperatures/… due to </w:t>
      </w:r>
      <w:r w:rsidRPr="005D179A">
        <w:rPr>
          <w:rFonts w:eastAsia="Garamond"/>
          <w:lang w:val="en-GB"/>
        </w:rPr>
        <w:t>extreme sensitivity.</w:t>
      </w:r>
      <w:r>
        <w:rPr>
          <w:rFonts w:eastAsia="Garamond"/>
          <w:lang w:val="en-GB"/>
        </w:rPr>
        <w:t>”</w:t>
      </w:r>
      <w:r>
        <w:rPr>
          <w:lang w:val="en-GB"/>
        </w:rPr>
        <w:t xml:space="preserve"> </w:t>
      </w:r>
      <w:r w:rsidR="00921EDE" w:rsidRPr="005D179A">
        <w:rPr>
          <w:lang w:val="en-GB"/>
        </w:rPr>
        <w:t xml:space="preserve">To this, conditions for use </w:t>
      </w:r>
      <w:r w:rsidR="00DA360F">
        <w:rPr>
          <w:lang w:val="en-GB"/>
        </w:rPr>
        <w:t>could</w:t>
      </w:r>
      <w:r w:rsidR="00921EDE" w:rsidRPr="005D179A">
        <w:rPr>
          <w:lang w:val="en-GB"/>
        </w:rPr>
        <w:t xml:space="preserve"> be added to achieve the desired application,</w:t>
      </w:r>
      <w:r>
        <w:rPr>
          <w:lang w:val="en-GB"/>
        </w:rPr>
        <w:t xml:space="preserve"> and a reference</w:t>
      </w:r>
      <w:r w:rsidR="003D7BAE">
        <w:rPr>
          <w:lang w:val="en-GB"/>
        </w:rPr>
        <w:t xml:space="preserve"> to</w:t>
      </w:r>
      <w:r>
        <w:rPr>
          <w:lang w:val="en-GB"/>
        </w:rPr>
        <w:t xml:space="preserve"> </w:t>
      </w:r>
      <w:r w:rsidR="00921EDE" w:rsidRPr="005D179A">
        <w:rPr>
          <w:lang w:val="en-GB"/>
        </w:rPr>
        <w:t>Test series 3 of the Manual</w:t>
      </w:r>
      <w:r>
        <w:rPr>
          <w:lang w:val="en-GB"/>
        </w:rPr>
        <w:t xml:space="preserve"> could be added if desirable</w:t>
      </w:r>
      <w:r w:rsidR="00921EDE" w:rsidRPr="005D179A">
        <w:rPr>
          <w:lang w:val="en-GB"/>
        </w:rPr>
        <w:t>.” To cover the concern over explosives that have not been</w:t>
      </w:r>
      <w:r>
        <w:rPr>
          <w:lang w:val="en-GB"/>
        </w:rPr>
        <w:t xml:space="preserve"> sufficiently</w:t>
      </w:r>
      <w:r w:rsidR="00921EDE" w:rsidRPr="005D179A">
        <w:rPr>
          <w:lang w:val="en-GB"/>
        </w:rPr>
        <w:t xml:space="preserve"> tested for sensitivity, the precautionary statement could </w:t>
      </w:r>
      <w:r w:rsidR="003D7BAE">
        <w:rPr>
          <w:lang w:val="en-GB"/>
        </w:rPr>
        <w:t xml:space="preserve">probably </w:t>
      </w:r>
      <w:r w:rsidR="00921EDE" w:rsidRPr="005D179A">
        <w:rPr>
          <w:lang w:val="en-GB"/>
        </w:rPr>
        <w:t>be modified to include this</w:t>
      </w:r>
      <w:r w:rsidR="003D7BAE">
        <w:rPr>
          <w:lang w:val="en-GB"/>
        </w:rPr>
        <w:t>, e.g. by inserting</w:t>
      </w:r>
      <w:r w:rsidR="00DA360F">
        <w:rPr>
          <w:lang w:val="en-GB"/>
        </w:rPr>
        <w:t xml:space="preserve"> the word</w:t>
      </w:r>
      <w:r w:rsidR="003D7BAE">
        <w:rPr>
          <w:lang w:val="en-GB"/>
        </w:rPr>
        <w:t xml:space="preserve"> “[possible]” as an optional addition</w:t>
      </w:r>
      <w:r w:rsidR="00DA360F">
        <w:rPr>
          <w:lang w:val="en-GB"/>
        </w:rPr>
        <w:t xml:space="preserve"> within the statement</w:t>
      </w:r>
      <w:r w:rsidR="00921EDE" w:rsidRPr="005D179A">
        <w:rPr>
          <w:lang w:val="en-GB"/>
        </w:rPr>
        <w:t>.</w:t>
      </w:r>
    </w:p>
    <w:p w14:paraId="67CA3189" w14:textId="33975489" w:rsidR="00921EDE" w:rsidRPr="003D7BAE" w:rsidRDefault="00921EDE" w:rsidP="00921EDE">
      <w:pPr>
        <w:pStyle w:val="SingleTxtG"/>
        <w:numPr>
          <w:ilvl w:val="0"/>
          <w:numId w:val="46"/>
        </w:numPr>
        <w:ind w:left="1170" w:hanging="36"/>
      </w:pPr>
      <w:r w:rsidRPr="00921EDE">
        <w:rPr>
          <w:lang w:val="en-GB"/>
        </w:rPr>
        <w:t xml:space="preserve">In Annex 1 to this document, the two possible options </w:t>
      </w:r>
      <w:r w:rsidR="00AE5FC0">
        <w:rPr>
          <w:lang w:val="en-GB"/>
        </w:rPr>
        <w:t>elaborated</w:t>
      </w:r>
      <w:r w:rsidR="00AE5FC0" w:rsidRPr="00921EDE">
        <w:rPr>
          <w:lang w:val="en-GB"/>
        </w:rPr>
        <w:t xml:space="preserve"> </w:t>
      </w:r>
      <w:r w:rsidRPr="00921EDE">
        <w:rPr>
          <w:lang w:val="en-GB"/>
        </w:rPr>
        <w:t xml:space="preserve">above are displayed side by side in order to facilitate the discussions. </w:t>
      </w:r>
      <w:r w:rsidR="003D7BAE">
        <w:rPr>
          <w:lang w:val="en-GB"/>
        </w:rPr>
        <w:t>As stated in the introduction to this paper, t</w:t>
      </w:r>
      <w:r w:rsidRPr="00921EDE">
        <w:rPr>
          <w:lang w:val="en-GB"/>
        </w:rPr>
        <w:t>his does not exclude that there are other possibilities to achieve the desired hazard comm</w:t>
      </w:r>
      <w:r w:rsidR="003D7BAE">
        <w:rPr>
          <w:lang w:val="en-GB"/>
        </w:rPr>
        <w:t>unication</w:t>
      </w:r>
      <w:r w:rsidRPr="00921EDE">
        <w:rPr>
          <w:lang w:val="en-GB"/>
        </w:rPr>
        <w:t xml:space="preserve"> and the precise wordings can of course be refined.</w:t>
      </w:r>
    </w:p>
    <w:p w14:paraId="7FE3089A" w14:textId="73580A77" w:rsidR="00921EDE" w:rsidRPr="003D7BAE" w:rsidRDefault="00921EDE" w:rsidP="00921EDE">
      <w:pPr>
        <w:pStyle w:val="SingleTxtG"/>
        <w:tabs>
          <w:tab w:val="right" w:pos="1710"/>
        </w:tabs>
        <w:rPr>
          <w:b/>
          <w:sz w:val="24"/>
        </w:rPr>
      </w:pPr>
      <w:r w:rsidRPr="003D7BAE">
        <w:rPr>
          <w:b/>
          <w:sz w:val="24"/>
          <w:lang w:val="en-GB"/>
        </w:rPr>
        <w:t>Hazard communication for Subcategory 2A</w:t>
      </w:r>
    </w:p>
    <w:p w14:paraId="61F8531B" w14:textId="0C218504" w:rsidR="00921EDE" w:rsidRPr="00921EDE" w:rsidRDefault="00921EDE" w:rsidP="00921EDE">
      <w:pPr>
        <w:pStyle w:val="SingleTxtG"/>
        <w:numPr>
          <w:ilvl w:val="0"/>
          <w:numId w:val="46"/>
        </w:numPr>
        <w:ind w:left="1170" w:hanging="36"/>
      </w:pPr>
      <w:r w:rsidRPr="00921EDE">
        <w:rPr>
          <w:lang w:val="en-GB"/>
        </w:rPr>
        <w:t xml:space="preserve">Subcategory 2A will </w:t>
      </w:r>
      <w:r w:rsidR="005D179A">
        <w:rPr>
          <w:lang w:val="en-GB"/>
        </w:rPr>
        <w:t xml:space="preserve">presumably </w:t>
      </w:r>
      <w:r w:rsidRPr="00921EDE">
        <w:rPr>
          <w:lang w:val="en-GB"/>
        </w:rPr>
        <w:t xml:space="preserve">comprise all substances, mixtures and articles assigned to Division 1.1, 1.2, 1.3, 1.5 and 1.6, as well as </w:t>
      </w:r>
      <w:r w:rsidR="005D179A">
        <w:rPr>
          <w:lang w:val="en-GB"/>
        </w:rPr>
        <w:t>those</w:t>
      </w:r>
      <w:r w:rsidRPr="00921EDE">
        <w:rPr>
          <w:lang w:val="en-GB"/>
        </w:rPr>
        <w:t xml:space="preserve"> assigned to Division 1.4</w:t>
      </w:r>
      <w:r w:rsidR="00BB46AD">
        <w:rPr>
          <w:lang w:val="en-GB"/>
        </w:rPr>
        <w:t xml:space="preserve"> that do not qualify for classification in Subcategory 2B or 2C</w:t>
      </w:r>
      <w:r w:rsidRPr="00921EDE">
        <w:rPr>
          <w:lang w:val="en-GB"/>
        </w:rPr>
        <w:t>.</w:t>
      </w:r>
      <w:r w:rsidR="0013097E">
        <w:rPr>
          <w:rStyle w:val="FootnoteReference"/>
          <w:lang w:val="en-GB"/>
        </w:rPr>
        <w:footnoteReference w:id="6"/>
      </w:r>
      <w:r w:rsidRPr="00921EDE">
        <w:rPr>
          <w:lang w:val="en-GB"/>
        </w:rPr>
        <w:t xml:space="preserve"> The general hazard of these is that they are all explosive in some sense,</w:t>
      </w:r>
      <w:r w:rsidR="004B6B5D">
        <w:rPr>
          <w:lang w:val="en-GB"/>
        </w:rPr>
        <w:t xml:space="preserve"> and</w:t>
      </w:r>
      <w:r w:rsidRPr="00921EDE">
        <w:rPr>
          <w:lang w:val="en-GB"/>
        </w:rPr>
        <w:t xml:space="preserve"> the ICG </w:t>
      </w:r>
      <w:r w:rsidR="005D179A">
        <w:rPr>
          <w:lang w:val="en-GB"/>
        </w:rPr>
        <w:t>appears to be</w:t>
      </w:r>
      <w:r w:rsidRPr="00921EDE">
        <w:rPr>
          <w:lang w:val="en-GB"/>
        </w:rPr>
        <w:t xml:space="preserve"> in</w:t>
      </w:r>
      <w:r w:rsidR="004B6B5D">
        <w:rPr>
          <w:lang w:val="en-GB"/>
        </w:rPr>
        <w:t xml:space="preserve"> some</w:t>
      </w:r>
      <w:r w:rsidRPr="00921EDE">
        <w:rPr>
          <w:lang w:val="en-GB"/>
        </w:rPr>
        <w:t xml:space="preserve"> agreement on assigning the exploding bomb symbol (GHS01) and the signal word Danger to </w:t>
      </w:r>
      <w:r w:rsidR="005D179A">
        <w:rPr>
          <w:lang w:val="en-GB"/>
        </w:rPr>
        <w:t>Subc</w:t>
      </w:r>
      <w:r w:rsidRPr="00921EDE">
        <w:rPr>
          <w:lang w:val="en-GB"/>
        </w:rPr>
        <w:t>ategory 2A</w:t>
      </w:r>
      <w:r w:rsidR="001C43A4">
        <w:rPr>
          <w:lang w:val="en-GB"/>
        </w:rPr>
        <w:t>, which represents a high hazard.</w:t>
      </w:r>
    </w:p>
    <w:p w14:paraId="43814374" w14:textId="1FBD5FC9" w:rsidR="00921EDE" w:rsidRPr="00921EDE" w:rsidRDefault="00921EDE" w:rsidP="00921EDE">
      <w:pPr>
        <w:pStyle w:val="SingleTxtG"/>
        <w:numPr>
          <w:ilvl w:val="0"/>
          <w:numId w:val="46"/>
        </w:numPr>
        <w:ind w:left="1170" w:hanging="36"/>
      </w:pPr>
      <w:r w:rsidRPr="00921EDE">
        <w:rPr>
          <w:lang w:val="en-GB"/>
        </w:rPr>
        <w:t>Regarding the hazard statement</w:t>
      </w:r>
      <w:r w:rsidR="00E710DD">
        <w:rPr>
          <w:lang w:val="en-GB"/>
        </w:rPr>
        <w:t xml:space="preserve"> for Subcategory 2A</w:t>
      </w:r>
      <w:r w:rsidRPr="00921EDE">
        <w:rPr>
          <w:lang w:val="en-GB"/>
        </w:rPr>
        <w:t>, the discussions within the ICG have revolved around the simple statement “Explosive”. It has been argued by many ICG-</w:t>
      </w:r>
      <w:r w:rsidRPr="00921EDE">
        <w:rPr>
          <w:lang w:val="en-GB"/>
        </w:rPr>
        <w:lastRenderedPageBreak/>
        <w:t xml:space="preserve">members that “Explosive” is a clear and universally understood warning </w:t>
      </w:r>
      <w:r w:rsidR="003D7BAE">
        <w:rPr>
          <w:lang w:val="en-GB"/>
        </w:rPr>
        <w:t xml:space="preserve">that is </w:t>
      </w:r>
      <w:r w:rsidRPr="00921EDE">
        <w:rPr>
          <w:lang w:val="en-GB"/>
        </w:rPr>
        <w:t xml:space="preserve">sufficient to describe the hazardous effect regardless of whether it is a </w:t>
      </w:r>
      <w:r w:rsidR="00C77EDD">
        <w:rPr>
          <w:lang w:val="en-GB"/>
        </w:rPr>
        <w:t>shock</w:t>
      </w:r>
      <w:r w:rsidRPr="00921EDE">
        <w:rPr>
          <w:lang w:val="en-GB"/>
        </w:rPr>
        <w:t xml:space="preserve"> wave, energetic fragments or </w:t>
      </w:r>
      <w:r w:rsidR="005D179A">
        <w:rPr>
          <w:lang w:val="en-GB"/>
        </w:rPr>
        <w:t>intense</w:t>
      </w:r>
      <w:r w:rsidRPr="00921EDE">
        <w:rPr>
          <w:lang w:val="en-GB"/>
        </w:rPr>
        <w:t xml:space="preserve"> fire.</w:t>
      </w:r>
    </w:p>
    <w:p w14:paraId="41C7968A" w14:textId="384B0B0E" w:rsidR="00921EDE" w:rsidRPr="00921EDE" w:rsidRDefault="003D7BAE" w:rsidP="00921EDE">
      <w:pPr>
        <w:pStyle w:val="SingleTxtG"/>
        <w:numPr>
          <w:ilvl w:val="0"/>
          <w:numId w:val="46"/>
        </w:numPr>
        <w:ind w:left="1170" w:hanging="36"/>
      </w:pPr>
      <w:r>
        <w:rPr>
          <w:lang w:val="en-GB"/>
        </w:rPr>
        <w:t>As a result of discussions in the ICG, i</w:t>
      </w:r>
      <w:r w:rsidR="00921EDE" w:rsidRPr="00921EDE">
        <w:rPr>
          <w:lang w:val="en-GB"/>
        </w:rPr>
        <w:t xml:space="preserve">t has been agreed that the division </w:t>
      </w:r>
      <w:r>
        <w:rPr>
          <w:lang w:val="en-GB"/>
        </w:rPr>
        <w:t xml:space="preserve">(as configured </w:t>
      </w:r>
      <w:r w:rsidR="00921EDE" w:rsidRPr="00921EDE">
        <w:rPr>
          <w:lang w:val="en-GB"/>
        </w:rPr>
        <w:t xml:space="preserve">for transport) </w:t>
      </w:r>
      <w:r w:rsidR="005D179A">
        <w:rPr>
          <w:lang w:val="en-GB"/>
        </w:rPr>
        <w:t>should</w:t>
      </w:r>
      <w:r w:rsidR="00921EDE" w:rsidRPr="00921EDE">
        <w:rPr>
          <w:lang w:val="en-GB"/>
        </w:rPr>
        <w:t xml:space="preserve"> be stated on the GHS-label in some way for Explosives</w:t>
      </w:r>
      <w:r>
        <w:rPr>
          <w:lang w:val="en-GB"/>
        </w:rPr>
        <w:t xml:space="preserve"> at least</w:t>
      </w:r>
      <w:r w:rsidR="00921EDE" w:rsidRPr="00921EDE">
        <w:rPr>
          <w:lang w:val="en-GB"/>
        </w:rPr>
        <w:t xml:space="preserve"> in </w:t>
      </w:r>
      <w:r w:rsidR="00596A6E">
        <w:rPr>
          <w:lang w:val="en-GB"/>
        </w:rPr>
        <w:t>Subc</w:t>
      </w:r>
      <w:r w:rsidR="00921EDE" w:rsidRPr="00921EDE">
        <w:rPr>
          <w:lang w:val="en-GB"/>
        </w:rPr>
        <w:t>ategory 2A</w:t>
      </w:r>
      <w:r w:rsidR="005D179A">
        <w:rPr>
          <w:lang w:val="en-GB"/>
        </w:rPr>
        <w:t>.</w:t>
      </w:r>
      <w:r>
        <w:rPr>
          <w:rStyle w:val="FootnoteReference"/>
          <w:lang w:val="en-GB"/>
        </w:rPr>
        <w:footnoteReference w:id="7"/>
      </w:r>
      <w:r w:rsidR="005D179A">
        <w:rPr>
          <w:lang w:val="en-GB"/>
        </w:rPr>
        <w:t xml:space="preserve"> </w:t>
      </w:r>
      <w:r w:rsidR="00921EDE" w:rsidRPr="00921EDE">
        <w:rPr>
          <w:lang w:val="en-GB"/>
        </w:rPr>
        <w:t>Looking at</w:t>
      </w:r>
      <w:r w:rsidR="00F41C1E">
        <w:rPr>
          <w:lang w:val="en-GB"/>
        </w:rPr>
        <w:t xml:space="preserve"> the options available </w:t>
      </w:r>
      <w:r w:rsidR="00921EDE" w:rsidRPr="00921EDE">
        <w:rPr>
          <w:lang w:val="en-GB"/>
        </w:rPr>
        <w:t xml:space="preserve">within the GHS, this could be </w:t>
      </w:r>
      <w:r>
        <w:rPr>
          <w:lang w:val="en-GB"/>
        </w:rPr>
        <w:t>achieved</w:t>
      </w:r>
      <w:r w:rsidR="00921EDE" w:rsidRPr="00921EDE">
        <w:rPr>
          <w:lang w:val="en-GB"/>
        </w:rPr>
        <w:t xml:space="preserve"> in </w:t>
      </w:r>
      <w:r>
        <w:rPr>
          <w:lang w:val="en-GB"/>
        </w:rPr>
        <w:t xml:space="preserve">a few </w:t>
      </w:r>
      <w:r w:rsidR="00921EDE" w:rsidRPr="00921EDE">
        <w:rPr>
          <w:lang w:val="en-GB"/>
        </w:rPr>
        <w:t>ways.</w:t>
      </w:r>
    </w:p>
    <w:p w14:paraId="50480322" w14:textId="72B44AC4" w:rsidR="00921EDE" w:rsidRPr="00921EDE" w:rsidRDefault="00921EDE" w:rsidP="00921EDE">
      <w:pPr>
        <w:pStyle w:val="SingleTxtG"/>
        <w:numPr>
          <w:ilvl w:val="0"/>
          <w:numId w:val="46"/>
        </w:numPr>
        <w:ind w:left="1170" w:hanging="36"/>
      </w:pPr>
      <w:r w:rsidRPr="00921EDE">
        <w:rPr>
          <w:lang w:val="en-GB"/>
        </w:rPr>
        <w:t>One option could be to make that hazard statement “flexible”, e.g. “Explosive (state division as configured for transport)”, rendering for example “Explosive, Division 1.1”</w:t>
      </w:r>
      <w:r w:rsidR="00394C2E">
        <w:rPr>
          <w:lang w:val="en-GB"/>
        </w:rPr>
        <w:t xml:space="preserve"> on the GHS label</w:t>
      </w:r>
      <w:r w:rsidR="00596A6E">
        <w:rPr>
          <w:lang w:val="en-GB"/>
        </w:rPr>
        <w:t>. Whether this c</w:t>
      </w:r>
      <w:r w:rsidRPr="00921EDE">
        <w:rPr>
          <w:lang w:val="en-GB"/>
        </w:rPr>
        <w:t xml:space="preserve">ould be considered </w:t>
      </w:r>
      <w:r w:rsidR="003D7BAE">
        <w:rPr>
          <w:lang w:val="en-GB"/>
        </w:rPr>
        <w:t xml:space="preserve">to be </w:t>
      </w:r>
      <w:r w:rsidRPr="00921EDE">
        <w:rPr>
          <w:lang w:val="en-GB"/>
        </w:rPr>
        <w:t>a</w:t>
      </w:r>
      <w:r w:rsidR="003D7BAE">
        <w:rPr>
          <w:lang w:val="en-GB"/>
        </w:rPr>
        <w:t xml:space="preserve"> true</w:t>
      </w:r>
      <w:r w:rsidRPr="00921EDE">
        <w:rPr>
          <w:lang w:val="en-GB"/>
        </w:rPr>
        <w:t xml:space="preserve"> hazar</w:t>
      </w:r>
      <w:r w:rsidR="00596A6E">
        <w:rPr>
          <w:lang w:val="en-GB"/>
        </w:rPr>
        <w:t>d statement is an open question to the expert from Sweden,</w:t>
      </w:r>
      <w:r w:rsidRPr="00921EDE">
        <w:rPr>
          <w:lang w:val="en-GB"/>
        </w:rPr>
        <w:t xml:space="preserve"> given that the division number does not</w:t>
      </w:r>
      <w:r w:rsidR="00596A6E">
        <w:rPr>
          <w:lang w:val="en-GB"/>
        </w:rPr>
        <w:t xml:space="preserve"> really</w:t>
      </w:r>
      <w:r w:rsidRPr="00921EDE">
        <w:rPr>
          <w:lang w:val="en-GB"/>
        </w:rPr>
        <w:t xml:space="preserve"> communicate a hazard to those that do not understand what a division is and what it means.</w:t>
      </w:r>
    </w:p>
    <w:p w14:paraId="6FB54642" w14:textId="09DC9489" w:rsidR="00921EDE" w:rsidRPr="00921EDE" w:rsidRDefault="00921EDE" w:rsidP="002E1536">
      <w:pPr>
        <w:pStyle w:val="SingleTxtG"/>
        <w:numPr>
          <w:ilvl w:val="0"/>
          <w:numId w:val="46"/>
        </w:numPr>
        <w:ind w:left="1170" w:hanging="36"/>
      </w:pPr>
      <w:r w:rsidRPr="00921EDE">
        <w:rPr>
          <w:lang w:val="en-GB"/>
        </w:rPr>
        <w:t xml:space="preserve">Another option is to use a precautionary statement </w:t>
      </w:r>
      <w:r w:rsidR="003D7BAE">
        <w:rPr>
          <w:lang w:val="en-GB"/>
        </w:rPr>
        <w:t xml:space="preserve">that </w:t>
      </w:r>
      <w:r w:rsidRPr="00921EDE">
        <w:rPr>
          <w:lang w:val="en-GB"/>
        </w:rPr>
        <w:t>includ</w:t>
      </w:r>
      <w:r w:rsidR="003D7BAE">
        <w:rPr>
          <w:lang w:val="en-GB"/>
        </w:rPr>
        <w:t>es</w:t>
      </w:r>
      <w:r w:rsidRPr="00921EDE">
        <w:rPr>
          <w:lang w:val="en-GB"/>
        </w:rPr>
        <w:t xml:space="preserve"> the division, e.g. “Store as Division 1.X in the original transport configuration</w:t>
      </w:r>
      <w:r w:rsidR="002E1536">
        <w:rPr>
          <w:lang w:val="en-GB"/>
        </w:rPr>
        <w:t>.</w:t>
      </w:r>
      <w:r w:rsidRPr="00921EDE">
        <w:rPr>
          <w:lang w:val="en-GB"/>
        </w:rPr>
        <w:t>”</w:t>
      </w:r>
      <w:r w:rsidR="002E1536">
        <w:rPr>
          <w:lang w:val="en-GB"/>
        </w:rPr>
        <w:t xml:space="preserve"> or the more elaborate “</w:t>
      </w:r>
      <w:r w:rsidR="009806A7">
        <w:t xml:space="preserve">Store </w:t>
      </w:r>
      <w:r w:rsidR="002E1536" w:rsidRPr="002E1536">
        <w:t>in accordance with applicable regulation and hazard analysis/risk assessment. Division 1.X in the original transport configuration</w:t>
      </w:r>
      <w:r w:rsidR="002E1536" w:rsidRPr="002E1536">
        <w:rPr>
          <w:lang w:val="en-GB"/>
        </w:rPr>
        <w:t>.”</w:t>
      </w:r>
      <w:r w:rsidR="009806A7">
        <w:rPr>
          <w:lang w:val="en-GB"/>
        </w:rPr>
        <w:t>.</w:t>
      </w:r>
      <w:r w:rsidRPr="002E1536">
        <w:rPr>
          <w:lang w:val="en-GB"/>
        </w:rPr>
        <w:t xml:space="preserve"> Juri</w:t>
      </w:r>
      <w:r w:rsidR="003D7BAE" w:rsidRPr="002E1536">
        <w:rPr>
          <w:lang w:val="en-GB"/>
        </w:rPr>
        <w:t>sdictions implementing the GHS c</w:t>
      </w:r>
      <w:r w:rsidRPr="002E1536">
        <w:rPr>
          <w:lang w:val="en-GB"/>
        </w:rPr>
        <w:t xml:space="preserve">ould then require this precautionary </w:t>
      </w:r>
      <w:r w:rsidR="003D7BAE" w:rsidRPr="002E1536">
        <w:rPr>
          <w:lang w:val="en-GB"/>
        </w:rPr>
        <w:t>statement</w:t>
      </w:r>
      <w:r w:rsidRPr="002E1536">
        <w:rPr>
          <w:lang w:val="en-GB"/>
        </w:rPr>
        <w:t xml:space="preserve"> on the GHS-label, or at least </w:t>
      </w:r>
      <w:r w:rsidR="003D7BAE" w:rsidRPr="002E1536">
        <w:rPr>
          <w:lang w:val="en-GB"/>
        </w:rPr>
        <w:t>(strongly)</w:t>
      </w:r>
      <w:r w:rsidRPr="002E1536">
        <w:rPr>
          <w:lang w:val="en-GB"/>
        </w:rPr>
        <w:t xml:space="preserve"> encourage it. One version of this</w:t>
      </w:r>
      <w:r w:rsidR="003D7BAE" w:rsidRPr="002E1536">
        <w:rPr>
          <w:lang w:val="en-GB"/>
        </w:rPr>
        <w:t xml:space="preserve"> potential solution</w:t>
      </w:r>
      <w:r w:rsidRPr="002E1536">
        <w:rPr>
          <w:lang w:val="en-GB"/>
        </w:rPr>
        <w:t xml:space="preserve"> that has been brought </w:t>
      </w:r>
      <w:r w:rsidR="00394C2E">
        <w:rPr>
          <w:lang w:val="en-GB"/>
        </w:rPr>
        <w:t>forward</w:t>
      </w:r>
      <w:r w:rsidRPr="002E1536">
        <w:rPr>
          <w:lang w:val="en-GB"/>
        </w:rPr>
        <w:t xml:space="preserve"> in the ICG discussions is to modify the current precautionary statement P234 (“Keep only in original packaging.”).</w:t>
      </w:r>
    </w:p>
    <w:p w14:paraId="7243A335" w14:textId="6B8117EF" w:rsidR="00921EDE" w:rsidRPr="003D7BAE" w:rsidRDefault="00921EDE" w:rsidP="00921EDE">
      <w:pPr>
        <w:pStyle w:val="SingleTxtG"/>
        <w:numPr>
          <w:ilvl w:val="0"/>
          <w:numId w:val="46"/>
        </w:numPr>
        <w:ind w:left="1170" w:hanging="36"/>
      </w:pPr>
      <w:r w:rsidRPr="00921EDE">
        <w:rPr>
          <w:lang w:val="en-GB"/>
        </w:rPr>
        <w:t>A further option is to state the division as supplemental information on the label. Section 1.4.6.3 within Chapter 1.4 of the GHS describes what supplemental information is, and the provisions for it. The only example of supplemental information that the expert from Sweden can find in the GHS is for Respiratory or skin sensitization (Chapter 3.4), where in sub-section 3.4.4.2 there is a provision that “[…] certain authorities may choose to require the name of the ingredients as a supplemental label element whether or not the mixture as a whole is classified as sensitizer.”. Mimicking this, it may be considered to add a provision in Chapter 2.1 stating that “authorities may choose to require the division as configured for transport as a supplemental label element</w:t>
      </w:r>
      <w:r>
        <w:rPr>
          <w:lang w:val="en-GB"/>
        </w:rPr>
        <w:t>”.</w:t>
      </w:r>
    </w:p>
    <w:p w14:paraId="0DC7781E" w14:textId="67CFB0A4" w:rsidR="007E5491" w:rsidRPr="003D7BAE" w:rsidRDefault="00921EDE" w:rsidP="003D7BAE">
      <w:pPr>
        <w:pStyle w:val="SingleTxtG"/>
        <w:numPr>
          <w:ilvl w:val="0"/>
          <w:numId w:val="46"/>
        </w:numPr>
        <w:ind w:left="1170" w:hanging="36"/>
      </w:pPr>
      <w:r w:rsidRPr="003D7BAE">
        <w:rPr>
          <w:lang w:val="en-GB"/>
        </w:rPr>
        <w:t>In Annex 2 to this document, the three options for hazard communication for Subcategory 2A</w:t>
      </w:r>
      <w:r w:rsidR="00AE5FC0">
        <w:rPr>
          <w:lang w:val="en-GB"/>
        </w:rPr>
        <w:t xml:space="preserve"> elaborated</w:t>
      </w:r>
      <w:r w:rsidRPr="003D7BAE">
        <w:rPr>
          <w:lang w:val="en-GB"/>
        </w:rPr>
        <w:t xml:space="preserve"> above are displayed side by side, to facilitate the discussions.</w:t>
      </w:r>
      <w:r w:rsidR="005D179A" w:rsidRPr="003D7BAE">
        <w:rPr>
          <w:lang w:val="en-GB"/>
        </w:rPr>
        <w:t xml:space="preserve"> </w:t>
      </w:r>
      <w:r w:rsidR="003D7BAE">
        <w:rPr>
          <w:lang w:val="en-GB"/>
        </w:rPr>
        <w:t>Again, t</w:t>
      </w:r>
      <w:r w:rsidR="005D179A" w:rsidRPr="003D7BAE">
        <w:rPr>
          <w:lang w:val="en-GB"/>
        </w:rPr>
        <w:t>his does not exclude that there are other possibilities to achieve the desired hazard communication, and the precise wordings can of course be refined</w:t>
      </w:r>
      <w:r w:rsidR="00D365C0">
        <w:rPr>
          <w:lang w:val="en-GB"/>
        </w:rPr>
        <w:t xml:space="preserve"> also here</w:t>
      </w:r>
      <w:r w:rsidR="005D179A" w:rsidRPr="003D7BAE">
        <w:rPr>
          <w:lang w:val="en-GB"/>
        </w:rPr>
        <w:t>.</w:t>
      </w:r>
    </w:p>
    <w:p w14:paraId="4355C156" w14:textId="62313AFA" w:rsidR="00921EDE" w:rsidRPr="00921EDE" w:rsidRDefault="00921EDE" w:rsidP="00921EDE">
      <w:pPr>
        <w:pStyle w:val="SingleTxtG"/>
        <w:tabs>
          <w:tab w:val="right" w:pos="1710"/>
        </w:tabs>
        <w:ind w:left="1170"/>
        <w:rPr>
          <w:b/>
        </w:rPr>
      </w:pPr>
      <w:r w:rsidRPr="003D7BAE">
        <w:rPr>
          <w:b/>
          <w:sz w:val="24"/>
          <w:lang w:val="en-GB"/>
        </w:rPr>
        <w:t xml:space="preserve">Hazard communication for </w:t>
      </w:r>
      <w:r w:rsidR="007E5491" w:rsidRPr="003D7BAE">
        <w:rPr>
          <w:b/>
          <w:sz w:val="24"/>
          <w:lang w:val="en-GB"/>
        </w:rPr>
        <w:t>Subc</w:t>
      </w:r>
      <w:r w:rsidRPr="003D7BAE">
        <w:rPr>
          <w:b/>
          <w:sz w:val="24"/>
          <w:lang w:val="en-GB"/>
        </w:rPr>
        <w:t xml:space="preserve">ategory </w:t>
      </w:r>
      <w:r w:rsidR="007E5491" w:rsidRPr="003D7BAE">
        <w:rPr>
          <w:b/>
          <w:sz w:val="24"/>
          <w:lang w:val="en-GB"/>
        </w:rPr>
        <w:t>2B and 2C</w:t>
      </w:r>
    </w:p>
    <w:p w14:paraId="509C66FA" w14:textId="7AFCC115" w:rsidR="0097096A" w:rsidRPr="0097096A" w:rsidRDefault="00921EDE" w:rsidP="00921EDE">
      <w:pPr>
        <w:pStyle w:val="SingleTxtG"/>
        <w:numPr>
          <w:ilvl w:val="0"/>
          <w:numId w:val="46"/>
        </w:numPr>
        <w:ind w:left="1170" w:hanging="36"/>
      </w:pPr>
      <w:r w:rsidRPr="00921EDE">
        <w:rPr>
          <w:lang w:val="en-GB"/>
        </w:rPr>
        <w:t xml:space="preserve">Subcategory 2B </w:t>
      </w:r>
      <w:r w:rsidR="009A0512">
        <w:rPr>
          <w:lang w:val="en-GB"/>
        </w:rPr>
        <w:t xml:space="preserve">and 2C </w:t>
      </w:r>
      <w:r w:rsidRPr="00921EDE">
        <w:rPr>
          <w:lang w:val="en-GB"/>
        </w:rPr>
        <w:t xml:space="preserve">will </w:t>
      </w:r>
      <w:r w:rsidR="003D7BAE">
        <w:rPr>
          <w:lang w:val="en-GB"/>
        </w:rPr>
        <w:t xml:space="preserve">presumably </w:t>
      </w:r>
      <w:r w:rsidRPr="00921EDE">
        <w:rPr>
          <w:lang w:val="en-GB"/>
        </w:rPr>
        <w:t xml:space="preserve">comprise Explosives assigned to Division 1.4 that meet some additional criteria </w:t>
      </w:r>
      <w:r w:rsidR="00BB1F55">
        <w:rPr>
          <w:lang w:val="en-GB"/>
        </w:rPr>
        <w:t xml:space="preserve">basically </w:t>
      </w:r>
      <w:r w:rsidR="00686E85">
        <w:rPr>
          <w:lang w:val="en-GB"/>
        </w:rPr>
        <w:t>demonstrating</w:t>
      </w:r>
      <w:r w:rsidR="00686E85" w:rsidRPr="00921EDE">
        <w:rPr>
          <w:lang w:val="en-GB"/>
        </w:rPr>
        <w:t xml:space="preserve"> </w:t>
      </w:r>
      <w:r w:rsidRPr="00921EDE">
        <w:rPr>
          <w:lang w:val="en-GB"/>
        </w:rPr>
        <w:t>that the assignment to</w:t>
      </w:r>
      <w:r w:rsidR="00686E85">
        <w:rPr>
          <w:lang w:val="en-GB"/>
        </w:rPr>
        <w:t xml:space="preserve"> this division (which is the least hazardous amongst the divisions</w:t>
      </w:r>
      <w:r w:rsidR="00686E85">
        <w:rPr>
          <w:rStyle w:val="FootnoteReference"/>
          <w:lang w:val="en-GB"/>
        </w:rPr>
        <w:footnoteReference w:id="8"/>
      </w:r>
      <w:r w:rsidR="00686E85">
        <w:rPr>
          <w:lang w:val="en-GB"/>
        </w:rPr>
        <w:t>)</w:t>
      </w:r>
      <w:r w:rsidRPr="00921EDE">
        <w:rPr>
          <w:lang w:val="en-GB"/>
        </w:rPr>
        <w:t xml:space="preserve"> does not depend on a particular configuration</w:t>
      </w:r>
      <w:r w:rsidR="009A0512">
        <w:rPr>
          <w:lang w:val="en-GB"/>
        </w:rPr>
        <w:t xml:space="preserve"> other than possibly the immediate container</w:t>
      </w:r>
      <w:r w:rsidR="00730989">
        <w:rPr>
          <w:lang w:val="en-GB"/>
        </w:rPr>
        <w:t>/</w:t>
      </w:r>
      <w:r w:rsidR="009A0512">
        <w:rPr>
          <w:lang w:val="en-GB"/>
        </w:rPr>
        <w:t>primary packaging</w:t>
      </w:r>
      <w:r w:rsidRPr="00921EDE">
        <w:rPr>
          <w:lang w:val="en-GB"/>
        </w:rPr>
        <w:t>.</w:t>
      </w:r>
      <w:r w:rsidR="009A0512">
        <w:rPr>
          <w:rStyle w:val="FootnoteReference"/>
          <w:lang w:val="en-GB"/>
        </w:rPr>
        <w:footnoteReference w:id="9"/>
      </w:r>
      <w:r w:rsidRPr="00921EDE">
        <w:rPr>
          <w:lang w:val="en-GB"/>
        </w:rPr>
        <w:t xml:space="preserve"> </w:t>
      </w:r>
      <w:r w:rsidR="0093578F">
        <w:rPr>
          <w:lang w:val="en-GB"/>
        </w:rPr>
        <w:t>Only e</w:t>
      </w:r>
      <w:r w:rsidR="009A0512">
        <w:rPr>
          <w:lang w:val="en-GB"/>
        </w:rPr>
        <w:t xml:space="preserve">xplosives in </w:t>
      </w:r>
      <w:r w:rsidR="0093578F">
        <w:rPr>
          <w:lang w:val="en-GB"/>
        </w:rPr>
        <w:t>D</w:t>
      </w:r>
      <w:r w:rsidR="0097096A">
        <w:rPr>
          <w:lang w:val="en-GB"/>
        </w:rPr>
        <w:t>ivision</w:t>
      </w:r>
      <w:r w:rsidR="0093578F">
        <w:rPr>
          <w:lang w:val="en-GB"/>
        </w:rPr>
        <w:t xml:space="preserve"> 1.4</w:t>
      </w:r>
      <w:r w:rsidR="0097096A">
        <w:rPr>
          <w:lang w:val="en-GB"/>
        </w:rPr>
        <w:t xml:space="preserve"> </w:t>
      </w:r>
      <w:r w:rsidR="00730989">
        <w:rPr>
          <w:lang w:val="en-GB"/>
        </w:rPr>
        <w:t xml:space="preserve">that </w:t>
      </w:r>
      <w:r w:rsidR="0097096A">
        <w:rPr>
          <w:lang w:val="en-GB"/>
        </w:rPr>
        <w:t>have been</w:t>
      </w:r>
      <w:r w:rsidR="009A0512">
        <w:rPr>
          <w:lang w:val="en-GB"/>
        </w:rPr>
        <w:t xml:space="preserve"> assigned to Compatibility </w:t>
      </w:r>
      <w:r w:rsidR="0097096A">
        <w:rPr>
          <w:lang w:val="en-GB"/>
        </w:rPr>
        <w:t>g</w:t>
      </w:r>
      <w:r w:rsidR="009A0512">
        <w:rPr>
          <w:lang w:val="en-GB"/>
        </w:rPr>
        <w:t>roup</w:t>
      </w:r>
      <w:r w:rsidR="001B4D1A">
        <w:rPr>
          <w:rStyle w:val="FootnoteReference"/>
          <w:lang w:val="en-GB"/>
        </w:rPr>
        <w:footnoteReference w:id="10"/>
      </w:r>
      <w:r w:rsidR="009A0512">
        <w:rPr>
          <w:lang w:val="en-GB"/>
        </w:rPr>
        <w:t xml:space="preserve"> S (as configured for transport) </w:t>
      </w:r>
      <w:r w:rsidR="00730989">
        <w:rPr>
          <w:lang w:val="en-GB"/>
        </w:rPr>
        <w:t xml:space="preserve">and meet the additional criteria </w:t>
      </w:r>
      <w:r w:rsidR="009A0512">
        <w:rPr>
          <w:lang w:val="en-GB"/>
        </w:rPr>
        <w:t>will be eligible for Category 2C</w:t>
      </w:r>
      <w:r w:rsidR="0097096A">
        <w:rPr>
          <w:lang w:val="en-GB"/>
        </w:rPr>
        <w:t xml:space="preserve">, which is the </w:t>
      </w:r>
      <w:r w:rsidR="0097096A">
        <w:rPr>
          <w:lang w:val="en-GB"/>
        </w:rPr>
        <w:lastRenderedPageBreak/>
        <w:t>category representing a low hazard.</w:t>
      </w:r>
      <w:r w:rsidR="009A0512">
        <w:rPr>
          <w:lang w:val="en-GB"/>
        </w:rPr>
        <w:t xml:space="preserve"> </w:t>
      </w:r>
      <w:r w:rsidR="0097096A">
        <w:rPr>
          <w:lang w:val="en-GB"/>
        </w:rPr>
        <w:t>Explosives in Division 1.4 assigned to any other Compatibility group would be referred to Subcategory 2B</w:t>
      </w:r>
      <w:r w:rsidR="001C43A4">
        <w:rPr>
          <w:lang w:val="en-GB"/>
        </w:rPr>
        <w:t>, which represents a medium hazard, provided they meet the additional criteria</w:t>
      </w:r>
      <w:r w:rsidR="0097096A">
        <w:rPr>
          <w:lang w:val="en-GB"/>
        </w:rPr>
        <w:t>.</w:t>
      </w:r>
    </w:p>
    <w:p w14:paraId="0EEA9E22" w14:textId="7E522FAC" w:rsidR="00921EDE" w:rsidRPr="00921EDE" w:rsidRDefault="00C76CB6" w:rsidP="00921EDE">
      <w:pPr>
        <w:pStyle w:val="SingleTxtG"/>
        <w:numPr>
          <w:ilvl w:val="0"/>
          <w:numId w:val="46"/>
        </w:numPr>
        <w:ind w:left="1170" w:hanging="36"/>
      </w:pPr>
      <w:r>
        <w:rPr>
          <w:lang w:val="en-GB"/>
        </w:rPr>
        <w:t>C</w:t>
      </w:r>
      <w:r w:rsidR="00AE5FC0" w:rsidRPr="00AE5FC0">
        <w:rPr>
          <w:lang w:val="en-GB"/>
        </w:rPr>
        <w:t xml:space="preserve">riteria </w:t>
      </w:r>
      <w:r w:rsidR="00AE5FC0">
        <w:rPr>
          <w:lang w:val="en-GB"/>
        </w:rPr>
        <w:t>for Subcategory 2B and 2C where</w:t>
      </w:r>
      <w:r w:rsidR="00CC6B48">
        <w:rPr>
          <w:lang w:val="en-GB"/>
        </w:rPr>
        <w:t xml:space="preserve"> provisionally</w:t>
      </w:r>
      <w:r w:rsidR="00AE5FC0">
        <w:rPr>
          <w:lang w:val="en-GB"/>
        </w:rPr>
        <w:t xml:space="preserve"> agreed </w:t>
      </w:r>
      <w:r w:rsidR="00AB3AEE">
        <w:rPr>
          <w:lang w:val="en-GB"/>
        </w:rPr>
        <w:t>at the 36:th session of the SCEGHS, but it was noted that some fine-tuning was still needed to complete them.</w:t>
      </w:r>
      <w:r w:rsidR="00AB3AEE">
        <w:rPr>
          <w:rStyle w:val="FootnoteReference"/>
          <w:lang w:val="en-GB"/>
        </w:rPr>
        <w:footnoteReference w:id="11"/>
      </w:r>
      <w:r w:rsidR="00AB3AEE">
        <w:rPr>
          <w:lang w:val="en-GB"/>
        </w:rPr>
        <w:t xml:space="preserve"> </w:t>
      </w:r>
      <w:r w:rsidR="00921EDE" w:rsidRPr="00921EDE">
        <w:rPr>
          <w:lang w:val="en-GB"/>
        </w:rPr>
        <w:t>At the</w:t>
      </w:r>
      <w:r w:rsidR="00AB3AEE">
        <w:rPr>
          <w:lang w:val="en-GB"/>
        </w:rPr>
        <w:t xml:space="preserve"> time</w:t>
      </w:r>
      <w:r w:rsidR="00921EDE" w:rsidRPr="00921EDE">
        <w:rPr>
          <w:lang w:val="en-GB"/>
        </w:rPr>
        <w:t xml:space="preserve"> of writing there are still discussions on the precise </w:t>
      </w:r>
      <w:r w:rsidR="001A6D98">
        <w:rPr>
          <w:lang w:val="en-GB"/>
        </w:rPr>
        <w:t>wordings for these</w:t>
      </w:r>
      <w:r w:rsidR="00C35039">
        <w:rPr>
          <w:lang w:val="en-GB"/>
        </w:rPr>
        <w:t xml:space="preserve">, and it is anticipated that the experts of the Working Group on Explosives </w:t>
      </w:r>
      <w:r w:rsidR="009806A7">
        <w:rPr>
          <w:lang w:val="en-GB"/>
        </w:rPr>
        <w:t xml:space="preserve">(EWG) </w:t>
      </w:r>
      <w:r w:rsidR="00C35039">
        <w:rPr>
          <w:lang w:val="en-GB"/>
        </w:rPr>
        <w:t xml:space="preserve">will fine-tune them at their meeting in parallel with the 55:th </w:t>
      </w:r>
      <w:r w:rsidR="0017432E">
        <w:rPr>
          <w:lang w:val="en-GB"/>
        </w:rPr>
        <w:t xml:space="preserve">session of the </w:t>
      </w:r>
      <w:r w:rsidR="00C35039">
        <w:rPr>
          <w:lang w:val="en-GB"/>
        </w:rPr>
        <w:t>SCETDG</w:t>
      </w:r>
      <w:r w:rsidR="0097096A">
        <w:rPr>
          <w:lang w:val="en-GB"/>
        </w:rPr>
        <w:t>. There has also been concern raised as regards</w:t>
      </w:r>
      <w:r w:rsidR="001A6D98">
        <w:rPr>
          <w:lang w:val="en-GB"/>
        </w:rPr>
        <w:t xml:space="preserve"> </w:t>
      </w:r>
      <w:r w:rsidR="0097096A">
        <w:rPr>
          <w:lang w:val="en-GB"/>
        </w:rPr>
        <w:t>allow</w:t>
      </w:r>
      <w:r w:rsidR="001A6D98">
        <w:rPr>
          <w:lang w:val="en-GB"/>
        </w:rPr>
        <w:t>ing</w:t>
      </w:r>
      <w:r w:rsidR="0097096A">
        <w:rPr>
          <w:lang w:val="en-GB"/>
        </w:rPr>
        <w:t xml:space="preserve"> any detonating articles (such as blasting caps) into Subcategory 2B or 2C, even if they meet the criteria due to a </w:t>
      </w:r>
      <w:r w:rsidR="00040997">
        <w:rPr>
          <w:lang w:val="en-GB"/>
        </w:rPr>
        <w:t xml:space="preserve">mitigating </w:t>
      </w:r>
      <w:r w:rsidR="0097096A">
        <w:rPr>
          <w:lang w:val="en-GB"/>
        </w:rPr>
        <w:t>immediate container</w:t>
      </w:r>
      <w:r w:rsidR="001A6D98">
        <w:rPr>
          <w:lang w:val="en-GB"/>
        </w:rPr>
        <w:t>/</w:t>
      </w:r>
      <w:r w:rsidR="00040997">
        <w:rPr>
          <w:lang w:val="en-GB"/>
        </w:rPr>
        <w:t xml:space="preserve"> </w:t>
      </w:r>
      <w:r w:rsidR="0097096A">
        <w:rPr>
          <w:lang w:val="en-GB"/>
        </w:rPr>
        <w:t>primary packaging. S</w:t>
      </w:r>
      <w:r w:rsidR="00921EDE" w:rsidRPr="00921EDE">
        <w:rPr>
          <w:lang w:val="en-GB"/>
        </w:rPr>
        <w:t xml:space="preserve">ome have </w:t>
      </w:r>
      <w:r w:rsidR="0097096A">
        <w:rPr>
          <w:lang w:val="en-GB"/>
        </w:rPr>
        <w:t xml:space="preserve">also </w:t>
      </w:r>
      <w:r w:rsidR="00921EDE" w:rsidRPr="00921EDE">
        <w:rPr>
          <w:lang w:val="en-GB"/>
        </w:rPr>
        <w:t xml:space="preserve">argued that </w:t>
      </w:r>
      <w:r w:rsidR="0097096A">
        <w:rPr>
          <w:lang w:val="en-GB"/>
        </w:rPr>
        <w:t>substances and mixtures should not be eligible for these classifications</w:t>
      </w:r>
      <w:r w:rsidR="002F6F3E">
        <w:rPr>
          <w:lang w:val="en-GB"/>
        </w:rPr>
        <w:t>.</w:t>
      </w:r>
    </w:p>
    <w:p w14:paraId="4D4F01B9" w14:textId="4293C1E2" w:rsidR="009F6555" w:rsidRDefault="00921EDE" w:rsidP="009F6555">
      <w:pPr>
        <w:pStyle w:val="SingleTxtG"/>
        <w:numPr>
          <w:ilvl w:val="0"/>
          <w:numId w:val="46"/>
        </w:numPr>
        <w:ind w:left="1170" w:hanging="36"/>
      </w:pPr>
      <w:r w:rsidRPr="00921EDE">
        <w:rPr>
          <w:lang w:val="en-GB"/>
        </w:rPr>
        <w:t xml:space="preserve">The appropriate hazard communication elements for </w:t>
      </w:r>
      <w:r w:rsidR="00BB1F55">
        <w:rPr>
          <w:lang w:val="en-GB"/>
        </w:rPr>
        <w:t>s</w:t>
      </w:r>
      <w:r w:rsidRPr="00921EDE">
        <w:rPr>
          <w:lang w:val="en-GB"/>
        </w:rPr>
        <w:t>ubcategor</w:t>
      </w:r>
      <w:r w:rsidR="00BB1F55">
        <w:rPr>
          <w:lang w:val="en-GB"/>
        </w:rPr>
        <w:t>ies</w:t>
      </w:r>
      <w:r w:rsidRPr="00921EDE">
        <w:rPr>
          <w:lang w:val="en-GB"/>
        </w:rPr>
        <w:t xml:space="preserve"> 2B and 2C w</w:t>
      </w:r>
      <w:r w:rsidR="00BB1F55">
        <w:rPr>
          <w:lang w:val="en-GB"/>
        </w:rPr>
        <w:t xml:space="preserve">ould </w:t>
      </w:r>
      <w:r w:rsidRPr="00921EDE">
        <w:rPr>
          <w:lang w:val="en-GB"/>
        </w:rPr>
        <w:t>depend on what type</w:t>
      </w:r>
      <w:r w:rsidR="002F6F3E">
        <w:rPr>
          <w:lang w:val="en-GB"/>
        </w:rPr>
        <w:t>s</w:t>
      </w:r>
      <w:r w:rsidR="00EB619D">
        <w:rPr>
          <w:lang w:val="en-GB"/>
        </w:rPr>
        <w:t xml:space="preserve"> of e</w:t>
      </w:r>
      <w:r w:rsidRPr="00921EDE">
        <w:rPr>
          <w:lang w:val="en-GB"/>
        </w:rPr>
        <w:t xml:space="preserve">xplosives </w:t>
      </w:r>
      <w:r w:rsidR="00BB1F55">
        <w:rPr>
          <w:lang w:val="en-GB"/>
        </w:rPr>
        <w:t xml:space="preserve">they </w:t>
      </w:r>
      <w:r w:rsidR="00EB619D">
        <w:rPr>
          <w:lang w:val="en-GB"/>
        </w:rPr>
        <w:t xml:space="preserve">will </w:t>
      </w:r>
      <w:r w:rsidR="00BB1F55">
        <w:rPr>
          <w:lang w:val="en-GB"/>
        </w:rPr>
        <w:t>comprise, and hence needs to await the precise criteria</w:t>
      </w:r>
      <w:r w:rsidRPr="00921EDE">
        <w:rPr>
          <w:lang w:val="en-GB"/>
        </w:rPr>
        <w:t xml:space="preserve">. </w:t>
      </w:r>
      <w:r w:rsidR="002C0878">
        <w:rPr>
          <w:lang w:val="en-GB"/>
        </w:rPr>
        <w:t xml:space="preserve">Very preliminary </w:t>
      </w:r>
      <w:r w:rsidR="00BB46AD">
        <w:rPr>
          <w:lang w:val="en-GB"/>
        </w:rPr>
        <w:t>discussions</w:t>
      </w:r>
      <w:r w:rsidR="00BB2421">
        <w:rPr>
          <w:lang w:val="en-GB"/>
        </w:rPr>
        <w:t xml:space="preserve"> within the ICG have revolved around the signal word “Warning” and the hazard statement “Fire or projection hazard” (which is the existing H204) for both subcategories</w:t>
      </w:r>
      <w:r w:rsidR="0063781E">
        <w:rPr>
          <w:lang w:val="en-GB"/>
        </w:rPr>
        <w:t>. As regards the symbol</w:t>
      </w:r>
      <w:r w:rsidR="00BB2421">
        <w:rPr>
          <w:lang w:val="en-GB"/>
        </w:rPr>
        <w:t xml:space="preserve">, </w:t>
      </w:r>
      <w:r w:rsidR="002F6F3E">
        <w:rPr>
          <w:lang w:val="en-GB"/>
        </w:rPr>
        <w:t>it has been discussed</w:t>
      </w:r>
      <w:r w:rsidR="0063781E">
        <w:rPr>
          <w:lang w:val="en-GB"/>
        </w:rPr>
        <w:t xml:space="preserve"> </w:t>
      </w:r>
      <w:r w:rsidR="002F6F3E">
        <w:rPr>
          <w:lang w:val="en-GB"/>
        </w:rPr>
        <w:t>to assign</w:t>
      </w:r>
      <w:r w:rsidR="0063781E">
        <w:rPr>
          <w:lang w:val="en-GB"/>
        </w:rPr>
        <w:t xml:space="preserve"> the “exploding bomb” to</w:t>
      </w:r>
      <w:r w:rsidR="00BB2421">
        <w:rPr>
          <w:lang w:val="en-GB"/>
        </w:rPr>
        <w:t xml:space="preserve"> Subcategory 2B</w:t>
      </w:r>
      <w:r w:rsidR="00AF0185">
        <w:rPr>
          <w:lang w:val="en-GB"/>
        </w:rPr>
        <w:t xml:space="preserve"> but </w:t>
      </w:r>
      <w:r w:rsidR="002F6F3E">
        <w:rPr>
          <w:lang w:val="en-GB"/>
        </w:rPr>
        <w:t xml:space="preserve">that it </w:t>
      </w:r>
      <w:r w:rsidR="00AF0185">
        <w:rPr>
          <w:lang w:val="en-GB"/>
        </w:rPr>
        <w:t xml:space="preserve">may not be </w:t>
      </w:r>
      <w:r w:rsidR="00EB0F55">
        <w:rPr>
          <w:lang w:val="en-GB"/>
        </w:rPr>
        <w:t>needed</w:t>
      </w:r>
      <w:r w:rsidR="00AF0185">
        <w:rPr>
          <w:lang w:val="en-GB"/>
        </w:rPr>
        <w:t xml:space="preserve"> for Subcategory 2C.</w:t>
      </w:r>
      <w:r w:rsidR="00BB46AD">
        <w:rPr>
          <w:lang w:val="en-GB"/>
        </w:rPr>
        <w:t xml:space="preserve"> </w:t>
      </w:r>
    </w:p>
    <w:p w14:paraId="3DD2F8A3" w14:textId="0DB28F97" w:rsidR="00D77866" w:rsidRPr="00D77866" w:rsidRDefault="009F6555" w:rsidP="00D77866">
      <w:pPr>
        <w:pStyle w:val="SingleTxtG"/>
        <w:numPr>
          <w:ilvl w:val="0"/>
          <w:numId w:val="46"/>
        </w:numPr>
        <w:ind w:left="1170" w:hanging="36"/>
      </w:pPr>
      <w:r>
        <w:rPr>
          <w:lang w:val="en-GB"/>
        </w:rPr>
        <w:t>In Annex 3</w:t>
      </w:r>
      <w:r w:rsidRPr="003D7BAE">
        <w:rPr>
          <w:lang w:val="en-GB"/>
        </w:rPr>
        <w:t xml:space="preserve"> to this document, the </w:t>
      </w:r>
      <w:r>
        <w:rPr>
          <w:lang w:val="en-GB"/>
        </w:rPr>
        <w:t xml:space="preserve">possible </w:t>
      </w:r>
      <w:r w:rsidRPr="003D7BAE">
        <w:rPr>
          <w:lang w:val="en-GB"/>
        </w:rPr>
        <w:t xml:space="preserve">hazard communication </w:t>
      </w:r>
      <w:r>
        <w:rPr>
          <w:lang w:val="en-GB"/>
        </w:rPr>
        <w:t xml:space="preserve">elements </w:t>
      </w:r>
      <w:r w:rsidRPr="003D7BAE">
        <w:rPr>
          <w:lang w:val="en-GB"/>
        </w:rPr>
        <w:t>for Subcategory 2</w:t>
      </w:r>
      <w:r>
        <w:rPr>
          <w:lang w:val="en-GB"/>
        </w:rPr>
        <w:t xml:space="preserve">B and 2C as </w:t>
      </w:r>
      <w:r w:rsidR="00157AA8">
        <w:rPr>
          <w:lang w:val="en-GB"/>
        </w:rPr>
        <w:t>outlined</w:t>
      </w:r>
      <w:r>
        <w:rPr>
          <w:lang w:val="en-GB"/>
        </w:rPr>
        <w:t xml:space="preserve"> above are shown, to facilitate the discussions</w:t>
      </w:r>
      <w:r w:rsidRPr="003D7BAE">
        <w:rPr>
          <w:lang w:val="en-GB"/>
        </w:rPr>
        <w:t>.</w:t>
      </w:r>
      <w:r w:rsidRPr="009F6555">
        <w:rPr>
          <w:lang w:val="en-GB"/>
        </w:rPr>
        <w:t xml:space="preserve"> </w:t>
      </w:r>
      <w:r w:rsidRPr="00921EDE">
        <w:rPr>
          <w:lang w:val="en-GB"/>
        </w:rPr>
        <w:t xml:space="preserve">The expert from Sweden </w:t>
      </w:r>
      <w:r>
        <w:rPr>
          <w:lang w:val="en-GB"/>
        </w:rPr>
        <w:t>observes</w:t>
      </w:r>
      <w:r w:rsidRPr="00921EDE">
        <w:rPr>
          <w:lang w:val="en-GB"/>
        </w:rPr>
        <w:t xml:space="preserve"> that there was a discussion on the need for the exploding bomb symbol to appear on</w:t>
      </w:r>
      <w:r>
        <w:rPr>
          <w:lang w:val="en-GB"/>
        </w:rPr>
        <w:t xml:space="preserve"> the GHS label for</w:t>
      </w:r>
      <w:r w:rsidRPr="00921EDE">
        <w:rPr>
          <w:lang w:val="en-GB"/>
        </w:rPr>
        <w:t xml:space="preserve"> Explosives assigned to Division 1.4 more than ten years ago that may still be relevant</w:t>
      </w:r>
      <w:r>
        <w:rPr>
          <w:lang w:val="en-GB"/>
        </w:rPr>
        <w:t xml:space="preserve"> in the current discussions around th</w:t>
      </w:r>
      <w:r w:rsidR="00E96409">
        <w:rPr>
          <w:lang w:val="en-GB"/>
        </w:rPr>
        <w:t>is</w:t>
      </w:r>
      <w:r>
        <w:rPr>
          <w:lang w:val="en-GB"/>
        </w:rPr>
        <w:t>.</w:t>
      </w:r>
      <w:r>
        <w:rPr>
          <w:rStyle w:val="FootnoteReference"/>
          <w:lang w:val="en-GB"/>
        </w:rPr>
        <w:footnoteReference w:id="12"/>
      </w:r>
    </w:p>
    <w:p w14:paraId="2512CEDB" w14:textId="4F3259C1" w:rsidR="00921EDE" w:rsidRPr="00E96409" w:rsidRDefault="00921EDE" w:rsidP="00993B19">
      <w:pPr>
        <w:pStyle w:val="SingleTxtG"/>
        <w:rPr>
          <w:lang w:val="en-GB"/>
        </w:rPr>
      </w:pPr>
      <w:r w:rsidRPr="00BB1F55">
        <w:rPr>
          <w:lang w:val="en-GB"/>
        </w:rPr>
        <w:br/>
      </w:r>
    </w:p>
    <w:p w14:paraId="05AEBB90" w14:textId="783B1CAF" w:rsidR="007E5491" w:rsidRPr="007E5491" w:rsidRDefault="007E5491" w:rsidP="007E5491">
      <w:pPr>
        <w:pStyle w:val="SingleTxtG"/>
        <w:tabs>
          <w:tab w:val="right" w:pos="1710"/>
        </w:tabs>
        <w:ind w:left="0"/>
      </w:pPr>
    </w:p>
    <w:p w14:paraId="42B0F377" w14:textId="77777777" w:rsidR="007E5491" w:rsidRDefault="007E5491">
      <w:pPr>
        <w:suppressAutoHyphens w:val="0"/>
        <w:spacing w:line="240" w:lineRule="auto"/>
        <w:rPr>
          <w:rFonts w:eastAsia="Garamond"/>
          <w:b/>
          <w:sz w:val="24"/>
        </w:rPr>
      </w:pPr>
      <w:r>
        <w:rPr>
          <w:rFonts w:eastAsia="Garamond"/>
          <w:b/>
          <w:sz w:val="24"/>
        </w:rPr>
        <w:br w:type="page"/>
      </w:r>
    </w:p>
    <w:p w14:paraId="5A8BCA52" w14:textId="02B05B73" w:rsidR="007E5491" w:rsidRPr="007E5491" w:rsidRDefault="007E5491" w:rsidP="00596A6E">
      <w:pPr>
        <w:suppressAutoHyphens w:val="0"/>
        <w:spacing w:after="160" w:line="259" w:lineRule="auto"/>
        <w:ind w:firstLine="1134"/>
        <w:rPr>
          <w:rFonts w:eastAsia="Garamond"/>
          <w:b/>
          <w:sz w:val="24"/>
        </w:rPr>
      </w:pPr>
      <w:r w:rsidRPr="007E5491">
        <w:rPr>
          <w:rFonts w:eastAsia="Garamond"/>
          <w:b/>
          <w:sz w:val="24"/>
        </w:rPr>
        <w:lastRenderedPageBreak/>
        <w:t>Annex 1</w:t>
      </w:r>
    </w:p>
    <w:p w14:paraId="3FDD9DFB" w14:textId="5D408900" w:rsidR="007E5491" w:rsidRPr="009411DE" w:rsidRDefault="007842F6" w:rsidP="00E43372">
      <w:pPr>
        <w:suppressAutoHyphens w:val="0"/>
        <w:spacing w:after="160" w:line="259" w:lineRule="auto"/>
        <w:ind w:left="1134" w:right="1133"/>
        <w:rPr>
          <w:rFonts w:eastAsia="Garamond"/>
          <w:b/>
        </w:rPr>
      </w:pPr>
      <w:r>
        <w:rPr>
          <w:rFonts w:eastAsia="Garamond"/>
          <w:b/>
          <w:sz w:val="24"/>
        </w:rPr>
        <w:t>O</w:t>
      </w:r>
      <w:r w:rsidR="007E5491" w:rsidRPr="003001BA">
        <w:rPr>
          <w:rFonts w:eastAsia="Garamond"/>
          <w:b/>
          <w:sz w:val="24"/>
        </w:rPr>
        <w:t>ptions for Category 1 hazard communication elements</w:t>
      </w:r>
      <w:r w:rsidR="00596A6E" w:rsidRPr="003001BA">
        <w:rPr>
          <w:rFonts w:eastAsia="Garamond"/>
          <w:b/>
          <w:sz w:val="24"/>
        </w:rPr>
        <w:t>.</w:t>
      </w:r>
    </w:p>
    <w:tbl>
      <w:tblPr>
        <w:tblStyle w:val="Tabellrutnt1"/>
        <w:tblW w:w="7581" w:type="dxa"/>
        <w:tblInd w:w="1129" w:type="dxa"/>
        <w:tblLayout w:type="fixed"/>
        <w:tblLook w:val="0600" w:firstRow="0" w:lastRow="0" w:firstColumn="0" w:lastColumn="0" w:noHBand="1" w:noVBand="1"/>
      </w:tblPr>
      <w:tblGrid>
        <w:gridCol w:w="1560"/>
        <w:gridCol w:w="2976"/>
        <w:gridCol w:w="3045"/>
      </w:tblGrid>
      <w:tr w:rsidR="00596A6E" w:rsidRPr="007E5491" w14:paraId="49D3D7A6" w14:textId="77777777" w:rsidTr="0044100B">
        <w:trPr>
          <w:trHeight w:val="255"/>
        </w:trPr>
        <w:tc>
          <w:tcPr>
            <w:tcW w:w="1560" w:type="dxa"/>
            <w:tcBorders>
              <w:bottom w:val="single" w:sz="12" w:space="0" w:color="auto"/>
              <w:right w:val="single" w:sz="12" w:space="0" w:color="auto"/>
            </w:tcBorders>
          </w:tcPr>
          <w:p w14:paraId="5DEDC3BF" w14:textId="77777777" w:rsidR="007E5491" w:rsidRPr="007E5491" w:rsidRDefault="007E5491" w:rsidP="007E5491">
            <w:pPr>
              <w:suppressAutoHyphens w:val="0"/>
              <w:spacing w:after="160" w:line="259" w:lineRule="auto"/>
              <w:rPr>
                <w:rFonts w:ascii="Times New Roman" w:hAnsi="Times New Roman"/>
                <w:sz w:val="20"/>
                <w:szCs w:val="20"/>
                <w:lang w:val="en-GB"/>
              </w:rPr>
            </w:pPr>
          </w:p>
        </w:tc>
        <w:tc>
          <w:tcPr>
            <w:tcW w:w="2976" w:type="dxa"/>
            <w:tcBorders>
              <w:left w:val="single" w:sz="12" w:space="0" w:color="auto"/>
              <w:bottom w:val="single" w:sz="12" w:space="0" w:color="auto"/>
            </w:tcBorders>
          </w:tcPr>
          <w:p w14:paraId="057B71A6" w14:textId="77777777" w:rsidR="007E5491" w:rsidRPr="007E5491" w:rsidRDefault="007E5491" w:rsidP="00596A6E">
            <w:pPr>
              <w:suppressAutoHyphens w:val="0"/>
              <w:spacing w:after="160" w:line="259" w:lineRule="auto"/>
              <w:jc w:val="center"/>
              <w:rPr>
                <w:rFonts w:ascii="Times New Roman" w:hAnsi="Times New Roman"/>
                <w:b/>
                <w:sz w:val="20"/>
                <w:szCs w:val="20"/>
              </w:rPr>
            </w:pPr>
            <w:r w:rsidRPr="007E5491">
              <w:rPr>
                <w:rFonts w:ascii="Times New Roman" w:hAnsi="Times New Roman"/>
                <w:b/>
                <w:sz w:val="20"/>
                <w:szCs w:val="20"/>
              </w:rPr>
              <w:t>Option 1</w:t>
            </w:r>
          </w:p>
        </w:tc>
        <w:tc>
          <w:tcPr>
            <w:tcW w:w="3045" w:type="dxa"/>
            <w:tcBorders>
              <w:bottom w:val="single" w:sz="12" w:space="0" w:color="auto"/>
            </w:tcBorders>
          </w:tcPr>
          <w:p w14:paraId="6BC3990F" w14:textId="77777777" w:rsidR="007E5491" w:rsidRPr="007E5491" w:rsidRDefault="007E5491" w:rsidP="00596A6E">
            <w:pPr>
              <w:suppressAutoHyphens w:val="0"/>
              <w:spacing w:after="160" w:line="259" w:lineRule="auto"/>
              <w:jc w:val="center"/>
              <w:rPr>
                <w:rFonts w:ascii="Times New Roman" w:hAnsi="Times New Roman"/>
                <w:b/>
                <w:sz w:val="20"/>
                <w:szCs w:val="20"/>
              </w:rPr>
            </w:pPr>
            <w:r w:rsidRPr="007E5491">
              <w:rPr>
                <w:rFonts w:ascii="Times New Roman" w:hAnsi="Times New Roman"/>
                <w:b/>
                <w:sz w:val="20"/>
                <w:szCs w:val="20"/>
              </w:rPr>
              <w:t>Option 2</w:t>
            </w:r>
          </w:p>
        </w:tc>
      </w:tr>
      <w:tr w:rsidR="00596A6E" w:rsidRPr="007E5491" w14:paraId="3DA21300" w14:textId="77777777" w:rsidTr="0044100B">
        <w:trPr>
          <w:trHeight w:val="543"/>
        </w:trPr>
        <w:tc>
          <w:tcPr>
            <w:tcW w:w="1560" w:type="dxa"/>
            <w:tcBorders>
              <w:top w:val="single" w:sz="12" w:space="0" w:color="auto"/>
              <w:right w:val="single" w:sz="12" w:space="0" w:color="auto"/>
            </w:tcBorders>
          </w:tcPr>
          <w:p w14:paraId="5F04D73D"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Symbol</w:t>
            </w:r>
          </w:p>
        </w:tc>
        <w:tc>
          <w:tcPr>
            <w:tcW w:w="2976" w:type="dxa"/>
            <w:tcBorders>
              <w:top w:val="single" w:sz="12" w:space="0" w:color="auto"/>
              <w:left w:val="single" w:sz="12" w:space="0" w:color="auto"/>
            </w:tcBorders>
          </w:tcPr>
          <w:p w14:paraId="57C23A7E"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Exploding bomb</w:t>
            </w:r>
          </w:p>
        </w:tc>
        <w:tc>
          <w:tcPr>
            <w:tcW w:w="3045" w:type="dxa"/>
            <w:tcBorders>
              <w:top w:val="single" w:sz="12" w:space="0" w:color="auto"/>
            </w:tcBorders>
          </w:tcPr>
          <w:p w14:paraId="514ACCDD"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Exploding bomb</w:t>
            </w:r>
          </w:p>
        </w:tc>
      </w:tr>
      <w:tr w:rsidR="00596A6E" w:rsidRPr="007E5491" w14:paraId="5852FE49" w14:textId="77777777" w:rsidTr="0044100B">
        <w:trPr>
          <w:trHeight w:val="552"/>
        </w:trPr>
        <w:tc>
          <w:tcPr>
            <w:tcW w:w="1560" w:type="dxa"/>
            <w:tcBorders>
              <w:right w:val="single" w:sz="12" w:space="0" w:color="auto"/>
            </w:tcBorders>
          </w:tcPr>
          <w:p w14:paraId="0DBFC33D"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Signal word</w:t>
            </w:r>
          </w:p>
        </w:tc>
        <w:tc>
          <w:tcPr>
            <w:tcW w:w="2976" w:type="dxa"/>
            <w:tcBorders>
              <w:left w:val="single" w:sz="12" w:space="0" w:color="auto"/>
            </w:tcBorders>
          </w:tcPr>
          <w:p w14:paraId="10B1C5A4"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Danger</w:t>
            </w:r>
          </w:p>
        </w:tc>
        <w:tc>
          <w:tcPr>
            <w:tcW w:w="3045" w:type="dxa"/>
          </w:tcPr>
          <w:p w14:paraId="0EF7ED30"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Danger</w:t>
            </w:r>
          </w:p>
        </w:tc>
      </w:tr>
      <w:tr w:rsidR="00596A6E" w:rsidRPr="007E5491" w14:paraId="42A6B14E" w14:textId="77777777" w:rsidTr="0044100B">
        <w:trPr>
          <w:trHeight w:val="2543"/>
        </w:trPr>
        <w:tc>
          <w:tcPr>
            <w:tcW w:w="1560" w:type="dxa"/>
            <w:tcBorders>
              <w:right w:val="single" w:sz="12" w:space="0" w:color="auto"/>
            </w:tcBorders>
          </w:tcPr>
          <w:p w14:paraId="02F22B09"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Hazard statement</w:t>
            </w:r>
          </w:p>
        </w:tc>
        <w:tc>
          <w:tcPr>
            <w:tcW w:w="2976" w:type="dxa"/>
            <w:tcBorders>
              <w:left w:val="single" w:sz="12" w:space="0" w:color="auto"/>
            </w:tcBorders>
          </w:tcPr>
          <w:p w14:paraId="36869230" w14:textId="1F8B30E9"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Explosive (</w:t>
            </w:r>
            <w:r w:rsidRPr="00A461D9">
              <w:rPr>
                <w:rFonts w:ascii="Times New Roman" w:hAnsi="Times New Roman"/>
                <w:i/>
                <w:sz w:val="20"/>
                <w:szCs w:val="20"/>
                <w:lang w:val="en-GB"/>
              </w:rPr>
              <w:t>state if explosive is extremely sensitive to impact, friction or elevated temperatures, or if these properties have not been determined</w:t>
            </w:r>
            <w:r w:rsidRPr="007E5491">
              <w:rPr>
                <w:rFonts w:ascii="Times New Roman" w:hAnsi="Times New Roman"/>
                <w:sz w:val="20"/>
                <w:szCs w:val="20"/>
                <w:lang w:val="en-GB"/>
              </w:rPr>
              <w:t>*)</w:t>
            </w:r>
          </w:p>
          <w:p w14:paraId="63A30C95" w14:textId="08EE2F76"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w:t>
            </w:r>
            <w:r w:rsidRPr="006C315B">
              <w:rPr>
                <w:rFonts w:ascii="Times New Roman" w:hAnsi="Times New Roman"/>
                <w:i/>
                <w:sz w:val="20"/>
                <w:szCs w:val="20"/>
                <w:lang w:val="en-GB"/>
              </w:rPr>
              <w:t>Te</w:t>
            </w:r>
            <w:r w:rsidR="00D45FE3" w:rsidRPr="006C315B">
              <w:rPr>
                <w:rFonts w:ascii="Times New Roman" w:hAnsi="Times New Roman"/>
                <w:i/>
                <w:sz w:val="20"/>
                <w:szCs w:val="20"/>
                <w:lang w:val="en-GB"/>
              </w:rPr>
              <w:t>sts series 3 of the UN Manual provides</w:t>
            </w:r>
            <w:r w:rsidRPr="006C315B">
              <w:rPr>
                <w:rFonts w:ascii="Times New Roman" w:hAnsi="Times New Roman"/>
                <w:i/>
                <w:sz w:val="20"/>
                <w:szCs w:val="20"/>
                <w:lang w:val="en-GB"/>
              </w:rPr>
              <w:t xml:space="preserve"> a suitable set of tests to determine this.</w:t>
            </w:r>
          </w:p>
        </w:tc>
        <w:tc>
          <w:tcPr>
            <w:tcW w:w="3045" w:type="dxa"/>
          </w:tcPr>
          <w:p w14:paraId="0126A579" w14:textId="77777777" w:rsidR="007E5491" w:rsidRPr="007E5491" w:rsidRDefault="007E5491" w:rsidP="007E5491">
            <w:pPr>
              <w:suppressAutoHyphens w:val="0"/>
              <w:spacing w:after="160" w:line="259" w:lineRule="auto"/>
              <w:rPr>
                <w:rFonts w:ascii="Times New Roman" w:hAnsi="Times New Roman"/>
                <w:sz w:val="20"/>
                <w:szCs w:val="20"/>
              </w:rPr>
            </w:pPr>
            <w:r w:rsidRPr="007E5491">
              <w:rPr>
                <w:rFonts w:ascii="Times New Roman" w:hAnsi="Times New Roman"/>
                <w:sz w:val="20"/>
                <w:szCs w:val="20"/>
              </w:rPr>
              <w:t>Explosive</w:t>
            </w:r>
          </w:p>
        </w:tc>
      </w:tr>
      <w:tr w:rsidR="00596A6E" w:rsidRPr="007E5491" w14:paraId="1C46A4FD" w14:textId="77777777" w:rsidTr="0044100B">
        <w:trPr>
          <w:trHeight w:val="3640"/>
        </w:trPr>
        <w:tc>
          <w:tcPr>
            <w:tcW w:w="1560" w:type="dxa"/>
            <w:tcBorders>
              <w:right w:val="single" w:sz="12" w:space="0" w:color="auto"/>
            </w:tcBorders>
          </w:tcPr>
          <w:p w14:paraId="0FECC678"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Precautionary statement</w:t>
            </w:r>
          </w:p>
        </w:tc>
        <w:tc>
          <w:tcPr>
            <w:tcW w:w="2976" w:type="dxa"/>
            <w:tcBorders>
              <w:left w:val="single" w:sz="12" w:space="0" w:color="auto"/>
            </w:tcBorders>
          </w:tcPr>
          <w:p w14:paraId="0986B354" w14:textId="77777777" w:rsidR="007E5491" w:rsidRPr="007E5491" w:rsidRDefault="007E5491" w:rsidP="007E5491">
            <w:pPr>
              <w:suppressAutoHyphens w:val="0"/>
              <w:spacing w:after="160" w:line="259" w:lineRule="auto"/>
              <w:rPr>
                <w:rFonts w:ascii="Times New Roman" w:hAnsi="Times New Roman"/>
                <w:sz w:val="20"/>
                <w:szCs w:val="20"/>
              </w:rPr>
            </w:pPr>
          </w:p>
        </w:tc>
        <w:tc>
          <w:tcPr>
            <w:tcW w:w="3045" w:type="dxa"/>
          </w:tcPr>
          <w:p w14:paraId="0F9A46CE" w14:textId="77777777"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Avoid impact/friction/elevated temperatures/… due to [possible] extreme sensitivity.</w:t>
            </w:r>
          </w:p>
          <w:p w14:paraId="2C9B0389" w14:textId="77777777" w:rsidR="007E5491" w:rsidRPr="007E5491" w:rsidRDefault="007E5491" w:rsidP="007E5491">
            <w:pPr>
              <w:suppressAutoHyphens w:val="0"/>
              <w:spacing w:after="160" w:line="259" w:lineRule="auto"/>
              <w:rPr>
                <w:rFonts w:ascii="Times New Roman" w:hAnsi="Times New Roman"/>
                <w:sz w:val="20"/>
                <w:szCs w:val="20"/>
                <w:lang w:val="en-GB"/>
              </w:rPr>
            </w:pPr>
          </w:p>
          <w:p w14:paraId="51E3692C" w14:textId="77777777"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u w:val="single"/>
                <w:lang w:val="en-GB"/>
              </w:rPr>
              <w:t>Conditions for use:</w:t>
            </w:r>
            <w:r w:rsidRPr="007E5491">
              <w:rPr>
                <w:rFonts w:ascii="Times New Roman" w:hAnsi="Times New Roman"/>
                <w:sz w:val="20"/>
                <w:szCs w:val="20"/>
                <w:lang w:val="en-GB"/>
              </w:rPr>
              <w:br/>
            </w:r>
            <w:r w:rsidRPr="007E5491">
              <w:rPr>
                <w:rFonts w:ascii="Times New Roman" w:hAnsi="Times New Roman"/>
                <w:i/>
                <w:sz w:val="20"/>
                <w:szCs w:val="20"/>
                <w:lang w:val="en-GB"/>
              </w:rPr>
              <w:t>Manufacturer/supplier or competent authority to indicate if explosive is extremely sensitive to certain stimuli as e.g. determined by Test series 3 of the UN Manual, or if these properties have not been investigated.</w:t>
            </w:r>
          </w:p>
        </w:tc>
      </w:tr>
    </w:tbl>
    <w:p w14:paraId="5D3435E1" w14:textId="77777777" w:rsidR="007E5491" w:rsidRPr="007E5491" w:rsidRDefault="007E5491" w:rsidP="007E5491">
      <w:pPr>
        <w:suppressAutoHyphens w:val="0"/>
        <w:spacing w:after="160" w:line="259" w:lineRule="auto"/>
        <w:rPr>
          <w:rFonts w:eastAsia="Garamond"/>
          <w:sz w:val="22"/>
          <w:szCs w:val="22"/>
        </w:rPr>
      </w:pPr>
    </w:p>
    <w:p w14:paraId="3703ECE1" w14:textId="77777777" w:rsidR="007E5491" w:rsidRPr="007E5491" w:rsidRDefault="007E5491" w:rsidP="007E5491">
      <w:pPr>
        <w:suppressAutoHyphens w:val="0"/>
        <w:spacing w:after="160" w:line="259" w:lineRule="auto"/>
        <w:rPr>
          <w:rFonts w:eastAsia="Garamond"/>
          <w:sz w:val="22"/>
          <w:szCs w:val="22"/>
        </w:rPr>
      </w:pPr>
      <w:r w:rsidRPr="007E5491">
        <w:rPr>
          <w:rFonts w:eastAsia="Garamond"/>
          <w:sz w:val="22"/>
          <w:szCs w:val="22"/>
        </w:rPr>
        <w:br w:type="page"/>
      </w:r>
    </w:p>
    <w:p w14:paraId="7A627A19" w14:textId="77777777" w:rsidR="007E5491" w:rsidRPr="007E5491" w:rsidRDefault="007E5491" w:rsidP="00E43372">
      <w:pPr>
        <w:tabs>
          <w:tab w:val="left" w:pos="1134"/>
        </w:tabs>
        <w:suppressAutoHyphens w:val="0"/>
        <w:spacing w:after="160" w:line="259" w:lineRule="auto"/>
        <w:ind w:left="1134" w:right="1133"/>
        <w:rPr>
          <w:rFonts w:eastAsia="Garamond"/>
          <w:b/>
          <w:sz w:val="24"/>
          <w:szCs w:val="22"/>
        </w:rPr>
      </w:pPr>
      <w:r w:rsidRPr="007E5491">
        <w:rPr>
          <w:rFonts w:eastAsia="Garamond"/>
          <w:b/>
          <w:sz w:val="24"/>
          <w:szCs w:val="22"/>
        </w:rPr>
        <w:lastRenderedPageBreak/>
        <w:t>Annex 2</w:t>
      </w:r>
    </w:p>
    <w:p w14:paraId="2EF30778" w14:textId="5882EFF3" w:rsidR="007E5491" w:rsidRPr="003001BA" w:rsidRDefault="007842F6" w:rsidP="00E43372">
      <w:pPr>
        <w:tabs>
          <w:tab w:val="left" w:pos="1134"/>
        </w:tabs>
        <w:suppressAutoHyphens w:val="0"/>
        <w:spacing w:after="160" w:line="259" w:lineRule="auto"/>
        <w:ind w:left="1134" w:right="1133"/>
        <w:rPr>
          <w:rFonts w:eastAsia="Garamond"/>
          <w:b/>
          <w:sz w:val="24"/>
          <w:szCs w:val="22"/>
        </w:rPr>
      </w:pPr>
      <w:r>
        <w:rPr>
          <w:rFonts w:eastAsia="Garamond"/>
          <w:b/>
          <w:sz w:val="24"/>
          <w:szCs w:val="22"/>
        </w:rPr>
        <w:t>O</w:t>
      </w:r>
      <w:r w:rsidR="007E5491" w:rsidRPr="003001BA">
        <w:rPr>
          <w:rFonts w:eastAsia="Garamond"/>
          <w:b/>
          <w:sz w:val="24"/>
          <w:szCs w:val="22"/>
        </w:rPr>
        <w:t>ptions for Subcategory 2A hazard communication elements</w:t>
      </w:r>
      <w:r w:rsidR="00596A6E" w:rsidRPr="003001BA">
        <w:rPr>
          <w:rFonts w:eastAsia="Garamond"/>
          <w:b/>
          <w:sz w:val="24"/>
          <w:szCs w:val="22"/>
        </w:rPr>
        <w:t>.</w:t>
      </w:r>
      <w:r w:rsidR="007E5491" w:rsidRPr="003001BA">
        <w:rPr>
          <w:rFonts w:eastAsia="Garamond"/>
          <w:b/>
          <w:sz w:val="24"/>
          <w:szCs w:val="22"/>
        </w:rPr>
        <w:t xml:space="preserve"> </w:t>
      </w:r>
    </w:p>
    <w:tbl>
      <w:tblPr>
        <w:tblStyle w:val="Tabellrutnt2"/>
        <w:tblW w:w="7933" w:type="dxa"/>
        <w:tblInd w:w="1129" w:type="dxa"/>
        <w:tblLook w:val="04A0" w:firstRow="1" w:lastRow="0" w:firstColumn="1" w:lastColumn="0" w:noHBand="0" w:noVBand="1"/>
      </w:tblPr>
      <w:tblGrid>
        <w:gridCol w:w="1438"/>
        <w:gridCol w:w="2106"/>
        <w:gridCol w:w="2253"/>
        <w:gridCol w:w="2136"/>
      </w:tblGrid>
      <w:tr w:rsidR="007E5491" w:rsidRPr="007E5491" w14:paraId="6AE9B424" w14:textId="77777777" w:rsidTr="00250ACD">
        <w:trPr>
          <w:trHeight w:val="410"/>
        </w:trPr>
        <w:tc>
          <w:tcPr>
            <w:tcW w:w="1438" w:type="dxa"/>
            <w:tcBorders>
              <w:bottom w:val="single" w:sz="12" w:space="0" w:color="auto"/>
              <w:right w:val="single" w:sz="12" w:space="0" w:color="auto"/>
            </w:tcBorders>
          </w:tcPr>
          <w:p w14:paraId="0ADED484" w14:textId="77777777" w:rsidR="007E5491" w:rsidRPr="007E5491" w:rsidRDefault="007E5491" w:rsidP="007E5491">
            <w:pPr>
              <w:suppressAutoHyphens w:val="0"/>
              <w:spacing w:line="259" w:lineRule="auto"/>
              <w:rPr>
                <w:rFonts w:ascii="Times New Roman" w:hAnsi="Times New Roman"/>
                <w:sz w:val="20"/>
                <w:szCs w:val="20"/>
                <w:lang w:val="en-GB"/>
              </w:rPr>
            </w:pPr>
          </w:p>
        </w:tc>
        <w:tc>
          <w:tcPr>
            <w:tcW w:w="2106" w:type="dxa"/>
            <w:tcBorders>
              <w:left w:val="single" w:sz="12" w:space="0" w:color="auto"/>
              <w:bottom w:val="single" w:sz="12" w:space="0" w:color="auto"/>
            </w:tcBorders>
          </w:tcPr>
          <w:p w14:paraId="218B8F77"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1</w:t>
            </w:r>
          </w:p>
        </w:tc>
        <w:tc>
          <w:tcPr>
            <w:tcW w:w="2253" w:type="dxa"/>
            <w:tcBorders>
              <w:bottom w:val="single" w:sz="12" w:space="0" w:color="auto"/>
            </w:tcBorders>
          </w:tcPr>
          <w:p w14:paraId="020B94F6"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2</w:t>
            </w:r>
          </w:p>
        </w:tc>
        <w:tc>
          <w:tcPr>
            <w:tcW w:w="2136" w:type="dxa"/>
            <w:tcBorders>
              <w:bottom w:val="single" w:sz="12" w:space="0" w:color="auto"/>
            </w:tcBorders>
          </w:tcPr>
          <w:p w14:paraId="115E54D9"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3</w:t>
            </w:r>
          </w:p>
        </w:tc>
      </w:tr>
      <w:tr w:rsidR="007E5491" w:rsidRPr="007E5491" w14:paraId="2A18D75D" w14:textId="77777777" w:rsidTr="0044100B">
        <w:trPr>
          <w:trHeight w:val="532"/>
        </w:trPr>
        <w:tc>
          <w:tcPr>
            <w:tcW w:w="1438" w:type="dxa"/>
            <w:tcBorders>
              <w:top w:val="single" w:sz="12" w:space="0" w:color="auto"/>
              <w:right w:val="single" w:sz="12" w:space="0" w:color="auto"/>
            </w:tcBorders>
          </w:tcPr>
          <w:p w14:paraId="22B0B979"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Symbol</w:t>
            </w:r>
          </w:p>
        </w:tc>
        <w:tc>
          <w:tcPr>
            <w:tcW w:w="2106" w:type="dxa"/>
            <w:tcBorders>
              <w:top w:val="single" w:sz="12" w:space="0" w:color="auto"/>
              <w:left w:val="single" w:sz="12" w:space="0" w:color="auto"/>
            </w:tcBorders>
          </w:tcPr>
          <w:p w14:paraId="70C81C1D"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c>
          <w:tcPr>
            <w:tcW w:w="2253" w:type="dxa"/>
            <w:tcBorders>
              <w:top w:val="single" w:sz="12" w:space="0" w:color="auto"/>
            </w:tcBorders>
          </w:tcPr>
          <w:p w14:paraId="47EB777A"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c>
          <w:tcPr>
            <w:tcW w:w="2136" w:type="dxa"/>
            <w:tcBorders>
              <w:top w:val="single" w:sz="12" w:space="0" w:color="auto"/>
            </w:tcBorders>
          </w:tcPr>
          <w:p w14:paraId="2F534F60"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r>
      <w:tr w:rsidR="007E5491" w:rsidRPr="007E5491" w14:paraId="220B54D5" w14:textId="77777777" w:rsidTr="0044100B">
        <w:trPr>
          <w:trHeight w:val="442"/>
        </w:trPr>
        <w:tc>
          <w:tcPr>
            <w:tcW w:w="1438" w:type="dxa"/>
            <w:tcBorders>
              <w:right w:val="single" w:sz="12" w:space="0" w:color="auto"/>
            </w:tcBorders>
          </w:tcPr>
          <w:p w14:paraId="160ADB30"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Signal word</w:t>
            </w:r>
          </w:p>
        </w:tc>
        <w:tc>
          <w:tcPr>
            <w:tcW w:w="2106" w:type="dxa"/>
            <w:tcBorders>
              <w:left w:val="single" w:sz="12" w:space="0" w:color="auto"/>
            </w:tcBorders>
          </w:tcPr>
          <w:p w14:paraId="39877018"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c>
          <w:tcPr>
            <w:tcW w:w="2253" w:type="dxa"/>
          </w:tcPr>
          <w:p w14:paraId="1BE41047"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c>
          <w:tcPr>
            <w:tcW w:w="2136" w:type="dxa"/>
          </w:tcPr>
          <w:p w14:paraId="1751392E"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r>
      <w:tr w:rsidR="007E5491" w:rsidRPr="007E5491" w14:paraId="2DE052E7" w14:textId="77777777" w:rsidTr="0044100B">
        <w:trPr>
          <w:trHeight w:val="1001"/>
        </w:trPr>
        <w:tc>
          <w:tcPr>
            <w:tcW w:w="1438" w:type="dxa"/>
            <w:tcBorders>
              <w:right w:val="single" w:sz="12" w:space="0" w:color="auto"/>
            </w:tcBorders>
          </w:tcPr>
          <w:p w14:paraId="27C22EEB"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Hazard statement</w:t>
            </w:r>
          </w:p>
        </w:tc>
        <w:tc>
          <w:tcPr>
            <w:tcW w:w="2106" w:type="dxa"/>
            <w:tcBorders>
              <w:left w:val="single" w:sz="12" w:space="0" w:color="auto"/>
            </w:tcBorders>
          </w:tcPr>
          <w:p w14:paraId="5F8EC868"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Explosive (state division as configured for transport)</w:t>
            </w:r>
          </w:p>
        </w:tc>
        <w:tc>
          <w:tcPr>
            <w:tcW w:w="2253" w:type="dxa"/>
          </w:tcPr>
          <w:p w14:paraId="03AB3239" w14:textId="77777777" w:rsidR="007E5491" w:rsidRPr="007E5491" w:rsidRDefault="007E5491" w:rsidP="007E5491">
            <w:pPr>
              <w:suppressAutoHyphens w:val="0"/>
              <w:spacing w:line="259" w:lineRule="auto"/>
              <w:rPr>
                <w:rFonts w:ascii="Times New Roman" w:hAnsi="Times New Roman"/>
                <w:sz w:val="20"/>
                <w:szCs w:val="20"/>
              </w:rPr>
            </w:pPr>
            <w:r w:rsidRPr="007E5491">
              <w:rPr>
                <w:rFonts w:ascii="Times New Roman" w:hAnsi="Times New Roman"/>
                <w:sz w:val="20"/>
                <w:szCs w:val="20"/>
              </w:rPr>
              <w:t>Explosive</w:t>
            </w:r>
          </w:p>
        </w:tc>
        <w:tc>
          <w:tcPr>
            <w:tcW w:w="2136" w:type="dxa"/>
          </w:tcPr>
          <w:p w14:paraId="59B27286" w14:textId="77777777" w:rsidR="007E5491" w:rsidRPr="007E5491" w:rsidRDefault="007E5491" w:rsidP="007E5491">
            <w:pPr>
              <w:suppressAutoHyphens w:val="0"/>
              <w:spacing w:line="259" w:lineRule="auto"/>
              <w:rPr>
                <w:rFonts w:ascii="Times New Roman" w:hAnsi="Times New Roman"/>
                <w:sz w:val="20"/>
                <w:szCs w:val="20"/>
              </w:rPr>
            </w:pPr>
            <w:r w:rsidRPr="007E5491">
              <w:rPr>
                <w:rFonts w:ascii="Times New Roman" w:hAnsi="Times New Roman"/>
                <w:sz w:val="20"/>
                <w:szCs w:val="20"/>
              </w:rPr>
              <w:t>Explosive</w:t>
            </w:r>
          </w:p>
        </w:tc>
      </w:tr>
      <w:tr w:rsidR="007E5491" w:rsidRPr="007E5491" w14:paraId="6A90D215" w14:textId="77777777" w:rsidTr="00FC73B4">
        <w:trPr>
          <w:trHeight w:val="5760"/>
        </w:trPr>
        <w:tc>
          <w:tcPr>
            <w:tcW w:w="1438" w:type="dxa"/>
            <w:tcBorders>
              <w:right w:val="single" w:sz="12" w:space="0" w:color="auto"/>
            </w:tcBorders>
          </w:tcPr>
          <w:p w14:paraId="11D921B1"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Precautionary statement</w:t>
            </w:r>
          </w:p>
        </w:tc>
        <w:tc>
          <w:tcPr>
            <w:tcW w:w="2106" w:type="dxa"/>
            <w:tcBorders>
              <w:left w:val="single" w:sz="12" w:space="0" w:color="auto"/>
            </w:tcBorders>
          </w:tcPr>
          <w:p w14:paraId="51EE3880" w14:textId="77777777" w:rsidR="007E5491" w:rsidRPr="007E5491" w:rsidRDefault="007E5491" w:rsidP="007E5491">
            <w:pPr>
              <w:suppressAutoHyphens w:val="0"/>
              <w:spacing w:line="259" w:lineRule="auto"/>
              <w:rPr>
                <w:rFonts w:ascii="Times New Roman" w:hAnsi="Times New Roman"/>
                <w:sz w:val="20"/>
                <w:szCs w:val="20"/>
              </w:rPr>
            </w:pPr>
          </w:p>
        </w:tc>
        <w:tc>
          <w:tcPr>
            <w:tcW w:w="2253" w:type="dxa"/>
          </w:tcPr>
          <w:p w14:paraId="3AFA5EFE"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Store as Division 1.X in the original transport configuration.</w:t>
            </w:r>
          </w:p>
          <w:p w14:paraId="321AFD9B" w14:textId="2D2D31CC" w:rsidR="007E5491" w:rsidRDefault="007E5491" w:rsidP="007E5491">
            <w:pPr>
              <w:suppressAutoHyphens w:val="0"/>
              <w:spacing w:line="259" w:lineRule="auto"/>
              <w:rPr>
                <w:rFonts w:ascii="Times New Roman" w:hAnsi="Times New Roman"/>
                <w:sz w:val="20"/>
                <w:szCs w:val="20"/>
                <w:lang w:val="en-GB"/>
              </w:rPr>
            </w:pPr>
          </w:p>
          <w:p w14:paraId="39DC2A90" w14:textId="2B2835B6" w:rsidR="002E1536" w:rsidRPr="002E1536" w:rsidRDefault="002E1536" w:rsidP="007E5491">
            <w:pPr>
              <w:suppressAutoHyphens w:val="0"/>
              <w:spacing w:line="259" w:lineRule="auto"/>
              <w:rPr>
                <w:rFonts w:ascii="Times New Roman" w:hAnsi="Times New Roman"/>
                <w:b/>
                <w:sz w:val="20"/>
                <w:szCs w:val="20"/>
                <w:u w:val="single"/>
                <w:lang w:val="en-GB"/>
              </w:rPr>
            </w:pPr>
            <w:r w:rsidRPr="002E1536">
              <w:rPr>
                <w:rFonts w:ascii="Times New Roman" w:hAnsi="Times New Roman"/>
                <w:b/>
                <w:sz w:val="20"/>
                <w:szCs w:val="20"/>
                <w:u w:val="single"/>
                <w:lang w:val="en-GB"/>
              </w:rPr>
              <w:t>or</w:t>
            </w:r>
          </w:p>
          <w:p w14:paraId="62300A31" w14:textId="289F8BEB" w:rsidR="002E1536" w:rsidRDefault="002E1536" w:rsidP="007E5491">
            <w:pPr>
              <w:suppressAutoHyphens w:val="0"/>
              <w:spacing w:line="259" w:lineRule="auto"/>
              <w:rPr>
                <w:rFonts w:ascii="Times New Roman" w:hAnsi="Times New Roman"/>
                <w:sz w:val="20"/>
                <w:szCs w:val="20"/>
                <w:lang w:val="en-GB"/>
              </w:rPr>
            </w:pPr>
          </w:p>
          <w:p w14:paraId="0BC77E9B" w14:textId="2A9EFACE" w:rsidR="002E1536" w:rsidRDefault="002E1536" w:rsidP="007E5491">
            <w:pPr>
              <w:suppressAutoHyphens w:val="0"/>
              <w:spacing w:line="259" w:lineRule="auto"/>
              <w:rPr>
                <w:rFonts w:ascii="Times New Roman" w:hAnsi="Times New Roman"/>
                <w:sz w:val="20"/>
                <w:szCs w:val="20"/>
                <w:lang w:val="en-GB"/>
              </w:rPr>
            </w:pPr>
            <w:r>
              <w:rPr>
                <w:rFonts w:ascii="Times New Roman" w:hAnsi="Times New Roman"/>
                <w:sz w:val="20"/>
                <w:szCs w:val="20"/>
                <w:lang w:val="en-GB"/>
              </w:rPr>
              <w:t>Store in accordance with applicable regulation and hazard analysis/risk assessment. Division 1.X in the original transport configuration.</w:t>
            </w:r>
          </w:p>
          <w:p w14:paraId="0216A903" w14:textId="77777777" w:rsidR="002E1536" w:rsidRPr="007E5491" w:rsidRDefault="002E1536" w:rsidP="007E5491">
            <w:pPr>
              <w:suppressAutoHyphens w:val="0"/>
              <w:spacing w:line="259" w:lineRule="auto"/>
              <w:rPr>
                <w:rFonts w:ascii="Times New Roman" w:hAnsi="Times New Roman"/>
                <w:sz w:val="20"/>
                <w:szCs w:val="20"/>
                <w:lang w:val="en-GB"/>
              </w:rPr>
            </w:pPr>
          </w:p>
          <w:p w14:paraId="507FFA26"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u w:val="single"/>
                <w:lang w:val="en-GB"/>
              </w:rPr>
              <w:t>Conditions for use:</w:t>
            </w:r>
            <w:r w:rsidRPr="007E5491">
              <w:rPr>
                <w:rFonts w:ascii="Times New Roman" w:hAnsi="Times New Roman"/>
                <w:sz w:val="20"/>
                <w:szCs w:val="20"/>
                <w:lang w:val="en-GB"/>
              </w:rPr>
              <w:br/>
            </w:r>
            <w:r w:rsidRPr="007E5491">
              <w:rPr>
                <w:rFonts w:ascii="Times New Roman" w:hAnsi="Times New Roman"/>
                <w:i/>
                <w:sz w:val="20"/>
                <w:szCs w:val="20"/>
                <w:lang w:val="en-GB"/>
              </w:rPr>
              <w:t>Manufacturer/supplier or competent authority to indicate the Division within Class 1 as assigned in the transport configuration according to the UN Model Regulations</w:t>
            </w:r>
          </w:p>
        </w:tc>
        <w:tc>
          <w:tcPr>
            <w:tcW w:w="2136" w:type="dxa"/>
          </w:tcPr>
          <w:p w14:paraId="58AC71A6" w14:textId="77777777" w:rsidR="007E5491" w:rsidRPr="007E5491" w:rsidRDefault="007E5491" w:rsidP="007E5491">
            <w:pPr>
              <w:suppressAutoHyphens w:val="0"/>
              <w:spacing w:line="259" w:lineRule="auto"/>
              <w:rPr>
                <w:rFonts w:ascii="Times New Roman" w:hAnsi="Times New Roman"/>
                <w:sz w:val="20"/>
                <w:szCs w:val="20"/>
                <w:lang w:val="en-GB"/>
              </w:rPr>
            </w:pPr>
          </w:p>
        </w:tc>
      </w:tr>
      <w:tr w:rsidR="00596A6E" w:rsidRPr="007E5491" w14:paraId="621BA699" w14:textId="77777777" w:rsidTr="0044100B">
        <w:trPr>
          <w:trHeight w:val="2210"/>
        </w:trPr>
        <w:tc>
          <w:tcPr>
            <w:tcW w:w="1438" w:type="dxa"/>
            <w:tcBorders>
              <w:right w:val="single" w:sz="12" w:space="0" w:color="auto"/>
            </w:tcBorders>
          </w:tcPr>
          <w:p w14:paraId="50D8553B"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Supplemental information</w:t>
            </w:r>
          </w:p>
        </w:tc>
        <w:tc>
          <w:tcPr>
            <w:tcW w:w="2106" w:type="dxa"/>
            <w:tcBorders>
              <w:left w:val="single" w:sz="12" w:space="0" w:color="auto"/>
            </w:tcBorders>
          </w:tcPr>
          <w:p w14:paraId="164A9DF7" w14:textId="77777777" w:rsidR="007E5491" w:rsidRPr="007E5491" w:rsidRDefault="007E5491" w:rsidP="007E5491">
            <w:pPr>
              <w:suppressAutoHyphens w:val="0"/>
              <w:spacing w:line="259" w:lineRule="auto"/>
              <w:rPr>
                <w:rFonts w:ascii="Times New Roman" w:hAnsi="Times New Roman"/>
                <w:sz w:val="20"/>
                <w:szCs w:val="20"/>
              </w:rPr>
            </w:pPr>
          </w:p>
        </w:tc>
        <w:tc>
          <w:tcPr>
            <w:tcW w:w="2253" w:type="dxa"/>
          </w:tcPr>
          <w:p w14:paraId="479AC4ED" w14:textId="77777777" w:rsidR="007E5491" w:rsidRPr="007E5491" w:rsidRDefault="007E5491" w:rsidP="007E5491">
            <w:pPr>
              <w:suppressAutoHyphens w:val="0"/>
              <w:spacing w:line="259" w:lineRule="auto"/>
              <w:rPr>
                <w:rFonts w:ascii="Times New Roman" w:hAnsi="Times New Roman"/>
                <w:sz w:val="20"/>
                <w:szCs w:val="20"/>
              </w:rPr>
            </w:pPr>
          </w:p>
        </w:tc>
        <w:tc>
          <w:tcPr>
            <w:tcW w:w="2136" w:type="dxa"/>
          </w:tcPr>
          <w:p w14:paraId="17819AC8"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Statement in Chapter 2.1 that “authorities may choose to require the division as configured for transport as a supplemental label element”</w:t>
            </w:r>
          </w:p>
        </w:tc>
      </w:tr>
    </w:tbl>
    <w:p w14:paraId="59D32169" w14:textId="77777777" w:rsidR="007E5491" w:rsidRPr="007E5491" w:rsidRDefault="007E5491" w:rsidP="007E5491">
      <w:pPr>
        <w:suppressAutoHyphens w:val="0"/>
        <w:spacing w:after="160" w:line="259" w:lineRule="auto"/>
        <w:rPr>
          <w:rFonts w:eastAsia="Garamond"/>
          <w:sz w:val="22"/>
          <w:szCs w:val="22"/>
        </w:rPr>
      </w:pPr>
    </w:p>
    <w:p w14:paraId="5860097F" w14:textId="0EBE6BD0" w:rsidR="00BB2421" w:rsidRDefault="00BB2421">
      <w:pPr>
        <w:suppressAutoHyphens w:val="0"/>
        <w:spacing w:line="240" w:lineRule="auto"/>
        <w:rPr>
          <w:rFonts w:eastAsia="Garamond"/>
          <w:b/>
          <w:sz w:val="22"/>
          <w:szCs w:val="22"/>
        </w:rPr>
      </w:pPr>
      <w:r>
        <w:rPr>
          <w:rFonts w:eastAsia="Garamond"/>
          <w:b/>
          <w:sz w:val="22"/>
          <w:szCs w:val="22"/>
        </w:rPr>
        <w:br w:type="page"/>
      </w:r>
    </w:p>
    <w:p w14:paraId="22A41846" w14:textId="77777777" w:rsidR="00BB2421" w:rsidRPr="009411DE" w:rsidRDefault="00BB2421" w:rsidP="00E43372">
      <w:pPr>
        <w:suppressAutoHyphens w:val="0"/>
        <w:spacing w:after="160" w:line="259" w:lineRule="auto"/>
        <w:ind w:left="1134" w:right="1133"/>
        <w:rPr>
          <w:rFonts w:eastAsia="Garamond"/>
          <w:b/>
          <w:sz w:val="24"/>
          <w:szCs w:val="22"/>
        </w:rPr>
      </w:pPr>
      <w:r w:rsidRPr="009411DE">
        <w:rPr>
          <w:rFonts w:eastAsia="Garamond"/>
          <w:b/>
          <w:sz w:val="24"/>
          <w:szCs w:val="22"/>
        </w:rPr>
        <w:lastRenderedPageBreak/>
        <w:t>Annex 3</w:t>
      </w:r>
    </w:p>
    <w:p w14:paraId="3A3AD3D8" w14:textId="19C28971" w:rsidR="003C3249" w:rsidRPr="003001BA" w:rsidRDefault="003001BA" w:rsidP="00E43372">
      <w:pPr>
        <w:suppressAutoHyphens w:val="0"/>
        <w:spacing w:after="160" w:line="259" w:lineRule="auto"/>
        <w:ind w:left="1134" w:right="1133"/>
        <w:rPr>
          <w:rFonts w:eastAsia="Garamond"/>
          <w:b/>
          <w:sz w:val="24"/>
          <w:szCs w:val="22"/>
        </w:rPr>
      </w:pPr>
      <w:r>
        <w:rPr>
          <w:rFonts w:eastAsia="Garamond"/>
          <w:b/>
          <w:sz w:val="24"/>
          <w:szCs w:val="22"/>
        </w:rPr>
        <w:t>P</w:t>
      </w:r>
      <w:r w:rsidRPr="003001BA">
        <w:rPr>
          <w:rFonts w:eastAsia="Garamond"/>
          <w:b/>
          <w:sz w:val="24"/>
          <w:szCs w:val="22"/>
        </w:rPr>
        <w:t>ossible</w:t>
      </w:r>
      <w:r w:rsidR="007068E6" w:rsidRPr="003001BA">
        <w:rPr>
          <w:rFonts w:eastAsia="Garamond"/>
          <w:b/>
          <w:sz w:val="24"/>
          <w:szCs w:val="22"/>
        </w:rPr>
        <w:t xml:space="preserve"> </w:t>
      </w:r>
      <w:r w:rsidR="00BB2421" w:rsidRPr="003001BA">
        <w:rPr>
          <w:rFonts w:eastAsia="Garamond"/>
          <w:b/>
          <w:sz w:val="24"/>
          <w:szCs w:val="22"/>
        </w:rPr>
        <w:t>hazard communication</w:t>
      </w:r>
      <w:r w:rsidR="007068E6" w:rsidRPr="003001BA">
        <w:rPr>
          <w:rFonts w:eastAsia="Garamond"/>
          <w:b/>
          <w:sz w:val="24"/>
          <w:szCs w:val="22"/>
        </w:rPr>
        <w:t xml:space="preserve"> </w:t>
      </w:r>
      <w:r w:rsidR="00BB2421" w:rsidRPr="003001BA">
        <w:rPr>
          <w:rFonts w:eastAsia="Garamond"/>
          <w:b/>
          <w:sz w:val="24"/>
          <w:szCs w:val="22"/>
        </w:rPr>
        <w:t>elements for Subcategory 2B and 2C.</w:t>
      </w:r>
    </w:p>
    <w:tbl>
      <w:tblPr>
        <w:tblStyle w:val="TableGrid"/>
        <w:tblW w:w="0" w:type="auto"/>
        <w:tblInd w:w="1129" w:type="dxa"/>
        <w:tblLook w:val="04A0" w:firstRow="1" w:lastRow="0" w:firstColumn="1" w:lastColumn="0" w:noHBand="0" w:noVBand="1"/>
      </w:tblPr>
      <w:tblGrid>
        <w:gridCol w:w="2080"/>
        <w:gridCol w:w="2740"/>
        <w:gridCol w:w="3118"/>
      </w:tblGrid>
      <w:tr w:rsidR="00BB2421" w14:paraId="461A4718" w14:textId="77777777" w:rsidTr="0044100B">
        <w:trPr>
          <w:trHeight w:val="538"/>
        </w:trPr>
        <w:tc>
          <w:tcPr>
            <w:tcW w:w="2080" w:type="dxa"/>
            <w:tcBorders>
              <w:bottom w:val="single" w:sz="12" w:space="0" w:color="auto"/>
              <w:right w:val="single" w:sz="12" w:space="0" w:color="auto"/>
            </w:tcBorders>
            <w:vAlign w:val="center"/>
          </w:tcPr>
          <w:p w14:paraId="6FCE26CC" w14:textId="0525C3B9" w:rsidR="00BB2421" w:rsidRDefault="0044100B" w:rsidP="0044100B">
            <w:pPr>
              <w:suppressAutoHyphens w:val="0"/>
              <w:spacing w:after="160" w:line="259" w:lineRule="auto"/>
              <w:ind w:firstLine="142"/>
              <w:rPr>
                <w:rFonts w:eastAsia="Garamond"/>
                <w:b/>
                <w:sz w:val="22"/>
                <w:szCs w:val="22"/>
              </w:rPr>
            </w:pPr>
            <w:r w:rsidRPr="0044100B">
              <w:rPr>
                <w:rFonts w:eastAsia="Garamond"/>
                <w:b/>
                <w:szCs w:val="22"/>
              </w:rPr>
              <w:t>Subcategory</w:t>
            </w:r>
          </w:p>
        </w:tc>
        <w:tc>
          <w:tcPr>
            <w:tcW w:w="2740" w:type="dxa"/>
            <w:tcBorders>
              <w:left w:val="single" w:sz="12" w:space="0" w:color="auto"/>
              <w:bottom w:val="single" w:sz="12" w:space="0" w:color="auto"/>
            </w:tcBorders>
            <w:vAlign w:val="center"/>
          </w:tcPr>
          <w:p w14:paraId="52B356F2" w14:textId="6A123E6D" w:rsidR="00BB2421" w:rsidRPr="00E9331A" w:rsidRDefault="00BB2421" w:rsidP="0044100B">
            <w:pPr>
              <w:suppressAutoHyphens w:val="0"/>
              <w:spacing w:after="160" w:line="259" w:lineRule="auto"/>
              <w:ind w:firstLine="142"/>
              <w:jc w:val="center"/>
              <w:rPr>
                <w:rFonts w:eastAsia="Garamond"/>
                <w:b/>
                <w:szCs w:val="22"/>
              </w:rPr>
            </w:pPr>
            <w:r w:rsidRPr="00E9331A">
              <w:rPr>
                <w:rFonts w:eastAsia="Garamond"/>
                <w:b/>
                <w:szCs w:val="22"/>
              </w:rPr>
              <w:t>2B</w:t>
            </w:r>
          </w:p>
        </w:tc>
        <w:tc>
          <w:tcPr>
            <w:tcW w:w="3118" w:type="dxa"/>
            <w:tcBorders>
              <w:bottom w:val="single" w:sz="12" w:space="0" w:color="auto"/>
            </w:tcBorders>
            <w:vAlign w:val="center"/>
          </w:tcPr>
          <w:p w14:paraId="451B5F0D" w14:textId="58BA36E1" w:rsidR="00BB2421" w:rsidRPr="00E9331A" w:rsidRDefault="00BB2421" w:rsidP="0044100B">
            <w:pPr>
              <w:suppressAutoHyphens w:val="0"/>
              <w:spacing w:after="160" w:line="259" w:lineRule="auto"/>
              <w:ind w:firstLine="142"/>
              <w:jc w:val="center"/>
              <w:rPr>
                <w:rFonts w:eastAsia="Garamond"/>
                <w:b/>
                <w:szCs w:val="22"/>
              </w:rPr>
            </w:pPr>
            <w:r w:rsidRPr="00E9331A">
              <w:rPr>
                <w:rFonts w:eastAsia="Garamond"/>
                <w:b/>
                <w:szCs w:val="22"/>
              </w:rPr>
              <w:t>2C</w:t>
            </w:r>
          </w:p>
        </w:tc>
      </w:tr>
      <w:tr w:rsidR="00BB2421" w14:paraId="3ED32290" w14:textId="77777777" w:rsidTr="0044100B">
        <w:trPr>
          <w:trHeight w:val="1280"/>
        </w:trPr>
        <w:tc>
          <w:tcPr>
            <w:tcW w:w="2080" w:type="dxa"/>
            <w:tcBorders>
              <w:top w:val="single" w:sz="12" w:space="0" w:color="auto"/>
              <w:right w:val="single" w:sz="12" w:space="0" w:color="auto"/>
            </w:tcBorders>
            <w:vAlign w:val="center"/>
          </w:tcPr>
          <w:p w14:paraId="79264798" w14:textId="31DA5BFC"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Symbol</w:t>
            </w:r>
          </w:p>
        </w:tc>
        <w:tc>
          <w:tcPr>
            <w:tcW w:w="2740" w:type="dxa"/>
            <w:tcBorders>
              <w:top w:val="single" w:sz="12" w:space="0" w:color="auto"/>
              <w:left w:val="single" w:sz="12" w:space="0" w:color="auto"/>
            </w:tcBorders>
            <w:vAlign w:val="center"/>
          </w:tcPr>
          <w:p w14:paraId="4C95974A" w14:textId="053AD143"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Exploding bomb</w:t>
            </w:r>
          </w:p>
        </w:tc>
        <w:tc>
          <w:tcPr>
            <w:tcW w:w="3118" w:type="dxa"/>
            <w:tcBorders>
              <w:top w:val="single" w:sz="12" w:space="0" w:color="auto"/>
            </w:tcBorders>
            <w:vAlign w:val="center"/>
          </w:tcPr>
          <w:p w14:paraId="517E105E" w14:textId="77777777"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Exploding bomb</w:t>
            </w:r>
          </w:p>
          <w:p w14:paraId="2BAA42D4" w14:textId="40B89A74" w:rsidR="00BB2421" w:rsidRPr="00245E03" w:rsidRDefault="00BB2421" w:rsidP="00245E03">
            <w:pPr>
              <w:suppressAutoHyphens w:val="0"/>
              <w:spacing w:after="160" w:line="259" w:lineRule="auto"/>
              <w:ind w:firstLine="142"/>
              <w:rPr>
                <w:rFonts w:eastAsia="Garamond"/>
                <w:b/>
                <w:szCs w:val="22"/>
                <w:u w:val="single"/>
              </w:rPr>
            </w:pPr>
            <w:r w:rsidRPr="00245E03">
              <w:rPr>
                <w:rFonts w:eastAsia="Garamond"/>
                <w:b/>
                <w:szCs w:val="22"/>
                <w:u w:val="single"/>
              </w:rPr>
              <w:t>or</w:t>
            </w:r>
          </w:p>
          <w:p w14:paraId="21D9E281" w14:textId="38E7195B" w:rsidR="00BB2421" w:rsidRPr="00245E03" w:rsidRDefault="00BB2421" w:rsidP="00245E03">
            <w:pPr>
              <w:suppressAutoHyphens w:val="0"/>
              <w:spacing w:after="160" w:line="259" w:lineRule="auto"/>
              <w:ind w:firstLine="142"/>
              <w:rPr>
                <w:rFonts w:eastAsia="Garamond"/>
                <w:i/>
                <w:szCs w:val="22"/>
              </w:rPr>
            </w:pPr>
            <w:r w:rsidRPr="00245E03">
              <w:rPr>
                <w:rFonts w:eastAsia="Garamond"/>
                <w:i/>
                <w:szCs w:val="22"/>
              </w:rPr>
              <w:t>No symbol</w:t>
            </w:r>
          </w:p>
        </w:tc>
      </w:tr>
      <w:tr w:rsidR="00BB2421" w14:paraId="0FC6DED6" w14:textId="77777777" w:rsidTr="0044100B">
        <w:trPr>
          <w:trHeight w:val="561"/>
        </w:trPr>
        <w:tc>
          <w:tcPr>
            <w:tcW w:w="2080" w:type="dxa"/>
            <w:tcBorders>
              <w:right w:val="single" w:sz="12" w:space="0" w:color="auto"/>
            </w:tcBorders>
            <w:vAlign w:val="center"/>
          </w:tcPr>
          <w:p w14:paraId="44E1D4E4" w14:textId="4FC94F85"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Signal word</w:t>
            </w:r>
          </w:p>
        </w:tc>
        <w:tc>
          <w:tcPr>
            <w:tcW w:w="2740" w:type="dxa"/>
            <w:tcBorders>
              <w:left w:val="single" w:sz="12" w:space="0" w:color="auto"/>
            </w:tcBorders>
            <w:vAlign w:val="center"/>
          </w:tcPr>
          <w:p w14:paraId="26B0FBDB" w14:textId="375318B2"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Warning</w:t>
            </w:r>
          </w:p>
        </w:tc>
        <w:tc>
          <w:tcPr>
            <w:tcW w:w="3118" w:type="dxa"/>
            <w:vAlign w:val="center"/>
          </w:tcPr>
          <w:p w14:paraId="6EBACFE8" w14:textId="109FA1B6"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Warning</w:t>
            </w:r>
          </w:p>
        </w:tc>
      </w:tr>
      <w:tr w:rsidR="00BB2421" w14:paraId="5EBB1703" w14:textId="77777777" w:rsidTr="0044100B">
        <w:trPr>
          <w:trHeight w:val="551"/>
        </w:trPr>
        <w:tc>
          <w:tcPr>
            <w:tcW w:w="2080" w:type="dxa"/>
            <w:tcBorders>
              <w:right w:val="single" w:sz="12" w:space="0" w:color="auto"/>
            </w:tcBorders>
            <w:vAlign w:val="center"/>
          </w:tcPr>
          <w:p w14:paraId="5B5F6C6A" w14:textId="4D837B2E"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Hazard statement</w:t>
            </w:r>
          </w:p>
        </w:tc>
        <w:tc>
          <w:tcPr>
            <w:tcW w:w="2740" w:type="dxa"/>
            <w:tcBorders>
              <w:left w:val="single" w:sz="12" w:space="0" w:color="auto"/>
            </w:tcBorders>
            <w:vAlign w:val="center"/>
          </w:tcPr>
          <w:p w14:paraId="76CF12F1" w14:textId="7D98E4B4"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Fire or projection hazard</w:t>
            </w:r>
          </w:p>
        </w:tc>
        <w:tc>
          <w:tcPr>
            <w:tcW w:w="3118" w:type="dxa"/>
            <w:vAlign w:val="center"/>
          </w:tcPr>
          <w:p w14:paraId="0116B219" w14:textId="0EF4630E"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Fire or projection hazard</w:t>
            </w:r>
          </w:p>
        </w:tc>
      </w:tr>
    </w:tbl>
    <w:p w14:paraId="50EB8109" w14:textId="16AE0ADE" w:rsidR="00BB2421" w:rsidRPr="00705FF3" w:rsidRDefault="00705FF3" w:rsidP="00705FF3">
      <w:pPr>
        <w:spacing w:before="240"/>
        <w:jc w:val="center"/>
        <w:rPr>
          <w:rFonts w:eastAsia="Garamond"/>
          <w:u w:val="single"/>
        </w:rPr>
      </w:pPr>
      <w:r>
        <w:rPr>
          <w:rFonts w:eastAsia="Garamond"/>
          <w:u w:val="single"/>
        </w:rPr>
        <w:tab/>
      </w:r>
      <w:r>
        <w:rPr>
          <w:rFonts w:eastAsia="Garamond"/>
          <w:u w:val="single"/>
        </w:rPr>
        <w:tab/>
      </w:r>
      <w:r>
        <w:rPr>
          <w:rFonts w:eastAsia="Garamond"/>
          <w:u w:val="single"/>
        </w:rPr>
        <w:tab/>
      </w:r>
    </w:p>
    <w:sectPr w:rsidR="00BB2421" w:rsidRPr="00705FF3"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E3EF" w14:textId="77777777" w:rsidR="00AB2A02" w:rsidRDefault="00AB2A02"/>
  </w:endnote>
  <w:endnote w:type="continuationSeparator" w:id="0">
    <w:p w14:paraId="4238FDE2" w14:textId="77777777" w:rsidR="00AB2A02" w:rsidRDefault="00AB2A02"/>
  </w:endnote>
  <w:endnote w:type="continuationNotice" w:id="1">
    <w:p w14:paraId="3CD5A680" w14:textId="77777777" w:rsidR="00AB2A02" w:rsidRDefault="00AB2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64A84B8" w14:textId="117C27D6"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074E1C">
          <w:rPr>
            <w:b/>
            <w:bCs/>
            <w:noProof/>
            <w:sz w:val="18"/>
            <w:szCs w:val="18"/>
          </w:rPr>
          <w:t>6</w:t>
        </w:r>
        <w:r w:rsidRPr="00805CDA">
          <w:rPr>
            <w:b/>
            <w:bCs/>
            <w:noProof/>
            <w:sz w:val="18"/>
            <w:szCs w:val="18"/>
          </w:rPr>
          <w:fldChar w:fldCharType="end"/>
        </w:r>
      </w:p>
    </w:sdtContent>
  </w:sdt>
  <w:p w14:paraId="08A09951" w14:textId="77777777"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1E92BE61" w14:textId="1DED4E39"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00074E1C">
          <w:rPr>
            <w:b/>
            <w:bCs/>
            <w:noProof/>
            <w:sz w:val="18"/>
            <w:szCs w:val="18"/>
          </w:rPr>
          <w:t>7</w:t>
        </w:r>
        <w:r w:rsidRPr="000303F7">
          <w:rPr>
            <w:b/>
            <w:bCs/>
            <w:noProof/>
            <w:sz w:val="18"/>
            <w:szCs w:val="18"/>
          </w:rPr>
          <w:fldChar w:fldCharType="end"/>
        </w:r>
      </w:p>
    </w:sdtContent>
  </w:sdt>
  <w:p w14:paraId="4277DFAA" w14:textId="77777777"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FCB0" w14:textId="77777777" w:rsidR="00AB2A02" w:rsidRPr="000B175B" w:rsidRDefault="00AB2A02" w:rsidP="000B175B">
      <w:pPr>
        <w:tabs>
          <w:tab w:val="right" w:pos="2155"/>
        </w:tabs>
        <w:spacing w:after="80"/>
        <w:ind w:left="680"/>
        <w:rPr>
          <w:u w:val="single"/>
        </w:rPr>
      </w:pPr>
      <w:r>
        <w:rPr>
          <w:u w:val="single"/>
        </w:rPr>
        <w:tab/>
      </w:r>
    </w:p>
  </w:footnote>
  <w:footnote w:type="continuationSeparator" w:id="0">
    <w:p w14:paraId="1456E0FF" w14:textId="77777777" w:rsidR="00AB2A02" w:rsidRPr="00FC68B7" w:rsidRDefault="00AB2A02" w:rsidP="00FC68B7">
      <w:pPr>
        <w:tabs>
          <w:tab w:val="left" w:pos="2155"/>
        </w:tabs>
        <w:spacing w:after="80"/>
        <w:ind w:left="680"/>
        <w:rPr>
          <w:u w:val="single"/>
        </w:rPr>
      </w:pPr>
      <w:r>
        <w:rPr>
          <w:u w:val="single"/>
        </w:rPr>
        <w:tab/>
      </w:r>
    </w:p>
  </w:footnote>
  <w:footnote w:type="continuationNotice" w:id="1">
    <w:p w14:paraId="46C26DA1" w14:textId="77777777" w:rsidR="00AB2A02" w:rsidRDefault="00AB2A02"/>
  </w:footnote>
  <w:footnote w:id="2">
    <w:p w14:paraId="5FE845CC" w14:textId="2E8775C1" w:rsidR="009C5C44" w:rsidRPr="009C5C44" w:rsidRDefault="009C5C44" w:rsidP="009C5C44">
      <w:pPr>
        <w:pStyle w:val="FootnoteText"/>
        <w:ind w:firstLine="0"/>
      </w:pPr>
      <w:r>
        <w:rPr>
          <w:rStyle w:val="FootnoteReference"/>
        </w:rPr>
        <w:footnoteRef/>
      </w:r>
      <w:r>
        <w:t xml:space="preserve"> </w:t>
      </w:r>
      <w:r w:rsidRPr="009C5C44">
        <w:t>See</w:t>
      </w:r>
      <w:r w:rsidRPr="009C5C44">
        <w:rPr>
          <w:lang w:val="en-GB"/>
        </w:rPr>
        <w:t xml:space="preserve"> e.</w:t>
      </w:r>
      <w:r>
        <w:rPr>
          <w:lang w:val="en-GB"/>
        </w:rPr>
        <w:t>g.</w:t>
      </w:r>
      <w:r w:rsidRPr="009C5C44">
        <w:t xml:space="preserve"> </w:t>
      </w:r>
      <w:r w:rsidRPr="009C5C44">
        <w:rPr>
          <w:lang w:val="en-GB"/>
        </w:rPr>
        <w:t>the most recent status report</w:t>
      </w:r>
      <w:r>
        <w:rPr>
          <w:lang w:val="en-GB"/>
        </w:rPr>
        <w:t xml:space="preserve">s, </w:t>
      </w:r>
      <w:r w:rsidRPr="009C5C44">
        <w:t>UN/SCEGHS/35/INF.16 - UN/SCETDG/53/INF.46, UN/SCEGHS/34/INF.10 - UN/SCETDG/52/INF.20 and UN/SCEGHS/33/INF.07 - UN/SCETDG/51/INF.15.</w:t>
      </w:r>
    </w:p>
  </w:footnote>
  <w:footnote w:id="3">
    <w:p w14:paraId="498FC711" w14:textId="620B0B8C" w:rsidR="009C5C44" w:rsidRPr="009C5C44" w:rsidRDefault="009C5C44" w:rsidP="009C5C44">
      <w:pPr>
        <w:pStyle w:val="FootnoteText"/>
        <w:ind w:firstLine="0"/>
        <w:rPr>
          <w:lang w:val="en-GB"/>
        </w:rPr>
      </w:pPr>
      <w:r>
        <w:rPr>
          <w:rStyle w:val="FootnoteReference"/>
        </w:rPr>
        <w:footnoteRef/>
      </w:r>
      <w:r>
        <w:t xml:space="preserve"> </w:t>
      </w:r>
      <w:r w:rsidRPr="009C5C44">
        <w:rPr>
          <w:lang w:val="en-GB"/>
        </w:rPr>
        <w:t xml:space="preserve">See </w:t>
      </w:r>
      <w:r w:rsidRPr="009C5C44">
        <w:t>UN/SCEGHS/36/INF.43/Rev.</w:t>
      </w:r>
      <w:r w:rsidRPr="009C5C44">
        <w:rPr>
          <w:lang w:val="en-GB"/>
        </w:rPr>
        <w:t xml:space="preserve">1 and the report from the </w:t>
      </w:r>
      <w:r w:rsidRPr="009C5C44">
        <w:rPr>
          <w:lang w:val="en-GB"/>
        </w:rPr>
        <w:t>36</w:t>
      </w:r>
      <w:bookmarkStart w:id="0" w:name="_GoBack"/>
      <w:bookmarkEnd w:id="0"/>
      <w:r w:rsidRPr="009C5C44">
        <w:rPr>
          <w:lang w:val="en-GB"/>
        </w:rPr>
        <w:t>th SCEGHS ST/SG/AC.10/C.4/72.</w:t>
      </w:r>
    </w:p>
  </w:footnote>
  <w:footnote w:id="4">
    <w:p w14:paraId="39C06905" w14:textId="2515509C" w:rsidR="009C5C44" w:rsidRPr="009C5C44" w:rsidRDefault="009C5C44" w:rsidP="009C5C44">
      <w:pPr>
        <w:pStyle w:val="FootnoteText"/>
        <w:ind w:firstLine="0"/>
        <w:rPr>
          <w:lang w:val="en-GB"/>
        </w:rPr>
      </w:pPr>
      <w:r>
        <w:rPr>
          <w:rStyle w:val="FootnoteReference"/>
        </w:rPr>
        <w:footnoteRef/>
      </w:r>
      <w:r>
        <w:t xml:space="preserve"> </w:t>
      </w:r>
      <w:r w:rsidRPr="009C5C44">
        <w:t>ST/SG/AC.10/C.4/2019/5 - ST/SG/AC.10/C.3/2019/32</w:t>
      </w:r>
    </w:p>
  </w:footnote>
  <w:footnote w:id="5">
    <w:p w14:paraId="42E391BB" w14:textId="4B7960AA" w:rsidR="0013097E" w:rsidRPr="0013097E" w:rsidRDefault="0013097E" w:rsidP="00705FF3">
      <w:pPr>
        <w:pStyle w:val="FootnoteText"/>
        <w:ind w:firstLine="0"/>
        <w:rPr>
          <w:lang w:val="en-GB"/>
        </w:rPr>
      </w:pPr>
      <w:r>
        <w:rPr>
          <w:rStyle w:val="FootnoteReference"/>
        </w:rPr>
        <w:footnoteRef/>
      </w:r>
      <w:r>
        <w:t xml:space="preserve"> </w:t>
      </w:r>
      <w:r w:rsidRPr="0013097E">
        <w:rPr>
          <w:lang w:val="en-GB"/>
        </w:rPr>
        <w:t>See draft criteria of the new</w:t>
      </w:r>
      <w:r>
        <w:rPr>
          <w:lang w:val="en-GB"/>
        </w:rPr>
        <w:t xml:space="preserve"> classification</w:t>
      </w:r>
      <w:r w:rsidRPr="0013097E">
        <w:rPr>
          <w:lang w:val="en-GB"/>
        </w:rPr>
        <w:t xml:space="preserve"> system in UN/SCEGHS/36/INF.46</w:t>
      </w:r>
    </w:p>
  </w:footnote>
  <w:footnote w:id="6">
    <w:p w14:paraId="5D659C08" w14:textId="49CAF0A6" w:rsidR="0013097E" w:rsidRPr="009A0512" w:rsidRDefault="0013097E" w:rsidP="001C43A4">
      <w:pPr>
        <w:pStyle w:val="FootnoteText"/>
        <w:ind w:firstLine="0"/>
        <w:rPr>
          <w:lang w:val="en-GB"/>
        </w:rPr>
      </w:pPr>
      <w:r>
        <w:rPr>
          <w:rStyle w:val="FootnoteReference"/>
        </w:rPr>
        <w:footnoteRef/>
      </w:r>
      <w:r>
        <w:t xml:space="preserve"> </w:t>
      </w:r>
      <w:r w:rsidR="009A0512" w:rsidRPr="0013097E">
        <w:rPr>
          <w:lang w:val="en-GB"/>
        </w:rPr>
        <w:t>See draft criteria of the new</w:t>
      </w:r>
      <w:r w:rsidR="009A0512">
        <w:rPr>
          <w:lang w:val="en-GB"/>
        </w:rPr>
        <w:t xml:space="preserve"> classification</w:t>
      </w:r>
      <w:r w:rsidR="009A0512" w:rsidRPr="0013097E">
        <w:rPr>
          <w:lang w:val="en-GB"/>
        </w:rPr>
        <w:t xml:space="preserve"> system in UN/SCEGHS/36/INF.46</w:t>
      </w:r>
    </w:p>
  </w:footnote>
  <w:footnote w:id="7">
    <w:p w14:paraId="7B5BAA47" w14:textId="2708688D" w:rsidR="003D7BAE" w:rsidRPr="003D7BAE" w:rsidRDefault="003D7BAE" w:rsidP="009217BA">
      <w:pPr>
        <w:pStyle w:val="FootnoteText"/>
        <w:tabs>
          <w:tab w:val="clear" w:pos="1021"/>
          <w:tab w:val="right" w:pos="142"/>
        </w:tabs>
        <w:ind w:left="993" w:firstLine="0"/>
      </w:pPr>
      <w:r>
        <w:rPr>
          <w:rStyle w:val="FootnoteReference"/>
        </w:rPr>
        <w:footnoteRef/>
      </w:r>
      <w:r>
        <w:t xml:space="preserve"> </w:t>
      </w:r>
      <w:r w:rsidR="009217BA" w:rsidRPr="00E530B2">
        <w:rPr>
          <w:lang w:val="en-GB"/>
        </w:rPr>
        <w:t xml:space="preserve">See UN/SCEGHS/36/INF.43/Rev.1. </w:t>
      </w:r>
      <w:r w:rsidRPr="00E530B2">
        <w:rPr>
          <w:lang w:val="en-GB"/>
        </w:rPr>
        <w:t>Restricting this to Subcategory 2A assumes that the hazard communication</w:t>
      </w:r>
      <w:r w:rsidR="00A0480A" w:rsidRPr="00E530B2">
        <w:rPr>
          <w:lang w:val="en-GB"/>
        </w:rPr>
        <w:t>s</w:t>
      </w:r>
      <w:r w:rsidRPr="00E530B2">
        <w:rPr>
          <w:lang w:val="en-GB"/>
        </w:rPr>
        <w:t xml:space="preserve"> for Subcategory 2B and 2C are different from that </w:t>
      </w:r>
      <w:r w:rsidR="0099006B">
        <w:rPr>
          <w:lang w:val="en-GB"/>
        </w:rPr>
        <w:t>of Subcategory 2A, so that the d</w:t>
      </w:r>
      <w:r w:rsidRPr="00E530B2">
        <w:rPr>
          <w:lang w:val="en-GB"/>
        </w:rPr>
        <w:t xml:space="preserve">ivision (which according to current criteria is always 1.4) </w:t>
      </w:r>
      <w:r w:rsidR="00BC24C3" w:rsidRPr="00E530B2">
        <w:rPr>
          <w:lang w:val="en-GB"/>
        </w:rPr>
        <w:t>can be indirectly read from the GHS-label</w:t>
      </w:r>
      <w:r w:rsidRPr="00E530B2">
        <w:rPr>
          <w:lang w:val="en-GB"/>
        </w:rPr>
        <w:t>.</w:t>
      </w:r>
    </w:p>
  </w:footnote>
  <w:footnote w:id="8">
    <w:p w14:paraId="1F4AC842" w14:textId="66AD2DCA" w:rsidR="00686E85" w:rsidRPr="00256A3B" w:rsidRDefault="00686E85" w:rsidP="00256A3B">
      <w:pPr>
        <w:pStyle w:val="FootnoteText"/>
        <w:ind w:hanging="141"/>
        <w:rPr>
          <w:lang w:val="en-GB"/>
        </w:rPr>
      </w:pPr>
      <w:r>
        <w:rPr>
          <w:rStyle w:val="FootnoteReference"/>
        </w:rPr>
        <w:footnoteRef/>
      </w:r>
      <w:r>
        <w:t xml:space="preserve"> </w:t>
      </w:r>
      <w:r w:rsidRPr="00256A3B">
        <w:rPr>
          <w:lang w:val="en-GB"/>
        </w:rPr>
        <w:t>See des</w:t>
      </w:r>
      <w:r w:rsidR="00256A3B">
        <w:rPr>
          <w:lang w:val="en-GB"/>
        </w:rPr>
        <w:t>c</w:t>
      </w:r>
      <w:r w:rsidRPr="00256A3B">
        <w:rPr>
          <w:lang w:val="en-GB"/>
        </w:rPr>
        <w:t>ription of the divisions in</w:t>
      </w:r>
      <w:r w:rsidR="00B94358">
        <w:rPr>
          <w:lang w:val="en-GB"/>
        </w:rPr>
        <w:t xml:space="preserve"> subsection 2.1.1.4 of Chapter 2.1 in the Model Regulations, which are virtually identical to those of</w:t>
      </w:r>
      <w:r w:rsidRPr="00256A3B">
        <w:rPr>
          <w:lang w:val="en-GB"/>
        </w:rPr>
        <w:t xml:space="preserve"> current </w:t>
      </w:r>
      <w:r w:rsidR="00B94358">
        <w:rPr>
          <w:lang w:val="en-GB"/>
        </w:rPr>
        <w:t xml:space="preserve">GHS </w:t>
      </w:r>
      <w:r w:rsidRPr="00256A3B">
        <w:rPr>
          <w:lang w:val="en-GB"/>
        </w:rPr>
        <w:t>Chapter 2.1.</w:t>
      </w:r>
    </w:p>
  </w:footnote>
  <w:footnote w:id="9">
    <w:p w14:paraId="2EFC1D4C" w14:textId="1356266D" w:rsidR="009A0512" w:rsidRPr="009A0512" w:rsidRDefault="009A0512" w:rsidP="005A4AD1">
      <w:pPr>
        <w:pStyle w:val="FootnoteText"/>
        <w:ind w:hanging="141"/>
        <w:rPr>
          <w:lang w:val="en-GB"/>
        </w:rPr>
      </w:pPr>
      <w:r>
        <w:rPr>
          <w:rStyle w:val="FootnoteReference"/>
        </w:rPr>
        <w:footnoteRef/>
      </w:r>
      <w:r>
        <w:t xml:space="preserve"> </w:t>
      </w:r>
      <w:r w:rsidRPr="0013097E">
        <w:rPr>
          <w:lang w:val="en-GB"/>
        </w:rPr>
        <w:t>See draft criteria of the new</w:t>
      </w:r>
      <w:r>
        <w:rPr>
          <w:lang w:val="en-GB"/>
        </w:rPr>
        <w:t xml:space="preserve"> classification</w:t>
      </w:r>
      <w:r w:rsidRPr="0013097E">
        <w:rPr>
          <w:lang w:val="en-GB"/>
        </w:rPr>
        <w:t xml:space="preserve"> system in UN/SCEGHS/36/INF.46</w:t>
      </w:r>
      <w:r>
        <w:rPr>
          <w:lang w:val="en-GB"/>
        </w:rPr>
        <w:t xml:space="preserve">. Whether “primary packaging” or “immediate container” is the most appropriate term is still under discussion </w:t>
      </w:r>
    </w:p>
  </w:footnote>
  <w:footnote w:id="10">
    <w:p w14:paraId="7817CC14" w14:textId="717A45C1" w:rsidR="001B4D1A" w:rsidRPr="001B4D1A" w:rsidRDefault="001B4D1A" w:rsidP="001B4D1A">
      <w:pPr>
        <w:pStyle w:val="FootnoteText"/>
        <w:ind w:hanging="141"/>
        <w:rPr>
          <w:lang w:val="en-GB"/>
        </w:rPr>
      </w:pPr>
      <w:r>
        <w:rPr>
          <w:rStyle w:val="FootnoteReference"/>
        </w:rPr>
        <w:footnoteRef/>
      </w:r>
      <w:r>
        <w:t xml:space="preserve"> </w:t>
      </w:r>
      <w:r w:rsidRPr="001B4D1A">
        <w:rPr>
          <w:lang w:val="en-GB"/>
        </w:rPr>
        <w:t xml:space="preserve">Compatibility groups are used </w:t>
      </w:r>
      <w:r>
        <w:rPr>
          <w:lang w:val="en-GB"/>
        </w:rPr>
        <w:t xml:space="preserve">in transport </w:t>
      </w:r>
      <w:r w:rsidRPr="001B4D1A">
        <w:rPr>
          <w:lang w:val="en-GB"/>
        </w:rPr>
        <w:t xml:space="preserve">to describe which explosives can be </w:t>
      </w:r>
      <w:r>
        <w:rPr>
          <w:lang w:val="en-GB"/>
        </w:rPr>
        <w:t xml:space="preserve">packed </w:t>
      </w:r>
      <w:r w:rsidRPr="001B4D1A">
        <w:rPr>
          <w:lang w:val="en-GB"/>
        </w:rPr>
        <w:t xml:space="preserve">together, see </w:t>
      </w:r>
      <w:r>
        <w:rPr>
          <w:lang w:val="en-GB"/>
        </w:rPr>
        <w:t>section 2.1.2 in Chapter 2.1 of the Model Regulations.</w:t>
      </w:r>
    </w:p>
  </w:footnote>
  <w:footnote w:id="11">
    <w:p w14:paraId="0C1A2ACD" w14:textId="3CEEFB7E" w:rsidR="00AB3AEE" w:rsidRPr="005A4AD1" w:rsidRDefault="00AB3AEE" w:rsidP="005A4AD1">
      <w:pPr>
        <w:pStyle w:val="FootnoteText"/>
        <w:ind w:hanging="141"/>
        <w:rPr>
          <w:lang w:val="en-GB"/>
        </w:rPr>
      </w:pPr>
      <w:r>
        <w:rPr>
          <w:rStyle w:val="FootnoteReference"/>
        </w:rPr>
        <w:footnoteRef/>
      </w:r>
      <w:r>
        <w:t xml:space="preserve"> </w:t>
      </w:r>
      <w:r w:rsidRPr="005A4AD1">
        <w:rPr>
          <w:lang w:val="en-GB"/>
        </w:rPr>
        <w:t xml:space="preserve">See </w:t>
      </w:r>
      <w:r w:rsidR="005A4AD1" w:rsidRPr="0013097E">
        <w:rPr>
          <w:lang w:val="en-GB"/>
        </w:rPr>
        <w:t>draft criteria of the new</w:t>
      </w:r>
      <w:r w:rsidR="005A4AD1">
        <w:rPr>
          <w:lang w:val="en-GB"/>
        </w:rPr>
        <w:t xml:space="preserve"> classification</w:t>
      </w:r>
      <w:r w:rsidR="005A4AD1" w:rsidRPr="0013097E">
        <w:rPr>
          <w:lang w:val="en-GB"/>
        </w:rPr>
        <w:t xml:space="preserve"> system in UN/SCEGHS/36/INF.46</w:t>
      </w:r>
      <w:r w:rsidR="005A4AD1">
        <w:rPr>
          <w:lang w:val="en-GB"/>
        </w:rPr>
        <w:t xml:space="preserve"> and the </w:t>
      </w:r>
      <w:r w:rsidRPr="005A4AD1">
        <w:rPr>
          <w:lang w:val="en-GB"/>
        </w:rPr>
        <w:t xml:space="preserve">report </w:t>
      </w:r>
      <w:r w:rsidR="005A4AD1">
        <w:rPr>
          <w:lang w:val="en-GB"/>
        </w:rPr>
        <w:t>from</w:t>
      </w:r>
      <w:r w:rsidRPr="005A4AD1">
        <w:rPr>
          <w:lang w:val="en-GB"/>
        </w:rPr>
        <w:t xml:space="preserve"> the 36:th session of the SCEGHS, </w:t>
      </w:r>
      <w:r w:rsidR="005A4AD1" w:rsidRPr="005A4AD1">
        <w:rPr>
          <w:lang w:val="en-GB"/>
        </w:rPr>
        <w:t>ST/SG/AC.10/C.4/72</w:t>
      </w:r>
      <w:r w:rsidR="005A4AD1">
        <w:rPr>
          <w:lang w:val="en-GB"/>
        </w:rPr>
        <w:t>.</w:t>
      </w:r>
    </w:p>
  </w:footnote>
  <w:footnote w:id="12">
    <w:p w14:paraId="7DA7E018" w14:textId="35DEEBB4" w:rsidR="009F6555" w:rsidRPr="00BB1F55" w:rsidRDefault="009F6555" w:rsidP="005A4AD1">
      <w:pPr>
        <w:pStyle w:val="FootnoteText"/>
        <w:ind w:hanging="141"/>
        <w:rPr>
          <w:lang w:val="en-GB"/>
        </w:rPr>
      </w:pPr>
      <w:r>
        <w:rPr>
          <w:rStyle w:val="FootnoteReference"/>
        </w:rPr>
        <w:footnoteRef/>
      </w:r>
      <w:r w:rsidR="005A4AD1" w:rsidRPr="005A4AD1">
        <w:rPr>
          <w:lang w:val="en-GB"/>
        </w:rPr>
        <w:t xml:space="preserve"> See</w:t>
      </w:r>
      <w:r>
        <w:t xml:space="preserve"> </w:t>
      </w:r>
      <w:r>
        <w:rPr>
          <w:lang w:val="en-GB"/>
        </w:rPr>
        <w:t xml:space="preserve">ST/SG/AC.10/C.3/2006/61 - ST/SG/AC.10/C.4/2006/7 </w:t>
      </w:r>
      <w:r w:rsidR="00AF57F4">
        <w:rPr>
          <w:lang w:val="en-GB"/>
        </w:rPr>
        <w:t>by</w:t>
      </w:r>
      <w:r>
        <w:rPr>
          <w:lang w:val="en-GB"/>
        </w:rPr>
        <w:t xml:space="preserve"> </w:t>
      </w:r>
      <w:r w:rsidR="00922F4B">
        <w:rPr>
          <w:lang w:val="en-GB"/>
        </w:rPr>
        <w:t xml:space="preserve">the expert from </w:t>
      </w:r>
      <w:r>
        <w:rPr>
          <w:lang w:val="en-GB"/>
        </w:rPr>
        <w:t xml:space="preserve">SAAMI and </w:t>
      </w:r>
      <w:r w:rsidRPr="00BB1F55">
        <w:rPr>
          <w:lang w:val="en-GB"/>
        </w:rPr>
        <w:t>ST/SG/AC.10/C.4/2004/12</w:t>
      </w:r>
      <w:r w:rsidR="00AF57F4">
        <w:rPr>
          <w:lang w:val="en-GB"/>
        </w:rPr>
        <w:t xml:space="preserve"> by</w:t>
      </w:r>
      <w:r w:rsidR="00922F4B">
        <w:rPr>
          <w:lang w:val="en-GB"/>
        </w:rPr>
        <w:t xml:space="preserve"> the expert from</w:t>
      </w:r>
      <w:r>
        <w:rPr>
          <w:lang w:val="en-GB"/>
        </w:rPr>
        <w:t xml:space="preserve"> Norway.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2A26" w14:textId="4F002E2C" w:rsidR="00A94962" w:rsidRPr="00A94962" w:rsidRDefault="00A94962">
    <w:pPr>
      <w:pStyle w:val="Header"/>
      <w:rPr>
        <w:lang w:val="fr-CH"/>
      </w:rPr>
    </w:pPr>
    <w:r>
      <w:rPr>
        <w:lang w:val="fr-CH"/>
      </w:rPr>
      <w:t>UN/SCETDG/55/INF.</w:t>
    </w:r>
    <w:r w:rsidR="00705FF3">
      <w:rPr>
        <w:lang w:val="fr-CH"/>
      </w:rPr>
      <w:t>20</w:t>
    </w:r>
    <w:r w:rsidR="00D45FE3">
      <w:rPr>
        <w:lang w:val="fr-CH"/>
      </w:rPr>
      <w:br/>
      <w:t>UN/SCEGHS/37/INF.</w:t>
    </w:r>
    <w:r w:rsidR="00705FF3">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3F73" w14:textId="61D27722" w:rsidR="000303F7" w:rsidRPr="00D45FE3" w:rsidRDefault="000303F7" w:rsidP="000303F7">
    <w:pPr>
      <w:pStyle w:val="Header"/>
      <w:jc w:val="right"/>
      <w:rPr>
        <w:lang w:val="nl-NL"/>
      </w:rPr>
    </w:pPr>
    <w:r>
      <w:rPr>
        <w:lang w:val="fr-CH"/>
      </w:rPr>
      <w:t>UN/SCETDG/55/INF.</w:t>
    </w:r>
    <w:r w:rsidR="00705FF3">
      <w:rPr>
        <w:lang w:val="fr-CH"/>
      </w:rPr>
      <w:t>20</w:t>
    </w:r>
    <w:r w:rsidR="00D45FE3">
      <w:rPr>
        <w:lang w:val="fr-CH"/>
      </w:rPr>
      <w:br/>
      <w:t>UN/SCEGHS/37/INF.</w:t>
    </w:r>
    <w:r w:rsidR="00705FF3">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6F4" w14:textId="1A8AAC4C"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2"/>
  </w:num>
  <w:num w:numId="14">
    <w:abstractNumId w:val="41"/>
  </w:num>
  <w:num w:numId="15">
    <w:abstractNumId w:val="44"/>
  </w:num>
  <w:num w:numId="16">
    <w:abstractNumId w:val="28"/>
  </w:num>
  <w:num w:numId="17">
    <w:abstractNumId w:val="35"/>
  </w:num>
  <w:num w:numId="18">
    <w:abstractNumId w:val="43"/>
  </w:num>
  <w:num w:numId="19">
    <w:abstractNumId w:val="25"/>
  </w:num>
  <w:num w:numId="20">
    <w:abstractNumId w:val="42"/>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8"/>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40"/>
  </w:num>
  <w:num w:numId="39">
    <w:abstractNumId w:val="15"/>
  </w:num>
  <w:num w:numId="40">
    <w:abstractNumId w:val="17"/>
  </w:num>
  <w:num w:numId="41">
    <w:abstractNumId w:val="33"/>
  </w:num>
  <w:num w:numId="42">
    <w:abstractNumId w:val="22"/>
  </w:num>
  <w:num w:numId="43">
    <w:abstractNumId w:val="37"/>
  </w:num>
  <w:num w:numId="44">
    <w:abstractNumId w:val="11"/>
  </w:num>
  <w:num w:numId="45">
    <w:abstractNumId w:val="21"/>
  </w:num>
  <w:num w:numId="46">
    <w:abstractNumId w:val="47"/>
  </w:num>
  <w:num w:numId="47">
    <w:abstractNumId w:val="31"/>
  </w:num>
  <w:num w:numId="48">
    <w:abstractNumId w:val="18"/>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0997"/>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4E1C"/>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1B5A"/>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97E"/>
    <w:rsid w:val="00130DFE"/>
    <w:rsid w:val="00131B10"/>
    <w:rsid w:val="00131D42"/>
    <w:rsid w:val="00132D61"/>
    <w:rsid w:val="00133C50"/>
    <w:rsid w:val="001406BD"/>
    <w:rsid w:val="001406F4"/>
    <w:rsid w:val="00142716"/>
    <w:rsid w:val="00143C6B"/>
    <w:rsid w:val="00146CFA"/>
    <w:rsid w:val="0015495E"/>
    <w:rsid w:val="00156996"/>
    <w:rsid w:val="00157AA8"/>
    <w:rsid w:val="00162E11"/>
    <w:rsid w:val="001633FB"/>
    <w:rsid w:val="00163A1B"/>
    <w:rsid w:val="00165735"/>
    <w:rsid w:val="00167786"/>
    <w:rsid w:val="00173874"/>
    <w:rsid w:val="0017432E"/>
    <w:rsid w:val="00181019"/>
    <w:rsid w:val="00182CAC"/>
    <w:rsid w:val="001835BF"/>
    <w:rsid w:val="00184B86"/>
    <w:rsid w:val="00190605"/>
    <w:rsid w:val="00193317"/>
    <w:rsid w:val="001947BE"/>
    <w:rsid w:val="00196A1B"/>
    <w:rsid w:val="001A02A4"/>
    <w:rsid w:val="001A6D98"/>
    <w:rsid w:val="001B3102"/>
    <w:rsid w:val="001B35EE"/>
    <w:rsid w:val="001B4B04"/>
    <w:rsid w:val="001B4D1A"/>
    <w:rsid w:val="001B6B72"/>
    <w:rsid w:val="001B6F2D"/>
    <w:rsid w:val="001B710C"/>
    <w:rsid w:val="001C18A3"/>
    <w:rsid w:val="001C2208"/>
    <w:rsid w:val="001C429D"/>
    <w:rsid w:val="001C43A4"/>
    <w:rsid w:val="001C6663"/>
    <w:rsid w:val="001C7895"/>
    <w:rsid w:val="001D26DF"/>
    <w:rsid w:val="001D2FDC"/>
    <w:rsid w:val="001D3123"/>
    <w:rsid w:val="001D3A88"/>
    <w:rsid w:val="001D4B2D"/>
    <w:rsid w:val="001D4E70"/>
    <w:rsid w:val="001D5B8E"/>
    <w:rsid w:val="001D6126"/>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42F6"/>
    <w:rsid w:val="00235381"/>
    <w:rsid w:val="00237785"/>
    <w:rsid w:val="00237CF6"/>
    <w:rsid w:val="00240C18"/>
    <w:rsid w:val="00241178"/>
    <w:rsid w:val="00241466"/>
    <w:rsid w:val="00243BC8"/>
    <w:rsid w:val="002440E7"/>
    <w:rsid w:val="00244DC1"/>
    <w:rsid w:val="00245E03"/>
    <w:rsid w:val="00247570"/>
    <w:rsid w:val="00247A21"/>
    <w:rsid w:val="00250ACD"/>
    <w:rsid w:val="00256A3B"/>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2B"/>
    <w:rsid w:val="002C014E"/>
    <w:rsid w:val="002C0681"/>
    <w:rsid w:val="002C0878"/>
    <w:rsid w:val="002C72E8"/>
    <w:rsid w:val="002C7F25"/>
    <w:rsid w:val="002D41EF"/>
    <w:rsid w:val="002D5A85"/>
    <w:rsid w:val="002D5C7D"/>
    <w:rsid w:val="002E1536"/>
    <w:rsid w:val="002E35BB"/>
    <w:rsid w:val="002E5DE4"/>
    <w:rsid w:val="002F68FD"/>
    <w:rsid w:val="002F6F3E"/>
    <w:rsid w:val="003001BA"/>
    <w:rsid w:val="00300D57"/>
    <w:rsid w:val="00304CDC"/>
    <w:rsid w:val="00306ABF"/>
    <w:rsid w:val="003107FA"/>
    <w:rsid w:val="00312FCB"/>
    <w:rsid w:val="003147D0"/>
    <w:rsid w:val="00315D73"/>
    <w:rsid w:val="00316FF9"/>
    <w:rsid w:val="00321716"/>
    <w:rsid w:val="003229D8"/>
    <w:rsid w:val="0032654B"/>
    <w:rsid w:val="00327D0A"/>
    <w:rsid w:val="00337485"/>
    <w:rsid w:val="003376DE"/>
    <w:rsid w:val="00341FAE"/>
    <w:rsid w:val="003515C3"/>
    <w:rsid w:val="003517C3"/>
    <w:rsid w:val="00352A5B"/>
    <w:rsid w:val="00355502"/>
    <w:rsid w:val="00356BC7"/>
    <w:rsid w:val="00357A20"/>
    <w:rsid w:val="00361A5F"/>
    <w:rsid w:val="00372F06"/>
    <w:rsid w:val="003734CA"/>
    <w:rsid w:val="00376860"/>
    <w:rsid w:val="003904BB"/>
    <w:rsid w:val="00391647"/>
    <w:rsid w:val="0039277A"/>
    <w:rsid w:val="00394C2E"/>
    <w:rsid w:val="00396F6A"/>
    <w:rsid w:val="003972E0"/>
    <w:rsid w:val="00397EE9"/>
    <w:rsid w:val="003A1EC2"/>
    <w:rsid w:val="003A342A"/>
    <w:rsid w:val="003A43F9"/>
    <w:rsid w:val="003A52D7"/>
    <w:rsid w:val="003A5A16"/>
    <w:rsid w:val="003A61AC"/>
    <w:rsid w:val="003C0657"/>
    <w:rsid w:val="003C18C9"/>
    <w:rsid w:val="003C2CC4"/>
    <w:rsid w:val="003C2D54"/>
    <w:rsid w:val="003C3249"/>
    <w:rsid w:val="003C655D"/>
    <w:rsid w:val="003D4B23"/>
    <w:rsid w:val="003D7629"/>
    <w:rsid w:val="003D7BAE"/>
    <w:rsid w:val="003F23A4"/>
    <w:rsid w:val="003F5B52"/>
    <w:rsid w:val="00401CDD"/>
    <w:rsid w:val="00403EC6"/>
    <w:rsid w:val="00406CD4"/>
    <w:rsid w:val="00411E3D"/>
    <w:rsid w:val="0041407A"/>
    <w:rsid w:val="00430086"/>
    <w:rsid w:val="00430918"/>
    <w:rsid w:val="004325CB"/>
    <w:rsid w:val="004354EE"/>
    <w:rsid w:val="00437F3F"/>
    <w:rsid w:val="0044100B"/>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6B5D"/>
    <w:rsid w:val="004B73D6"/>
    <w:rsid w:val="004C39D0"/>
    <w:rsid w:val="004C4F1A"/>
    <w:rsid w:val="004C6D6D"/>
    <w:rsid w:val="004E0C5D"/>
    <w:rsid w:val="004E3D60"/>
    <w:rsid w:val="004E631A"/>
    <w:rsid w:val="004F4240"/>
    <w:rsid w:val="004F77CD"/>
    <w:rsid w:val="005008C4"/>
    <w:rsid w:val="0050117A"/>
    <w:rsid w:val="00506646"/>
    <w:rsid w:val="00507CF1"/>
    <w:rsid w:val="00511208"/>
    <w:rsid w:val="00517794"/>
    <w:rsid w:val="00522177"/>
    <w:rsid w:val="00523399"/>
    <w:rsid w:val="00526623"/>
    <w:rsid w:val="00527910"/>
    <w:rsid w:val="005322D3"/>
    <w:rsid w:val="005420F2"/>
    <w:rsid w:val="0054211E"/>
    <w:rsid w:val="00542505"/>
    <w:rsid w:val="005475D4"/>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96A6E"/>
    <w:rsid w:val="005A0B37"/>
    <w:rsid w:val="005A4AD1"/>
    <w:rsid w:val="005A64DD"/>
    <w:rsid w:val="005B09F0"/>
    <w:rsid w:val="005B0CED"/>
    <w:rsid w:val="005B3DB3"/>
    <w:rsid w:val="005B528A"/>
    <w:rsid w:val="005C4CB5"/>
    <w:rsid w:val="005D0C6C"/>
    <w:rsid w:val="005D179A"/>
    <w:rsid w:val="005D4B5B"/>
    <w:rsid w:val="005E26D2"/>
    <w:rsid w:val="005E5946"/>
    <w:rsid w:val="005E6020"/>
    <w:rsid w:val="005F1AB7"/>
    <w:rsid w:val="005F3A39"/>
    <w:rsid w:val="005F45CF"/>
    <w:rsid w:val="005F5C2F"/>
    <w:rsid w:val="005F7BB1"/>
    <w:rsid w:val="00600C85"/>
    <w:rsid w:val="00602490"/>
    <w:rsid w:val="00603E3C"/>
    <w:rsid w:val="00611FC4"/>
    <w:rsid w:val="00612812"/>
    <w:rsid w:val="006176FB"/>
    <w:rsid w:val="00623E42"/>
    <w:rsid w:val="00626B06"/>
    <w:rsid w:val="00626DE3"/>
    <w:rsid w:val="006279AC"/>
    <w:rsid w:val="006305C2"/>
    <w:rsid w:val="00632192"/>
    <w:rsid w:val="006334B3"/>
    <w:rsid w:val="0063419C"/>
    <w:rsid w:val="00634456"/>
    <w:rsid w:val="00635381"/>
    <w:rsid w:val="00636986"/>
    <w:rsid w:val="00637542"/>
    <w:rsid w:val="0063781E"/>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86E85"/>
    <w:rsid w:val="00690CD6"/>
    <w:rsid w:val="006960A9"/>
    <w:rsid w:val="006A1458"/>
    <w:rsid w:val="006A3932"/>
    <w:rsid w:val="006A573D"/>
    <w:rsid w:val="006A63E3"/>
    <w:rsid w:val="006A7392"/>
    <w:rsid w:val="006B1C55"/>
    <w:rsid w:val="006B30F1"/>
    <w:rsid w:val="006C0D34"/>
    <w:rsid w:val="006C1D3B"/>
    <w:rsid w:val="006C251B"/>
    <w:rsid w:val="006C2F7E"/>
    <w:rsid w:val="006C315B"/>
    <w:rsid w:val="006D3560"/>
    <w:rsid w:val="006D7E3D"/>
    <w:rsid w:val="006E3B65"/>
    <w:rsid w:val="006E564B"/>
    <w:rsid w:val="006F5029"/>
    <w:rsid w:val="007025C0"/>
    <w:rsid w:val="00705FF3"/>
    <w:rsid w:val="007068E6"/>
    <w:rsid w:val="00707F04"/>
    <w:rsid w:val="00711637"/>
    <w:rsid w:val="00711AC6"/>
    <w:rsid w:val="00714F4F"/>
    <w:rsid w:val="00717FA4"/>
    <w:rsid w:val="007245CD"/>
    <w:rsid w:val="0072632A"/>
    <w:rsid w:val="00730989"/>
    <w:rsid w:val="00730ED7"/>
    <w:rsid w:val="0073485B"/>
    <w:rsid w:val="00736E6A"/>
    <w:rsid w:val="00741F59"/>
    <w:rsid w:val="0074511F"/>
    <w:rsid w:val="0074697D"/>
    <w:rsid w:val="0075168C"/>
    <w:rsid w:val="0075219F"/>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42F6"/>
    <w:rsid w:val="00786434"/>
    <w:rsid w:val="00790791"/>
    <w:rsid w:val="00796F36"/>
    <w:rsid w:val="00797331"/>
    <w:rsid w:val="007A0118"/>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3104"/>
    <w:rsid w:val="007D7BC6"/>
    <w:rsid w:val="007E313F"/>
    <w:rsid w:val="007E41AD"/>
    <w:rsid w:val="007E4BD3"/>
    <w:rsid w:val="007E5491"/>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3C78"/>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425"/>
    <w:rsid w:val="008D4A84"/>
    <w:rsid w:val="008D6942"/>
    <w:rsid w:val="008E0E46"/>
    <w:rsid w:val="008E15F2"/>
    <w:rsid w:val="008E1DAE"/>
    <w:rsid w:val="008E295A"/>
    <w:rsid w:val="008E4B13"/>
    <w:rsid w:val="008F2D9A"/>
    <w:rsid w:val="008F44B8"/>
    <w:rsid w:val="008F504A"/>
    <w:rsid w:val="009043E9"/>
    <w:rsid w:val="00904EBC"/>
    <w:rsid w:val="009131EF"/>
    <w:rsid w:val="00913C05"/>
    <w:rsid w:val="009217BA"/>
    <w:rsid w:val="00921BEF"/>
    <w:rsid w:val="00921EDE"/>
    <w:rsid w:val="00922F4B"/>
    <w:rsid w:val="00923019"/>
    <w:rsid w:val="009242B0"/>
    <w:rsid w:val="00924B63"/>
    <w:rsid w:val="0093457E"/>
    <w:rsid w:val="0093578F"/>
    <w:rsid w:val="009363B6"/>
    <w:rsid w:val="00940F46"/>
    <w:rsid w:val="009411DE"/>
    <w:rsid w:val="00941ECC"/>
    <w:rsid w:val="00945A5D"/>
    <w:rsid w:val="00946A0D"/>
    <w:rsid w:val="00947F38"/>
    <w:rsid w:val="00955109"/>
    <w:rsid w:val="00963B67"/>
    <w:rsid w:val="00963CBA"/>
    <w:rsid w:val="00966A4B"/>
    <w:rsid w:val="009701ED"/>
    <w:rsid w:val="0097096A"/>
    <w:rsid w:val="0097295A"/>
    <w:rsid w:val="009806A7"/>
    <w:rsid w:val="00983D8A"/>
    <w:rsid w:val="00984471"/>
    <w:rsid w:val="00984BD4"/>
    <w:rsid w:val="00985F37"/>
    <w:rsid w:val="009879EA"/>
    <w:rsid w:val="0099006B"/>
    <w:rsid w:val="0099066E"/>
    <w:rsid w:val="009908A5"/>
    <w:rsid w:val="0099124E"/>
    <w:rsid w:val="00991261"/>
    <w:rsid w:val="009934D0"/>
    <w:rsid w:val="00993B19"/>
    <w:rsid w:val="009950A3"/>
    <w:rsid w:val="009953D5"/>
    <w:rsid w:val="009A02FA"/>
    <w:rsid w:val="009A0512"/>
    <w:rsid w:val="009A1D29"/>
    <w:rsid w:val="009A4740"/>
    <w:rsid w:val="009A5EE0"/>
    <w:rsid w:val="009B140E"/>
    <w:rsid w:val="009C31D5"/>
    <w:rsid w:val="009C3734"/>
    <w:rsid w:val="009C5C44"/>
    <w:rsid w:val="009C5D1E"/>
    <w:rsid w:val="009C6394"/>
    <w:rsid w:val="009D0E2A"/>
    <w:rsid w:val="009D0F0E"/>
    <w:rsid w:val="009D1AAE"/>
    <w:rsid w:val="009D634E"/>
    <w:rsid w:val="009D6CA8"/>
    <w:rsid w:val="009E1560"/>
    <w:rsid w:val="009E47FC"/>
    <w:rsid w:val="009E52B4"/>
    <w:rsid w:val="009E6D7D"/>
    <w:rsid w:val="009F03AD"/>
    <w:rsid w:val="009F0F06"/>
    <w:rsid w:val="009F4EEB"/>
    <w:rsid w:val="009F4FC5"/>
    <w:rsid w:val="009F6555"/>
    <w:rsid w:val="009F77AD"/>
    <w:rsid w:val="00A0480A"/>
    <w:rsid w:val="00A06451"/>
    <w:rsid w:val="00A07F24"/>
    <w:rsid w:val="00A1427D"/>
    <w:rsid w:val="00A22FE4"/>
    <w:rsid w:val="00A235F1"/>
    <w:rsid w:val="00A2784C"/>
    <w:rsid w:val="00A34B00"/>
    <w:rsid w:val="00A3777A"/>
    <w:rsid w:val="00A4324D"/>
    <w:rsid w:val="00A461D9"/>
    <w:rsid w:val="00A50077"/>
    <w:rsid w:val="00A54CA8"/>
    <w:rsid w:val="00A57236"/>
    <w:rsid w:val="00A60196"/>
    <w:rsid w:val="00A6199C"/>
    <w:rsid w:val="00A622AF"/>
    <w:rsid w:val="00A65F4A"/>
    <w:rsid w:val="00A66636"/>
    <w:rsid w:val="00A71119"/>
    <w:rsid w:val="00A72F22"/>
    <w:rsid w:val="00A744D7"/>
    <w:rsid w:val="00A748A6"/>
    <w:rsid w:val="00A74A46"/>
    <w:rsid w:val="00A751A3"/>
    <w:rsid w:val="00A75EC9"/>
    <w:rsid w:val="00A810D4"/>
    <w:rsid w:val="00A83538"/>
    <w:rsid w:val="00A8523D"/>
    <w:rsid w:val="00A857A9"/>
    <w:rsid w:val="00A879A4"/>
    <w:rsid w:val="00A94962"/>
    <w:rsid w:val="00A977AA"/>
    <w:rsid w:val="00AA1D9A"/>
    <w:rsid w:val="00AA32EB"/>
    <w:rsid w:val="00AB2A02"/>
    <w:rsid w:val="00AB382F"/>
    <w:rsid w:val="00AB3AEE"/>
    <w:rsid w:val="00AB4CF1"/>
    <w:rsid w:val="00AC0D78"/>
    <w:rsid w:val="00AC1990"/>
    <w:rsid w:val="00AC31E3"/>
    <w:rsid w:val="00AC6A69"/>
    <w:rsid w:val="00AD34EE"/>
    <w:rsid w:val="00AD40DE"/>
    <w:rsid w:val="00AD7C88"/>
    <w:rsid w:val="00AE45DE"/>
    <w:rsid w:val="00AE5FC0"/>
    <w:rsid w:val="00AE66A2"/>
    <w:rsid w:val="00AF0185"/>
    <w:rsid w:val="00AF0878"/>
    <w:rsid w:val="00AF1FD0"/>
    <w:rsid w:val="00AF2F9D"/>
    <w:rsid w:val="00AF33AD"/>
    <w:rsid w:val="00AF57F4"/>
    <w:rsid w:val="00AF5F5C"/>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360B5"/>
    <w:rsid w:val="00B41384"/>
    <w:rsid w:val="00B4398E"/>
    <w:rsid w:val="00B43CDC"/>
    <w:rsid w:val="00B47274"/>
    <w:rsid w:val="00B51831"/>
    <w:rsid w:val="00B5392B"/>
    <w:rsid w:val="00B6523D"/>
    <w:rsid w:val="00B71E2B"/>
    <w:rsid w:val="00B72FD6"/>
    <w:rsid w:val="00B73DA8"/>
    <w:rsid w:val="00B74F7C"/>
    <w:rsid w:val="00B75E05"/>
    <w:rsid w:val="00B81E12"/>
    <w:rsid w:val="00B82321"/>
    <w:rsid w:val="00B84AAC"/>
    <w:rsid w:val="00B85299"/>
    <w:rsid w:val="00B85381"/>
    <w:rsid w:val="00B85D37"/>
    <w:rsid w:val="00B90C81"/>
    <w:rsid w:val="00B90F54"/>
    <w:rsid w:val="00B91CC3"/>
    <w:rsid w:val="00B92A0C"/>
    <w:rsid w:val="00B93068"/>
    <w:rsid w:val="00B93292"/>
    <w:rsid w:val="00B94358"/>
    <w:rsid w:val="00BB176D"/>
    <w:rsid w:val="00BB1F55"/>
    <w:rsid w:val="00BB2421"/>
    <w:rsid w:val="00BB3B28"/>
    <w:rsid w:val="00BB46AD"/>
    <w:rsid w:val="00BB68BF"/>
    <w:rsid w:val="00BC0C09"/>
    <w:rsid w:val="00BC24C3"/>
    <w:rsid w:val="00BC335F"/>
    <w:rsid w:val="00BC74E9"/>
    <w:rsid w:val="00BD055C"/>
    <w:rsid w:val="00BD16FB"/>
    <w:rsid w:val="00BD586C"/>
    <w:rsid w:val="00BD6433"/>
    <w:rsid w:val="00BE0D90"/>
    <w:rsid w:val="00BE1FF8"/>
    <w:rsid w:val="00BE50CA"/>
    <w:rsid w:val="00BE618E"/>
    <w:rsid w:val="00C0263F"/>
    <w:rsid w:val="00C03B44"/>
    <w:rsid w:val="00C078F8"/>
    <w:rsid w:val="00C114E5"/>
    <w:rsid w:val="00C13A85"/>
    <w:rsid w:val="00C218A4"/>
    <w:rsid w:val="00C228E5"/>
    <w:rsid w:val="00C243FF"/>
    <w:rsid w:val="00C31109"/>
    <w:rsid w:val="00C35039"/>
    <w:rsid w:val="00C36D37"/>
    <w:rsid w:val="00C40FDC"/>
    <w:rsid w:val="00C463DD"/>
    <w:rsid w:val="00C46D5B"/>
    <w:rsid w:val="00C52E26"/>
    <w:rsid w:val="00C537D5"/>
    <w:rsid w:val="00C54ADB"/>
    <w:rsid w:val="00C54CEA"/>
    <w:rsid w:val="00C60547"/>
    <w:rsid w:val="00C60AE3"/>
    <w:rsid w:val="00C61DA2"/>
    <w:rsid w:val="00C62F76"/>
    <w:rsid w:val="00C66D78"/>
    <w:rsid w:val="00C745C3"/>
    <w:rsid w:val="00C76CB6"/>
    <w:rsid w:val="00C77EDD"/>
    <w:rsid w:val="00C81212"/>
    <w:rsid w:val="00C84FF1"/>
    <w:rsid w:val="00C8629C"/>
    <w:rsid w:val="00C91180"/>
    <w:rsid w:val="00C93C11"/>
    <w:rsid w:val="00C971F6"/>
    <w:rsid w:val="00CA049C"/>
    <w:rsid w:val="00CA0FDC"/>
    <w:rsid w:val="00CA381C"/>
    <w:rsid w:val="00CA5D61"/>
    <w:rsid w:val="00CA74D3"/>
    <w:rsid w:val="00CB2158"/>
    <w:rsid w:val="00CB5D1F"/>
    <w:rsid w:val="00CB6380"/>
    <w:rsid w:val="00CC4CA6"/>
    <w:rsid w:val="00CC6B48"/>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2C83"/>
    <w:rsid w:val="00D1300A"/>
    <w:rsid w:val="00D164BA"/>
    <w:rsid w:val="00D2031B"/>
    <w:rsid w:val="00D25E8C"/>
    <w:rsid w:val="00D25FE2"/>
    <w:rsid w:val="00D27E89"/>
    <w:rsid w:val="00D30305"/>
    <w:rsid w:val="00D317D0"/>
    <w:rsid w:val="00D33DE8"/>
    <w:rsid w:val="00D350C7"/>
    <w:rsid w:val="00D35135"/>
    <w:rsid w:val="00D365C0"/>
    <w:rsid w:val="00D37E80"/>
    <w:rsid w:val="00D40F5B"/>
    <w:rsid w:val="00D42D1F"/>
    <w:rsid w:val="00D43252"/>
    <w:rsid w:val="00D43936"/>
    <w:rsid w:val="00D45FE3"/>
    <w:rsid w:val="00D46231"/>
    <w:rsid w:val="00D477C4"/>
    <w:rsid w:val="00D47F84"/>
    <w:rsid w:val="00D5409C"/>
    <w:rsid w:val="00D563C7"/>
    <w:rsid w:val="00D57C13"/>
    <w:rsid w:val="00D57FD9"/>
    <w:rsid w:val="00D60685"/>
    <w:rsid w:val="00D60FBE"/>
    <w:rsid w:val="00D610C1"/>
    <w:rsid w:val="00D63D90"/>
    <w:rsid w:val="00D658FA"/>
    <w:rsid w:val="00D730E3"/>
    <w:rsid w:val="00D753D8"/>
    <w:rsid w:val="00D77866"/>
    <w:rsid w:val="00D800FA"/>
    <w:rsid w:val="00D9274F"/>
    <w:rsid w:val="00D96248"/>
    <w:rsid w:val="00D96CC5"/>
    <w:rsid w:val="00D978C6"/>
    <w:rsid w:val="00D97B77"/>
    <w:rsid w:val="00DA360F"/>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30AB"/>
    <w:rsid w:val="00E1679E"/>
    <w:rsid w:val="00E178A1"/>
    <w:rsid w:val="00E20A87"/>
    <w:rsid w:val="00E239A0"/>
    <w:rsid w:val="00E2792B"/>
    <w:rsid w:val="00E32E00"/>
    <w:rsid w:val="00E34E58"/>
    <w:rsid w:val="00E36838"/>
    <w:rsid w:val="00E36C10"/>
    <w:rsid w:val="00E40B76"/>
    <w:rsid w:val="00E42461"/>
    <w:rsid w:val="00E43372"/>
    <w:rsid w:val="00E4443D"/>
    <w:rsid w:val="00E47008"/>
    <w:rsid w:val="00E52EB0"/>
    <w:rsid w:val="00E530B2"/>
    <w:rsid w:val="00E54352"/>
    <w:rsid w:val="00E5644E"/>
    <w:rsid w:val="00E5691C"/>
    <w:rsid w:val="00E601C0"/>
    <w:rsid w:val="00E631BA"/>
    <w:rsid w:val="00E6613A"/>
    <w:rsid w:val="00E67816"/>
    <w:rsid w:val="00E710DD"/>
    <w:rsid w:val="00E72282"/>
    <w:rsid w:val="00E7260F"/>
    <w:rsid w:val="00E730D8"/>
    <w:rsid w:val="00E73EB3"/>
    <w:rsid w:val="00E769C0"/>
    <w:rsid w:val="00E81230"/>
    <w:rsid w:val="00E8535A"/>
    <w:rsid w:val="00E864BE"/>
    <w:rsid w:val="00E90647"/>
    <w:rsid w:val="00E91775"/>
    <w:rsid w:val="00E9331A"/>
    <w:rsid w:val="00E93C5C"/>
    <w:rsid w:val="00E94C6B"/>
    <w:rsid w:val="00E96409"/>
    <w:rsid w:val="00E96630"/>
    <w:rsid w:val="00E96F7B"/>
    <w:rsid w:val="00E97A29"/>
    <w:rsid w:val="00EA0364"/>
    <w:rsid w:val="00EA48C4"/>
    <w:rsid w:val="00EA5700"/>
    <w:rsid w:val="00EA597A"/>
    <w:rsid w:val="00EA772F"/>
    <w:rsid w:val="00EB0F55"/>
    <w:rsid w:val="00EB24A2"/>
    <w:rsid w:val="00EB291B"/>
    <w:rsid w:val="00EB2AE3"/>
    <w:rsid w:val="00EB4C06"/>
    <w:rsid w:val="00EB51D5"/>
    <w:rsid w:val="00EB619D"/>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1C1E"/>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83862"/>
    <w:rsid w:val="00FA00A0"/>
    <w:rsid w:val="00FA2BF7"/>
    <w:rsid w:val="00FA3FB7"/>
    <w:rsid w:val="00FA65A2"/>
    <w:rsid w:val="00FA71DF"/>
    <w:rsid w:val="00FB5A37"/>
    <w:rsid w:val="00FB7793"/>
    <w:rsid w:val="00FC14DF"/>
    <w:rsid w:val="00FC16D7"/>
    <w:rsid w:val="00FC18AA"/>
    <w:rsid w:val="00FC1CF8"/>
    <w:rsid w:val="00FC215C"/>
    <w:rsid w:val="00FC3E36"/>
    <w:rsid w:val="00FC553C"/>
    <w:rsid w:val="00FC68B7"/>
    <w:rsid w:val="00FC73B4"/>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table" w:customStyle="1" w:styleId="Tabellrutnt1">
    <w:name w:val="Tabellrutnät1"/>
    <w:basedOn w:val="TableNormal"/>
    <w:next w:val="TableGrid"/>
    <w:uiPriority w:val="39"/>
    <w:rsid w:val="007E5491"/>
    <w:pPr>
      <w:spacing w:line="259" w:lineRule="auto"/>
    </w:pPr>
    <w:rPr>
      <w:rFonts w:ascii="Arial" w:eastAsia="Garamond" w:hAnsi="Arial"/>
      <w:sz w:val="18"/>
      <w:szCs w:val="23"/>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ellrutnt2">
    <w:name w:val="Tabellrutnät2"/>
    <w:basedOn w:val="TableNormal"/>
    <w:next w:val="TableGrid"/>
    <w:uiPriority w:val="39"/>
    <w:rsid w:val="007E5491"/>
    <w:pPr>
      <w:spacing w:line="259" w:lineRule="auto"/>
    </w:pPr>
    <w:rPr>
      <w:rFonts w:ascii="Arial" w:eastAsia="Garamond" w:hAnsi="Arial"/>
      <w:sz w:val="18"/>
      <w:szCs w:val="23"/>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3AEB-60D5-47EE-9C44-13B188E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11</TotalTime>
  <Pages>7</Pages>
  <Words>1940</Words>
  <Characters>11062</Characters>
  <Application>Microsoft Office Word</Application>
  <DocSecurity>0</DocSecurity>
  <Lines>92</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2019-06-11T09:11:00Z</cp:lastPrinted>
  <dcterms:created xsi:type="dcterms:W3CDTF">2019-06-11T09:05:00Z</dcterms:created>
  <dcterms:modified xsi:type="dcterms:W3CDTF">2019-06-11T14:06:00Z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