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03A7" w:rsidTr="000216CC">
        <w:trPr>
          <w:trHeight w:val="851"/>
        </w:trPr>
        <w:tc>
          <w:tcPr>
            <w:tcW w:w="1259" w:type="dxa"/>
            <w:tcBorders>
              <w:top w:val="nil"/>
              <w:left w:val="nil"/>
              <w:bottom w:val="single" w:sz="4" w:space="0" w:color="auto"/>
              <w:right w:val="nil"/>
            </w:tcBorders>
            <w:shd w:val="clear" w:color="auto" w:fill="auto"/>
          </w:tcPr>
          <w:p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3003A7" w:rsidRPr="008A1BFD" w:rsidRDefault="003003A7" w:rsidP="003003A7">
            <w:pPr>
              <w:jc w:val="right"/>
              <w:rPr>
                <w:b/>
                <w:sz w:val="40"/>
                <w:szCs w:val="40"/>
                <w:lang w:val="fr-FR"/>
              </w:rPr>
            </w:pPr>
            <w:r w:rsidRPr="005C3EC7">
              <w:rPr>
                <w:b/>
                <w:sz w:val="40"/>
                <w:szCs w:val="40"/>
                <w:lang w:val="fr-FR"/>
              </w:rPr>
              <w:t>UN/SCETDG/</w:t>
            </w:r>
            <w:r w:rsidR="00D42C29">
              <w:rPr>
                <w:b/>
                <w:sz w:val="40"/>
                <w:szCs w:val="40"/>
                <w:lang w:val="fr-FR"/>
              </w:rPr>
              <w:t>55</w:t>
            </w:r>
            <w:r w:rsidRPr="005C3EC7">
              <w:rPr>
                <w:b/>
                <w:sz w:val="40"/>
                <w:szCs w:val="40"/>
                <w:lang w:val="fr-FR"/>
              </w:rPr>
              <w:t>/</w:t>
            </w:r>
            <w:r w:rsidRPr="008A1BFD">
              <w:rPr>
                <w:b/>
                <w:sz w:val="40"/>
                <w:szCs w:val="40"/>
                <w:lang w:val="fr-FR"/>
              </w:rPr>
              <w:t>INF.</w:t>
            </w:r>
            <w:r w:rsidR="00CF2F01">
              <w:rPr>
                <w:b/>
                <w:sz w:val="40"/>
                <w:szCs w:val="40"/>
                <w:lang w:val="fr-FR"/>
              </w:rPr>
              <w:t>19</w:t>
            </w:r>
          </w:p>
          <w:p w:rsidR="003003A7" w:rsidRPr="005C3EC7" w:rsidRDefault="003003A7" w:rsidP="003003A7">
            <w:pPr>
              <w:jc w:val="right"/>
              <w:rPr>
                <w:b/>
                <w:sz w:val="40"/>
                <w:szCs w:val="40"/>
                <w:lang w:val="fr-FR"/>
              </w:rPr>
            </w:pPr>
            <w:r w:rsidRPr="008A1BFD">
              <w:rPr>
                <w:b/>
                <w:sz w:val="40"/>
                <w:szCs w:val="40"/>
                <w:lang w:val="fr-FR"/>
              </w:rPr>
              <w:t>UN/SCEGHS/</w:t>
            </w:r>
            <w:r w:rsidR="00D42C29" w:rsidRPr="008A1BFD">
              <w:rPr>
                <w:b/>
                <w:sz w:val="40"/>
                <w:szCs w:val="40"/>
                <w:lang w:val="fr-FR"/>
              </w:rPr>
              <w:t>37</w:t>
            </w:r>
            <w:r w:rsidRPr="008A1BFD">
              <w:rPr>
                <w:b/>
                <w:sz w:val="40"/>
                <w:szCs w:val="40"/>
                <w:lang w:val="fr-FR"/>
              </w:rPr>
              <w:t>/INF.</w:t>
            </w:r>
            <w:r w:rsidR="00CF2F01">
              <w:rPr>
                <w:b/>
                <w:sz w:val="40"/>
                <w:szCs w:val="40"/>
                <w:lang w:val="fr-FR"/>
              </w:rPr>
              <w:t>8</w:t>
            </w:r>
          </w:p>
          <w:p w:rsidR="003003A7" w:rsidRPr="00BD7EBA" w:rsidRDefault="003003A7" w:rsidP="003003A7">
            <w:pPr>
              <w:jc w:val="right"/>
              <w:rPr>
                <w:highlight w:val="yellow"/>
                <w:lang w:val="fr-FR"/>
              </w:rPr>
            </w:pPr>
          </w:p>
        </w:tc>
      </w:tr>
    </w:tbl>
    <w:p w:rsidR="000019B8" w:rsidRPr="00BD7EBA" w:rsidRDefault="000019B8" w:rsidP="000019B8">
      <w:pPr>
        <w:rPr>
          <w:vanish/>
          <w:lang w:val="fr-FR"/>
        </w:rPr>
      </w:pPr>
    </w:p>
    <w:tbl>
      <w:tblPr>
        <w:tblW w:w="9645" w:type="dxa"/>
        <w:tblInd w:w="108" w:type="dxa"/>
        <w:tblLayout w:type="fixed"/>
        <w:tblLook w:val="04A0" w:firstRow="1" w:lastRow="0" w:firstColumn="1" w:lastColumn="0" w:noHBand="0" w:noVBand="1"/>
      </w:tblPr>
      <w:tblGrid>
        <w:gridCol w:w="4120"/>
        <w:gridCol w:w="5220"/>
        <w:gridCol w:w="305"/>
      </w:tblGrid>
      <w:tr w:rsidR="00645A0B" w:rsidRPr="00755A0C" w:rsidTr="008A1BFD">
        <w:tc>
          <w:tcPr>
            <w:tcW w:w="9645" w:type="dxa"/>
            <w:gridSpan w:val="3"/>
            <w:tcMar>
              <w:top w:w="142" w:type="dxa"/>
              <w:left w:w="108" w:type="dxa"/>
              <w:bottom w:w="142" w:type="dxa"/>
              <w:right w:w="108" w:type="dxa"/>
            </w:tcMar>
          </w:tcPr>
          <w:p w:rsidR="00645A0B" w:rsidRPr="00755A0C" w:rsidRDefault="00645A0B" w:rsidP="008A1BFD">
            <w:pPr>
              <w:tabs>
                <w:tab w:val="right" w:pos="9214"/>
              </w:tabs>
            </w:pPr>
            <w:r w:rsidRPr="00755A0C">
              <w:rPr>
                <w:b/>
                <w:sz w:val="24"/>
                <w:szCs w:val="24"/>
              </w:rPr>
              <w:t>Committee of Experts on the Transport of Dangerous Goods</w:t>
            </w:r>
            <w:r w:rsidRPr="00755A0C">
              <w:rPr>
                <w:b/>
                <w:sz w:val="24"/>
                <w:szCs w:val="24"/>
              </w:rPr>
              <w:tab/>
            </w:r>
            <w:r w:rsidRPr="00755A0C">
              <w:rPr>
                <w:b/>
                <w:sz w:val="24"/>
                <w:szCs w:val="24"/>
              </w:rPr>
              <w:br/>
              <w:t>and on the Globally Harmonized System of Classification</w:t>
            </w:r>
            <w:r w:rsidRPr="00755A0C">
              <w:rPr>
                <w:b/>
                <w:sz w:val="24"/>
                <w:szCs w:val="24"/>
              </w:rPr>
              <w:br/>
              <w:t>and Labelling of Chemicals</w:t>
            </w:r>
            <w:r w:rsidRPr="00755A0C">
              <w:rPr>
                <w:b/>
              </w:rPr>
              <w:tab/>
            </w:r>
            <w:r w:rsidR="00CF2F01">
              <w:rPr>
                <w:b/>
              </w:rPr>
              <w:t>11 June</w:t>
            </w:r>
            <w:r w:rsidR="0091645B">
              <w:rPr>
                <w:b/>
              </w:rPr>
              <w:t xml:space="preserve"> </w:t>
            </w:r>
            <w:r w:rsidR="00D42C29">
              <w:rPr>
                <w:b/>
                <w:sz w:val="18"/>
                <w:szCs w:val="24"/>
              </w:rPr>
              <w:t>2019</w:t>
            </w:r>
          </w:p>
        </w:tc>
      </w:tr>
      <w:tr w:rsidR="008A1BFD" w:rsidRPr="000B4919" w:rsidTr="008A1BFD">
        <w:trPr>
          <w:gridAfter w:val="1"/>
          <w:wAfter w:w="305" w:type="dxa"/>
        </w:trPr>
        <w:tc>
          <w:tcPr>
            <w:tcW w:w="4120" w:type="dxa"/>
            <w:tcMar>
              <w:top w:w="57" w:type="dxa"/>
              <w:left w:w="108" w:type="dxa"/>
              <w:bottom w:w="0" w:type="dxa"/>
              <w:right w:w="108" w:type="dxa"/>
            </w:tcMar>
            <w:vAlign w:val="center"/>
          </w:tcPr>
          <w:p w:rsidR="003003A7" w:rsidRPr="000B4919" w:rsidRDefault="003003A7" w:rsidP="003003A7">
            <w:pPr>
              <w:spacing w:before="120"/>
              <w:rPr>
                <w:b/>
              </w:rPr>
            </w:pPr>
            <w:r w:rsidRPr="000B4919">
              <w:rPr>
                <w:b/>
              </w:rPr>
              <w:t xml:space="preserve">Sub-Committee of Experts on the </w:t>
            </w:r>
            <w:r w:rsidRPr="000B4919">
              <w:rPr>
                <w:b/>
              </w:rPr>
              <w:br/>
              <w:t xml:space="preserve">Transport of Dangerous Goods </w:t>
            </w:r>
          </w:p>
        </w:tc>
        <w:tc>
          <w:tcPr>
            <w:tcW w:w="5220" w:type="dxa"/>
            <w:tcMar>
              <w:top w:w="57" w:type="dxa"/>
              <w:left w:w="108" w:type="dxa"/>
              <w:bottom w:w="0" w:type="dxa"/>
              <w:right w:w="108" w:type="dxa"/>
            </w:tcMar>
            <w:vAlign w:val="center"/>
          </w:tcPr>
          <w:p w:rsidR="003003A7" w:rsidRPr="000B4919" w:rsidRDefault="003003A7" w:rsidP="003003A7">
            <w:pPr>
              <w:spacing w:before="120"/>
              <w:rPr>
                <w:b/>
              </w:rPr>
            </w:pPr>
            <w:r w:rsidRPr="000B4919">
              <w:rPr>
                <w:b/>
              </w:rPr>
              <w:t>Sub-Committee of Experts on the Globally Harmonized System of Classification and Labelling of Chemicals</w:t>
            </w:r>
          </w:p>
        </w:tc>
      </w:tr>
      <w:tr w:rsidR="008A1BFD" w:rsidRPr="000B4919" w:rsidTr="008A1BFD">
        <w:trPr>
          <w:gridAfter w:val="1"/>
          <w:wAfter w:w="305" w:type="dxa"/>
          <w:trHeight w:val="384"/>
        </w:trPr>
        <w:tc>
          <w:tcPr>
            <w:tcW w:w="4120" w:type="dxa"/>
            <w:tcMar>
              <w:top w:w="57" w:type="dxa"/>
              <w:left w:w="108" w:type="dxa"/>
              <w:bottom w:w="0" w:type="dxa"/>
              <w:right w:w="108" w:type="dxa"/>
            </w:tcMar>
          </w:tcPr>
          <w:p w:rsidR="003003A7" w:rsidRPr="000B4919" w:rsidRDefault="003003A7" w:rsidP="00D42C29">
            <w:pPr>
              <w:spacing w:before="120"/>
              <w:ind w:left="34" w:hanging="34"/>
              <w:rPr>
                <w:b/>
              </w:rPr>
            </w:pPr>
            <w:r w:rsidRPr="006F47DE">
              <w:rPr>
                <w:b/>
              </w:rPr>
              <w:t>Fifty-</w:t>
            </w:r>
            <w:r w:rsidR="00D42C29">
              <w:rPr>
                <w:b/>
              </w:rPr>
              <w:t>fifth</w:t>
            </w:r>
            <w:r w:rsidRPr="006F47DE">
              <w:rPr>
                <w:b/>
              </w:rPr>
              <w:t xml:space="preserve"> session</w:t>
            </w:r>
          </w:p>
        </w:tc>
        <w:tc>
          <w:tcPr>
            <w:tcW w:w="5220" w:type="dxa"/>
            <w:tcMar>
              <w:top w:w="57" w:type="dxa"/>
              <w:left w:w="108" w:type="dxa"/>
              <w:bottom w:w="0" w:type="dxa"/>
              <w:right w:w="108" w:type="dxa"/>
            </w:tcMar>
          </w:tcPr>
          <w:p w:rsidR="003003A7" w:rsidRPr="000B4919" w:rsidRDefault="003003A7" w:rsidP="00D42C29">
            <w:pPr>
              <w:spacing w:before="120"/>
              <w:ind w:left="34" w:hanging="34"/>
              <w:rPr>
                <w:b/>
              </w:rPr>
            </w:pPr>
            <w:r>
              <w:rPr>
                <w:b/>
              </w:rPr>
              <w:t>Thirty-</w:t>
            </w:r>
            <w:r w:rsidR="00D42C29">
              <w:rPr>
                <w:b/>
              </w:rPr>
              <w:t>seventh</w:t>
            </w:r>
            <w:r w:rsidRPr="000B4919">
              <w:rPr>
                <w:b/>
              </w:rPr>
              <w:t xml:space="preserve"> session</w:t>
            </w:r>
            <w:r w:rsidRPr="00E63DE8">
              <w:rPr>
                <w:b/>
              </w:rPr>
              <w:t xml:space="preserve"> </w:t>
            </w:r>
          </w:p>
        </w:tc>
      </w:tr>
      <w:tr w:rsidR="008A1BFD" w:rsidRPr="000B4919" w:rsidTr="008A1BFD">
        <w:trPr>
          <w:gridAfter w:val="1"/>
          <w:wAfter w:w="305" w:type="dxa"/>
          <w:trHeight w:val="1295"/>
        </w:trPr>
        <w:tc>
          <w:tcPr>
            <w:tcW w:w="4120" w:type="dxa"/>
            <w:tcMar>
              <w:top w:w="28" w:type="dxa"/>
              <w:left w:w="108" w:type="dxa"/>
              <w:bottom w:w="0" w:type="dxa"/>
              <w:right w:w="108" w:type="dxa"/>
            </w:tcMar>
          </w:tcPr>
          <w:p w:rsidR="003003A7" w:rsidRPr="00B73973" w:rsidRDefault="003003A7" w:rsidP="003003A7">
            <w:pPr>
              <w:tabs>
                <w:tab w:val="left" w:pos="6361"/>
                <w:tab w:val="left" w:pos="6939"/>
              </w:tabs>
              <w:spacing w:before="40"/>
              <w:outlineLvl w:val="0"/>
              <w:rPr>
                <w:bCs/>
                <w:highlight w:val="yellow"/>
              </w:rPr>
            </w:pPr>
            <w:r w:rsidRPr="006500BA">
              <w:t>Geneva,</w:t>
            </w:r>
            <w:r>
              <w:t xml:space="preserve"> </w:t>
            </w:r>
            <w:r w:rsidR="00A757DF" w:rsidRPr="00A757DF">
              <w:t>1</w:t>
            </w:r>
            <w:r w:rsidR="00CF2F01">
              <w:t>-</w:t>
            </w:r>
            <w:r w:rsidR="00A757DF" w:rsidRPr="00A757DF">
              <w:t xml:space="preserve">5 July </w:t>
            </w:r>
            <w:r w:rsidRPr="00A757DF">
              <w:t>201</w:t>
            </w:r>
            <w:r w:rsidR="00A757DF" w:rsidRPr="00A757DF">
              <w:t>9</w:t>
            </w:r>
          </w:p>
          <w:p w:rsidR="003003A7" w:rsidRDefault="003003A7" w:rsidP="008A1BFD">
            <w:pPr>
              <w:spacing w:before="40"/>
              <w:ind w:left="34" w:hanging="34"/>
              <w:rPr>
                <w:b/>
                <w:bCs/>
              </w:rPr>
            </w:pPr>
            <w:r w:rsidRPr="008A1BFD">
              <w:t xml:space="preserve">Item </w:t>
            </w:r>
            <w:r w:rsidR="002F1915" w:rsidRPr="008A1BFD">
              <w:t>2</w:t>
            </w:r>
            <w:r w:rsidR="006B4518" w:rsidRPr="008A1BFD">
              <w:t xml:space="preserve"> (</w:t>
            </w:r>
            <w:r w:rsidR="008A1BFD" w:rsidRPr="008A1BFD">
              <w:t>h</w:t>
            </w:r>
            <w:r w:rsidRPr="008A1BFD">
              <w:t>) of the provisional agenda</w:t>
            </w:r>
          </w:p>
          <w:p w:rsidR="008A1BFD" w:rsidRPr="008A1BFD" w:rsidRDefault="008A1BFD" w:rsidP="008A1BFD">
            <w:pPr>
              <w:spacing w:before="40"/>
              <w:rPr>
                <w:b/>
                <w:bCs/>
              </w:rPr>
            </w:pPr>
            <w:r w:rsidRPr="008A1BFD">
              <w:rPr>
                <w:b/>
                <w:bCs/>
              </w:rPr>
              <w:t>Explosives and related matters:</w:t>
            </w:r>
          </w:p>
          <w:p w:rsidR="008A1BFD" w:rsidRPr="002F1915" w:rsidRDefault="00C829D0" w:rsidP="008A1BFD">
            <w:pPr>
              <w:spacing w:before="40"/>
              <w:rPr>
                <w:b/>
                <w:bCs/>
              </w:rPr>
            </w:pPr>
            <w:r>
              <w:rPr>
                <w:b/>
                <w:bCs/>
              </w:rPr>
              <w:t>r</w:t>
            </w:r>
            <w:r w:rsidR="008A1BFD" w:rsidRPr="008A1BFD">
              <w:rPr>
                <w:b/>
                <w:bCs/>
              </w:rPr>
              <w:t>eview of Chapter 2.1 of the GHS</w:t>
            </w:r>
          </w:p>
        </w:tc>
        <w:tc>
          <w:tcPr>
            <w:tcW w:w="5220" w:type="dxa"/>
            <w:tcMar>
              <w:top w:w="28" w:type="dxa"/>
              <w:left w:w="108" w:type="dxa"/>
              <w:bottom w:w="0" w:type="dxa"/>
              <w:right w:w="108" w:type="dxa"/>
            </w:tcMar>
          </w:tcPr>
          <w:p w:rsidR="003003A7" w:rsidRPr="00B73973" w:rsidRDefault="003003A7" w:rsidP="003003A7">
            <w:pPr>
              <w:spacing w:before="40"/>
              <w:rPr>
                <w:highlight w:val="yellow"/>
              </w:rPr>
            </w:pPr>
            <w:r w:rsidRPr="00283442">
              <w:t>Geneva</w:t>
            </w:r>
            <w:r w:rsidRPr="008A1BFD">
              <w:t xml:space="preserve">, </w:t>
            </w:r>
            <w:r w:rsidR="00A757DF" w:rsidRPr="008A1BFD">
              <w:t>8</w:t>
            </w:r>
            <w:r w:rsidR="00CF2F01">
              <w:t>-</w:t>
            </w:r>
            <w:r w:rsidR="00A757DF" w:rsidRPr="008A1BFD">
              <w:t>10</w:t>
            </w:r>
            <w:r w:rsidRPr="008A1BFD">
              <w:t xml:space="preserve"> </w:t>
            </w:r>
            <w:r w:rsidR="00A757DF" w:rsidRPr="008A1BFD">
              <w:t xml:space="preserve">July </w:t>
            </w:r>
            <w:r w:rsidRPr="008A1BFD">
              <w:t>201</w:t>
            </w:r>
            <w:r w:rsidR="00A757DF" w:rsidRPr="008A1BFD">
              <w:t>9</w:t>
            </w:r>
          </w:p>
          <w:p w:rsidR="003003A7" w:rsidRPr="008A1BFD" w:rsidRDefault="003003A7" w:rsidP="003003A7">
            <w:pPr>
              <w:spacing w:before="40"/>
            </w:pPr>
            <w:r w:rsidRPr="008A1BFD">
              <w:t xml:space="preserve">Item </w:t>
            </w:r>
            <w:r w:rsidR="008A1BFD" w:rsidRPr="008A1BFD">
              <w:t>2</w:t>
            </w:r>
            <w:r w:rsidR="006B4518" w:rsidRPr="008A1BFD">
              <w:t xml:space="preserve"> (b</w:t>
            </w:r>
            <w:r w:rsidRPr="008A1BFD">
              <w:t>) of the provisional agenda</w:t>
            </w:r>
          </w:p>
          <w:p w:rsidR="008A1BFD" w:rsidRPr="008A1BFD" w:rsidRDefault="008A1BFD" w:rsidP="008A1BFD">
            <w:pPr>
              <w:spacing w:before="40"/>
              <w:rPr>
                <w:b/>
              </w:rPr>
            </w:pPr>
            <w:r w:rsidRPr="008A1BFD">
              <w:rPr>
                <w:b/>
              </w:rPr>
              <w:t>Classification criteria and related hazard communication:</w:t>
            </w:r>
          </w:p>
          <w:p w:rsidR="003003A7" w:rsidRPr="006B4518" w:rsidRDefault="00C829D0" w:rsidP="008A1BFD">
            <w:pPr>
              <w:spacing w:before="40"/>
              <w:rPr>
                <w:b/>
              </w:rPr>
            </w:pPr>
            <w:r>
              <w:rPr>
                <w:b/>
              </w:rPr>
              <w:t>r</w:t>
            </w:r>
            <w:r w:rsidR="008A1BFD" w:rsidRPr="008A1BFD">
              <w:rPr>
                <w:b/>
              </w:rPr>
              <w:t>eview of Chapter 2.1</w:t>
            </w:r>
          </w:p>
        </w:tc>
      </w:tr>
    </w:tbl>
    <w:p w:rsidR="006B4518" w:rsidRPr="006B4518" w:rsidRDefault="006B4518" w:rsidP="006B4518">
      <w:pPr>
        <w:pStyle w:val="HChG"/>
      </w:pPr>
      <w:r w:rsidRPr="006B4518">
        <w:tab/>
      </w:r>
      <w:r w:rsidRPr="006B4518">
        <w:tab/>
      </w:r>
      <w:r w:rsidR="00B21142">
        <w:t>E</w:t>
      </w:r>
      <w:r w:rsidRPr="006B4518">
        <w:t xml:space="preserve">xplosives classification in GHS Chapter 2.1 </w:t>
      </w:r>
    </w:p>
    <w:p w:rsidR="006B4518" w:rsidRPr="006B4518" w:rsidRDefault="006B4518" w:rsidP="006B4518">
      <w:pPr>
        <w:pStyle w:val="H1G"/>
      </w:pPr>
      <w:r w:rsidRPr="006B4518">
        <w:tab/>
      </w:r>
      <w:r w:rsidRPr="006B4518">
        <w:tab/>
        <w:t xml:space="preserve">Transmitted by the </w:t>
      </w:r>
      <w:r w:rsidR="00B569BE">
        <w:t xml:space="preserve">expert from the </w:t>
      </w:r>
      <w:r w:rsidRPr="006B4518">
        <w:t xml:space="preserve">United States of America, the Institute of Makers of Explosives (IME) and the Sporting Arms and Ammunition Manufacturer’s Institute (SAAMI) </w:t>
      </w:r>
    </w:p>
    <w:p w:rsidR="006B4518" w:rsidRPr="006B4518" w:rsidRDefault="006B4518" w:rsidP="006B4518">
      <w:pPr>
        <w:pStyle w:val="HChG"/>
      </w:pPr>
      <w:r w:rsidRPr="006B4518">
        <w:tab/>
      </w:r>
      <w:r w:rsidRPr="006B4518">
        <w:tab/>
      </w:r>
      <w:r>
        <w:t>Background</w:t>
      </w:r>
    </w:p>
    <w:p w:rsidR="006B4518" w:rsidRPr="006B4518" w:rsidRDefault="006B4518" w:rsidP="002A76D3">
      <w:pPr>
        <w:pStyle w:val="SingleTxtG"/>
        <w:numPr>
          <w:ilvl w:val="0"/>
          <w:numId w:val="18"/>
        </w:numPr>
        <w:ind w:left="1134" w:firstLine="0"/>
      </w:pPr>
      <w:r w:rsidRPr="006B4518">
        <w:t xml:space="preserve">At the </w:t>
      </w:r>
      <w:proofErr w:type="spellStart"/>
      <w:r>
        <w:rPr>
          <w:lang w:val="fr-CH"/>
        </w:rPr>
        <w:t>thirty-</w:t>
      </w:r>
      <w:r w:rsidR="00D42C29">
        <w:rPr>
          <w:lang w:val="fr-CH"/>
        </w:rPr>
        <w:t>sixth</w:t>
      </w:r>
      <w:proofErr w:type="spellEnd"/>
      <w:r w:rsidR="00D42C29" w:rsidRPr="006B4518">
        <w:t xml:space="preserve"> </w:t>
      </w:r>
      <w:r w:rsidRPr="006B4518">
        <w:t>session (</w:t>
      </w:r>
      <w:r w:rsidR="00D42C29">
        <w:t>December</w:t>
      </w:r>
      <w:r w:rsidR="00D42C29" w:rsidRPr="006B4518">
        <w:t xml:space="preserve"> </w:t>
      </w:r>
      <w:r w:rsidRPr="006B4518">
        <w:t>2018), the GHS Sub-Committee noted and welcomed the progress achieved by the informal correspondence group since the last session, through discussions at the Informal Correspondence group (ICG) meetings and parallel to the fifty-</w:t>
      </w:r>
      <w:r w:rsidR="00D42C29">
        <w:t>fourth</w:t>
      </w:r>
      <w:r w:rsidR="00D42C29" w:rsidRPr="006B4518">
        <w:t xml:space="preserve"> </w:t>
      </w:r>
      <w:r w:rsidRPr="006B4518">
        <w:t>session of the TDG Sub-Committee, jointly with the Working G</w:t>
      </w:r>
      <w:r w:rsidR="002F1915">
        <w:t>roup on Explosives (ST/SG/AC.10</w:t>
      </w:r>
      <w:r w:rsidR="002F1915">
        <w:rPr>
          <w:lang w:val="fr-CH"/>
        </w:rPr>
        <w:t>/</w:t>
      </w:r>
      <w:r w:rsidRPr="006B4518">
        <w:t>C.4/</w:t>
      </w:r>
      <w:r w:rsidR="00BA413B" w:rsidRPr="006B4518">
        <w:t>7</w:t>
      </w:r>
      <w:r w:rsidR="00BA413B">
        <w:t>2</w:t>
      </w:r>
      <w:r w:rsidR="00BA413B" w:rsidRPr="006B4518">
        <w:t xml:space="preserve"> </w:t>
      </w:r>
      <w:r w:rsidRPr="006B4518">
        <w:t>paragraph  24).</w:t>
      </w:r>
    </w:p>
    <w:p w:rsidR="006B4518" w:rsidRDefault="006B4518" w:rsidP="002D3912">
      <w:pPr>
        <w:pStyle w:val="SingleTxtG"/>
        <w:numPr>
          <w:ilvl w:val="0"/>
          <w:numId w:val="18"/>
        </w:numPr>
        <w:ind w:left="1134" w:firstLine="0"/>
      </w:pPr>
      <w:r w:rsidRPr="006B4518">
        <w:t xml:space="preserve">Additionally, the GHS Sub-Committee noted </w:t>
      </w:r>
      <w:r w:rsidR="002D3912">
        <w:t xml:space="preserve">that </w:t>
      </w:r>
      <w:r w:rsidR="002D3912" w:rsidRPr="007F6235">
        <w:t>the informal correspondence group had accomplished its mandate to formulate the technical criteria for assignment of explosives to sub-categories 2A, 2B and 2C in the GHS</w:t>
      </w:r>
      <w:r w:rsidR="00C060D3">
        <w:t>, with examples,</w:t>
      </w:r>
      <w:r w:rsidR="002D3912" w:rsidRPr="007F6235">
        <w:t xml:space="preserve"> as well as for the scope of the hazard class Explosives, without consequential changes to the current classification system in </w:t>
      </w:r>
      <w:r w:rsidR="002D3912">
        <w:t>transport</w:t>
      </w:r>
      <w:r w:rsidRPr="006B4518">
        <w:t xml:space="preserve"> (ST/SG/AC.10.C.4/7</w:t>
      </w:r>
      <w:r w:rsidR="00BA413B">
        <w:t>2</w:t>
      </w:r>
      <w:r w:rsidRPr="006B4518">
        <w:t xml:space="preserve"> paragraph</w:t>
      </w:r>
      <w:r w:rsidR="00C060D3">
        <w:t>s 25-</w:t>
      </w:r>
      <w:r w:rsidRPr="006B4518">
        <w:t>26).</w:t>
      </w:r>
    </w:p>
    <w:p w:rsidR="006B4518" w:rsidRPr="006B4518" w:rsidRDefault="006B4518" w:rsidP="002A76D3">
      <w:pPr>
        <w:pStyle w:val="SingleTxtG"/>
        <w:numPr>
          <w:ilvl w:val="0"/>
          <w:numId w:val="18"/>
        </w:numPr>
        <w:ind w:left="1134" w:firstLine="0"/>
      </w:pPr>
      <w:r w:rsidRPr="006B4518">
        <w:t xml:space="preserve">Experts from the </w:t>
      </w:r>
      <w:r>
        <w:rPr>
          <w:lang w:val="fr-CH"/>
        </w:rPr>
        <w:t>United States of America</w:t>
      </w:r>
      <w:r w:rsidRPr="006B4518">
        <w:t>, IME and SAAMI (US task force) appreciate the significant work and progress made by the ICG under the leaders</w:t>
      </w:r>
      <w:r>
        <w:t xml:space="preserve">hip of the expert from Sweden. </w:t>
      </w:r>
      <w:r w:rsidRPr="006B4518">
        <w:t xml:space="preserve">The US task force has participated in ICG discussions, the </w:t>
      </w:r>
      <w:r w:rsidR="00D42C29">
        <w:t>2019</w:t>
      </w:r>
      <w:r w:rsidR="00D42C29" w:rsidRPr="006B4518">
        <w:t xml:space="preserve"> </w:t>
      </w:r>
      <w:r w:rsidRPr="006B4518">
        <w:t>IGUS EPP</w:t>
      </w:r>
      <w:r w:rsidR="003107D0">
        <w:rPr>
          <w:rStyle w:val="FootnoteReference"/>
        </w:rPr>
        <w:footnoteReference w:id="2"/>
      </w:r>
      <w:r w:rsidRPr="006B4518">
        <w:t>/CIE</w:t>
      </w:r>
      <w:r w:rsidR="003107D0">
        <w:rPr>
          <w:rStyle w:val="FootnoteReference"/>
        </w:rPr>
        <w:footnoteReference w:id="3"/>
      </w:r>
      <w:r w:rsidRPr="006B4518">
        <w:t xml:space="preserve"> meetings, joint UN TDG/GHS meetings, and dedicated significant time </w:t>
      </w:r>
      <w:proofErr w:type="spellStart"/>
      <w:r w:rsidRPr="006B4518">
        <w:t>intersessionally</w:t>
      </w:r>
      <w:proofErr w:type="spellEnd"/>
      <w:r w:rsidRPr="006B4518">
        <w:t xml:space="preserve"> to discuss and reach consensus on key principles of explosives classification in the context of the GHS. </w:t>
      </w:r>
    </w:p>
    <w:p w:rsidR="006B4518" w:rsidRPr="00D66AAF" w:rsidRDefault="003107D0" w:rsidP="00825B97">
      <w:pPr>
        <w:pStyle w:val="HChG"/>
        <w:ind w:left="2268"/>
        <w:rPr>
          <w:sz w:val="22"/>
        </w:rPr>
      </w:pPr>
      <w:r>
        <w:lastRenderedPageBreak/>
        <w:t>Introduction</w:t>
      </w:r>
    </w:p>
    <w:p w:rsidR="005E2318" w:rsidRDefault="005E2318" w:rsidP="005E2318">
      <w:pPr>
        <w:pStyle w:val="SingleTxtG"/>
        <w:numPr>
          <w:ilvl w:val="0"/>
          <w:numId w:val="18"/>
        </w:numPr>
        <w:ind w:left="1134" w:firstLine="0"/>
      </w:pPr>
      <w:r>
        <w:t>In December 2018 in Geneva, t</w:t>
      </w:r>
      <w:r w:rsidRPr="003107D0">
        <w:t xml:space="preserve">he US task force volunteered to </w:t>
      </w:r>
      <w:r>
        <w:t>finalize</w:t>
      </w:r>
      <w:r w:rsidRPr="003107D0">
        <w:t xml:space="preserve"> detailed criteria, utilizing available transport classification data and protocol to assign explosives in their primary packaging to the Category 2 Sub-categories 2A (High Hazard), 2B (Medium Hazard), and 2C (Low Hazard) respectively. </w:t>
      </w:r>
      <w:r>
        <w:t xml:space="preserve">We have also worked </w:t>
      </w:r>
      <w:r w:rsidR="00C64AB0">
        <w:t>to refine C</w:t>
      </w:r>
      <w:r w:rsidR="007D449A">
        <w:t>ategory 1</w:t>
      </w:r>
      <w:r>
        <w:t>.</w:t>
      </w:r>
    </w:p>
    <w:p w:rsidR="006B4518" w:rsidRPr="003107D0" w:rsidRDefault="006B4518" w:rsidP="002A76D3">
      <w:pPr>
        <w:pStyle w:val="SingleTxtG"/>
        <w:numPr>
          <w:ilvl w:val="0"/>
          <w:numId w:val="18"/>
        </w:numPr>
        <w:ind w:left="1134" w:firstLine="0"/>
      </w:pPr>
      <w:r w:rsidRPr="003107D0">
        <w:t xml:space="preserve">This paper builds on the proposals and discussions developed at the </w:t>
      </w:r>
      <w:r w:rsidR="00C060D3">
        <w:t>December</w:t>
      </w:r>
      <w:r w:rsidR="00C060D3" w:rsidRPr="003107D0">
        <w:t xml:space="preserve"> </w:t>
      </w:r>
      <w:r w:rsidRPr="003107D0">
        <w:t xml:space="preserve">2018 </w:t>
      </w:r>
      <w:proofErr w:type="spellStart"/>
      <w:r w:rsidR="007A4453">
        <w:rPr>
          <w:lang w:val="fr-CH"/>
        </w:rPr>
        <w:t>Sub-Committee’s</w:t>
      </w:r>
      <w:proofErr w:type="spellEnd"/>
      <w:r w:rsidRPr="003107D0">
        <w:t xml:space="preserve"> meetings in Geneva and proposes </w:t>
      </w:r>
      <w:r w:rsidR="00C060D3">
        <w:t xml:space="preserve">text </w:t>
      </w:r>
      <w:r w:rsidR="00C060D3" w:rsidRPr="007F6235">
        <w:t>amendment</w:t>
      </w:r>
      <w:r w:rsidR="00C060D3">
        <w:t>s</w:t>
      </w:r>
      <w:r w:rsidR="00C060D3" w:rsidRPr="007F6235">
        <w:t xml:space="preserve"> to Chapter 2.1 </w:t>
      </w:r>
      <w:r w:rsidR="00C060D3">
        <w:t>Sub-Chapters 2.1.1 and 2.1.2 for discussion</w:t>
      </w:r>
      <w:r w:rsidR="007D449A">
        <w:t xml:space="preserve"> (see the Annex). These are</w:t>
      </w:r>
      <w:r w:rsidR="00C060D3">
        <w:t xml:space="preserve"> </w:t>
      </w:r>
      <w:r w:rsidRPr="003107D0">
        <w:t>intended to supplement </w:t>
      </w:r>
      <w:r w:rsidR="007D449A">
        <w:t>the formal paper of Sweden (</w:t>
      </w:r>
      <w:r w:rsidR="001054A3" w:rsidRPr="001054A3">
        <w:t>ST/SG/AC.10/C.4/2019/5 - ST/SG/AC.10/C.3/2019/32</w:t>
      </w:r>
      <w:r w:rsidR="007D449A">
        <w:t>)</w:t>
      </w:r>
      <w:r w:rsidRPr="003107D0">
        <w:t>.</w:t>
      </w:r>
      <w:r w:rsidR="002A76D3">
        <w:t xml:space="preserve"> </w:t>
      </w:r>
    </w:p>
    <w:p w:rsidR="006B4518" w:rsidRDefault="002A76D3" w:rsidP="002A76D3">
      <w:pPr>
        <w:pStyle w:val="HChG"/>
        <w:rPr>
          <w:sz w:val="22"/>
        </w:rPr>
      </w:pPr>
      <w:r>
        <w:tab/>
      </w:r>
      <w:r>
        <w:tab/>
      </w:r>
      <w:r w:rsidR="006B4518">
        <w:t xml:space="preserve">Classification </w:t>
      </w:r>
      <w:r w:rsidR="00B569BE">
        <w:rPr>
          <w:lang w:val="fr-CH"/>
        </w:rPr>
        <w:t>a</w:t>
      </w:r>
      <w:proofErr w:type="spellStart"/>
      <w:r w:rsidR="006B4518">
        <w:t>pproach</w:t>
      </w:r>
      <w:proofErr w:type="spellEnd"/>
      <w:r w:rsidR="00450E4B">
        <w:t xml:space="preserve"> and </w:t>
      </w:r>
      <w:r w:rsidR="00B569BE">
        <w:rPr>
          <w:lang w:val="fr-CH"/>
        </w:rPr>
        <w:t>h</w:t>
      </w:r>
      <w:proofErr w:type="spellStart"/>
      <w:r w:rsidR="00450E4B">
        <w:t>ighlights</w:t>
      </w:r>
      <w:proofErr w:type="spellEnd"/>
    </w:p>
    <w:p w:rsidR="00636BD7" w:rsidRDefault="0070691D" w:rsidP="0070691D">
      <w:pPr>
        <w:pStyle w:val="SingleTxtG"/>
        <w:numPr>
          <w:ilvl w:val="0"/>
          <w:numId w:val="18"/>
        </w:numPr>
        <w:ind w:left="1134" w:firstLine="0"/>
      </w:pPr>
      <w:r w:rsidRPr="0070691D">
        <w:t>The intrinsic property of an explosive substance or mixture is the potential to create a blast effect. Explosives are unique in that while entry into the class is based on this intrinsic property, further assignment to a division, category or sub-category is based on the configuration.</w:t>
      </w:r>
      <w:r w:rsidR="00A642FE">
        <w:t xml:space="preserve"> </w:t>
      </w:r>
      <w:r w:rsidR="00AB6D87">
        <w:t>A definition has been added to describe “configured for transport”.</w:t>
      </w:r>
      <w:r w:rsidR="007A4453">
        <w:t xml:space="preserve"> Note that:</w:t>
      </w:r>
    </w:p>
    <w:p w:rsidR="0070691D" w:rsidRPr="00C829D0" w:rsidRDefault="00C829D0" w:rsidP="00C829D0">
      <w:pPr>
        <w:pStyle w:val="SingleTxtG"/>
        <w:ind w:left="1701"/>
      </w:pPr>
      <w:r>
        <w:tab/>
      </w:r>
      <w:r>
        <w:rPr>
          <w:lang w:val="fr-CH"/>
        </w:rPr>
        <w:t>(a)</w:t>
      </w:r>
      <w:r>
        <w:tab/>
      </w:r>
      <w:r w:rsidR="00A642FE" w:rsidRPr="00C829D0">
        <w:t>Controls for the effectiveness of the configuration reside in the Model Regulations, which are referenced as appropriate.</w:t>
      </w:r>
    </w:p>
    <w:p w:rsidR="00636BD7" w:rsidRPr="00C829D0" w:rsidRDefault="00C829D0" w:rsidP="00C829D0">
      <w:pPr>
        <w:pStyle w:val="SingleTxtG"/>
        <w:ind w:left="1701"/>
      </w:pPr>
      <w:r>
        <w:tab/>
      </w:r>
      <w:r>
        <w:rPr>
          <w:lang w:val="fr-CH"/>
        </w:rPr>
        <w:t>(b)</w:t>
      </w:r>
      <w:r>
        <w:tab/>
      </w:r>
      <w:r w:rsidR="00636BD7" w:rsidRPr="00C829D0">
        <w:t xml:space="preserve">Legitimate supply practices using partial packaging are </w:t>
      </w:r>
      <w:r w:rsidR="00AB6D87" w:rsidRPr="00C829D0">
        <w:t>defined as</w:t>
      </w:r>
      <w:r w:rsidR="00636BD7" w:rsidRPr="00C829D0">
        <w:t xml:space="preserve"> “staging”. Addressing </w:t>
      </w:r>
      <w:r w:rsidR="00720E23" w:rsidRPr="00C829D0">
        <w:t xml:space="preserve">potential </w:t>
      </w:r>
      <w:r w:rsidR="00636BD7" w:rsidRPr="00C829D0">
        <w:t xml:space="preserve">hazards </w:t>
      </w:r>
      <w:r w:rsidR="00720E23" w:rsidRPr="00C829D0">
        <w:t>during</w:t>
      </w:r>
      <w:r w:rsidR="00636BD7" w:rsidRPr="00C829D0">
        <w:t xml:space="preserve"> staging was a motivating factor for this work.</w:t>
      </w:r>
    </w:p>
    <w:p w:rsidR="00950B2C" w:rsidRDefault="00950B2C" w:rsidP="0070691D">
      <w:pPr>
        <w:pStyle w:val="SingleTxtG"/>
        <w:numPr>
          <w:ilvl w:val="0"/>
          <w:numId w:val="18"/>
        </w:numPr>
        <w:ind w:left="1134" w:firstLine="0"/>
      </w:pPr>
      <w:r>
        <w:t xml:space="preserve">Exclusions from the class of explosives have been </w:t>
      </w:r>
      <w:r w:rsidR="00720E23">
        <w:t>collected</w:t>
      </w:r>
      <w:r>
        <w:t xml:space="preserve"> in a new section:</w:t>
      </w:r>
    </w:p>
    <w:p w:rsidR="00950B2C" w:rsidRPr="00C829D0" w:rsidRDefault="00C829D0" w:rsidP="00C829D0">
      <w:pPr>
        <w:pStyle w:val="SingleTxtG"/>
        <w:ind w:left="1701"/>
      </w:pPr>
      <w:r>
        <w:tab/>
      </w:r>
      <w:r>
        <w:rPr>
          <w:lang w:val="fr-CH"/>
        </w:rPr>
        <w:t>(a)</w:t>
      </w:r>
      <w:r>
        <w:tab/>
      </w:r>
      <w:r w:rsidR="00950B2C" w:rsidRPr="00C829D0">
        <w:t xml:space="preserve">the scope of the class is maintained as is, and current </w:t>
      </w:r>
      <w:r w:rsidR="008C7A05" w:rsidRPr="00C829D0">
        <w:t xml:space="preserve">exclusions </w:t>
      </w:r>
      <w:r w:rsidR="00950B2C" w:rsidRPr="00C829D0">
        <w:t>from the class are stated</w:t>
      </w:r>
      <w:r w:rsidR="007A4453" w:rsidRPr="00C829D0">
        <w:t xml:space="preserve"> for ammonium nitrate emulsions, suspensions or gels </w:t>
      </w:r>
      <w:r w:rsidR="00950B2C" w:rsidRPr="00C829D0">
        <w:t>(ANEs)</w:t>
      </w:r>
      <w:r w:rsidR="008C7A05" w:rsidRPr="00C829D0">
        <w:t>,</w:t>
      </w:r>
      <w:r w:rsidR="00AC5A0C" w:rsidRPr="00C829D0">
        <w:t xml:space="preserve"> </w:t>
      </w:r>
      <w:r w:rsidR="007D5EA2" w:rsidRPr="00C829D0">
        <w:t xml:space="preserve">and </w:t>
      </w:r>
      <w:r w:rsidR="00950B2C" w:rsidRPr="00C829D0">
        <w:t xml:space="preserve">substances currently excluded by screening. </w:t>
      </w:r>
    </w:p>
    <w:p w:rsidR="007D5EA2" w:rsidRPr="00C829D0" w:rsidRDefault="00C829D0" w:rsidP="00C829D0">
      <w:pPr>
        <w:pStyle w:val="SingleTxtG"/>
        <w:ind w:left="1701"/>
      </w:pPr>
      <w:r>
        <w:tab/>
      </w:r>
      <w:r>
        <w:rPr>
          <w:lang w:val="fr-CH"/>
        </w:rPr>
        <w:t>(b)</w:t>
      </w:r>
      <w:r>
        <w:tab/>
      </w:r>
      <w:r w:rsidR="00950B2C" w:rsidRPr="00C829D0">
        <w:t xml:space="preserve">To </w:t>
      </w:r>
      <w:r w:rsidR="007D5EA2" w:rsidRPr="00C829D0">
        <w:t xml:space="preserve">stay within the current scope and </w:t>
      </w:r>
      <w:r w:rsidR="00950B2C" w:rsidRPr="00C829D0">
        <w:t xml:space="preserve">maintain alignment within the UN systems for GHS and TDG, substances, mixtures and articles with explosives properties which leave Class 1 based on the configuration will also leave the class of explosives. </w:t>
      </w:r>
      <w:r w:rsidR="007D5EA2" w:rsidRPr="00C829D0">
        <w:t xml:space="preserve">We </w:t>
      </w:r>
      <w:r w:rsidR="007A4453" w:rsidRPr="00C829D0">
        <w:t>are considering</w:t>
      </w:r>
      <w:r w:rsidR="007D5EA2" w:rsidRPr="00C829D0">
        <w:t xml:space="preserve"> hazard communication </w:t>
      </w:r>
      <w:r w:rsidR="007A4453" w:rsidRPr="00C829D0">
        <w:t>in the safety data sheet</w:t>
      </w:r>
      <w:r w:rsidR="00841557" w:rsidRPr="00C829D0">
        <w:t xml:space="preserve"> </w:t>
      </w:r>
      <w:r w:rsidR="007D5EA2" w:rsidRPr="00C829D0">
        <w:t xml:space="preserve">to </w:t>
      </w:r>
      <w:r w:rsidR="007A4453" w:rsidRPr="00C829D0">
        <w:t>capture</w:t>
      </w:r>
      <w:r w:rsidR="007D5EA2" w:rsidRPr="00C829D0">
        <w:t xml:space="preserve"> this </w:t>
      </w:r>
      <w:r w:rsidR="007A4453" w:rsidRPr="00C829D0">
        <w:t>information</w:t>
      </w:r>
      <w:r w:rsidR="007D5EA2" w:rsidRPr="00C829D0">
        <w:t>.</w:t>
      </w:r>
      <w:r w:rsidR="00841557" w:rsidRPr="00C829D0">
        <w:t xml:space="preserve"> </w:t>
      </w:r>
      <w:r w:rsidR="006C0B23" w:rsidRPr="00C829D0">
        <w:t>For exclusions based on</w:t>
      </w:r>
      <w:r w:rsidR="00BA23A4" w:rsidRPr="00C829D0">
        <w:t xml:space="preserve"> testing of packages</w:t>
      </w:r>
      <w:r w:rsidR="004106D6" w:rsidRPr="00C829D0">
        <w:t>, e</w:t>
      </w:r>
      <w:r w:rsidR="007D5EA2" w:rsidRPr="00C829D0">
        <w:t>xit from the class should occur at the point of packaging, not before.</w:t>
      </w:r>
    </w:p>
    <w:p w:rsidR="00450E4B" w:rsidRPr="0070691D" w:rsidRDefault="006C0B23" w:rsidP="00450E4B">
      <w:pPr>
        <w:pStyle w:val="SingleTxtG"/>
        <w:numPr>
          <w:ilvl w:val="0"/>
          <w:numId w:val="18"/>
        </w:numPr>
        <w:ind w:left="1134" w:firstLine="0"/>
      </w:pPr>
      <w:r>
        <w:t xml:space="preserve">The scope of </w:t>
      </w:r>
      <w:r w:rsidR="0070691D" w:rsidRPr="0070691D">
        <w:t xml:space="preserve">Category 1 </w:t>
      </w:r>
      <w:r>
        <w:t>includes</w:t>
      </w:r>
      <w:r w:rsidRPr="0070691D">
        <w:t xml:space="preserve"> </w:t>
      </w:r>
      <w:r w:rsidR="0070691D" w:rsidRPr="0070691D">
        <w:t xml:space="preserve">explosives that have not yet been configured </w:t>
      </w:r>
      <w:r w:rsidRPr="0070691D">
        <w:t xml:space="preserve">and classified </w:t>
      </w:r>
      <w:r w:rsidR="0070691D" w:rsidRPr="0070691D">
        <w:t xml:space="preserve">for </w:t>
      </w:r>
      <w:r>
        <w:t>Category 2</w:t>
      </w:r>
      <w:r w:rsidR="0070691D" w:rsidRPr="0070691D">
        <w:t xml:space="preserve">. </w:t>
      </w:r>
      <w:r w:rsidR="00450E4B" w:rsidRPr="0070691D">
        <w:t xml:space="preserve">Non-intrinsic key parameters such as configuration, confinement, initiation stimuli, composition and particle size contribute to the potential hazard severity </w:t>
      </w:r>
      <w:r w:rsidR="00D50BE1">
        <w:t xml:space="preserve">and probability </w:t>
      </w:r>
      <w:r w:rsidR="00450E4B" w:rsidRPr="0070691D">
        <w:t xml:space="preserve">of an </w:t>
      </w:r>
      <w:r w:rsidR="00D50BE1">
        <w:t xml:space="preserve">unplanned </w:t>
      </w:r>
      <w:r w:rsidR="00450E4B" w:rsidRPr="0070691D">
        <w:t>explosive</w:t>
      </w:r>
      <w:r w:rsidR="00D50BE1">
        <w:t xml:space="preserve"> event</w:t>
      </w:r>
      <w:r w:rsidR="00450E4B" w:rsidRPr="0070691D">
        <w:t xml:space="preserve">. The hazard severity </w:t>
      </w:r>
      <w:r w:rsidR="002B1737">
        <w:t xml:space="preserve">and probability </w:t>
      </w:r>
      <w:r w:rsidR="00450E4B" w:rsidRPr="0070691D">
        <w:t>may vary dynamically with changing parameters in operations such as p</w:t>
      </w:r>
      <w:r w:rsidR="003D12C4">
        <w:t>rocessing or assembly until the explosives</w:t>
      </w:r>
      <w:r w:rsidR="00124421">
        <w:t xml:space="preserve"> are configured for transport:</w:t>
      </w:r>
      <w:r w:rsidR="00450E4B" w:rsidRPr="0070691D">
        <w:t xml:space="preserve">  </w:t>
      </w:r>
    </w:p>
    <w:p w:rsidR="0070691D" w:rsidRPr="00C829D0" w:rsidRDefault="00C829D0" w:rsidP="00C829D0">
      <w:pPr>
        <w:pStyle w:val="SingleTxtG"/>
        <w:ind w:left="1701"/>
      </w:pPr>
      <w:r>
        <w:tab/>
      </w:r>
      <w:r>
        <w:rPr>
          <w:lang w:val="fr-CH"/>
        </w:rPr>
        <w:t>(a)</w:t>
      </w:r>
      <w:r>
        <w:tab/>
      </w:r>
      <w:r w:rsidR="00584357" w:rsidRPr="00C829D0">
        <w:t>Category 1</w:t>
      </w:r>
      <w:r w:rsidR="0070691D" w:rsidRPr="00C829D0">
        <w:t xml:space="preserve"> explosives necessitate the application of hazards analysis and risk management </w:t>
      </w:r>
      <w:r w:rsidR="00036B2F" w:rsidRPr="00C829D0">
        <w:t xml:space="preserve">specific to an operation, which </w:t>
      </w:r>
      <w:r w:rsidR="00584357" w:rsidRPr="00C829D0">
        <w:t>are</w:t>
      </w:r>
      <w:r w:rsidR="00036B2F" w:rsidRPr="00C829D0">
        <w:t xml:space="preserve"> </w:t>
      </w:r>
      <w:r w:rsidR="0070691D" w:rsidRPr="00C829D0">
        <w:t xml:space="preserve">outside the scope of the GHS. </w:t>
      </w:r>
      <w:r w:rsidR="00584357" w:rsidRPr="00C829D0">
        <w:t>Hazard communication in the workplace is within the scope of GHS, and in this case will</w:t>
      </w:r>
      <w:r w:rsidR="00036B2F" w:rsidRPr="00C829D0">
        <w:t xml:space="preserve"> </w:t>
      </w:r>
      <w:r w:rsidR="0070691D" w:rsidRPr="00C829D0">
        <w:t xml:space="preserve">alert </w:t>
      </w:r>
      <w:r w:rsidR="00584357" w:rsidRPr="00C829D0">
        <w:t>workers</w:t>
      </w:r>
      <w:r w:rsidR="00036B2F" w:rsidRPr="00C829D0">
        <w:t xml:space="preserve"> to the explosive hazard and the need for</w:t>
      </w:r>
      <w:r w:rsidR="0070691D" w:rsidRPr="00C829D0">
        <w:t xml:space="preserve"> </w:t>
      </w:r>
      <w:r w:rsidR="00450E4B" w:rsidRPr="00C829D0">
        <w:t>speci</w:t>
      </w:r>
      <w:r w:rsidR="00036B2F" w:rsidRPr="00C829D0">
        <w:t>al precautions. The intrin</w:t>
      </w:r>
      <w:r w:rsidR="00584357" w:rsidRPr="00C829D0">
        <w:t>s</w:t>
      </w:r>
      <w:r w:rsidR="00036B2F" w:rsidRPr="00C829D0">
        <w:t>ic hazard of potential explosivity should be communicated, but</w:t>
      </w:r>
      <w:r w:rsidR="00450E4B" w:rsidRPr="00C829D0">
        <w:t xml:space="preserve"> not a specific level of hazard, as the hazard </w:t>
      </w:r>
      <w:r w:rsidR="00036B2F" w:rsidRPr="00C829D0">
        <w:t xml:space="preserve">and probability of accidental functioning </w:t>
      </w:r>
      <w:r w:rsidR="00950B2C" w:rsidRPr="00C829D0">
        <w:t>are</w:t>
      </w:r>
      <w:r w:rsidR="00450E4B" w:rsidRPr="00C829D0">
        <w:t xml:space="preserve"> variable depending on circumstances exterior to the explosive</w:t>
      </w:r>
      <w:r w:rsidR="0070691D" w:rsidRPr="00C829D0">
        <w:t xml:space="preserve">. </w:t>
      </w:r>
    </w:p>
    <w:p w:rsidR="007555BF" w:rsidRPr="00C829D0" w:rsidRDefault="00C829D0" w:rsidP="00C829D0">
      <w:pPr>
        <w:pStyle w:val="SingleTxtG"/>
        <w:ind w:left="1701"/>
      </w:pPr>
      <w:r>
        <w:tab/>
      </w:r>
      <w:r>
        <w:rPr>
          <w:lang w:val="fr-CH"/>
        </w:rPr>
        <w:t>(b)</w:t>
      </w:r>
      <w:r>
        <w:tab/>
      </w:r>
      <w:r w:rsidR="007D5EA2" w:rsidRPr="00C829D0">
        <w:t>“Unstable explosives” is an inaccurate term</w:t>
      </w:r>
      <w:r w:rsidR="008B079F" w:rsidRPr="00C829D0">
        <w:t>, as previously determined by the Explosives Working Group,</w:t>
      </w:r>
      <w:r w:rsidR="007D5EA2" w:rsidRPr="00C829D0">
        <w:t xml:space="preserve"> </w:t>
      </w:r>
      <w:r w:rsidR="008B079F" w:rsidRPr="00C829D0">
        <w:t>which will</w:t>
      </w:r>
      <w:r w:rsidR="007D5EA2" w:rsidRPr="00C829D0">
        <w:t xml:space="preserve"> be replaced </w:t>
      </w:r>
      <w:r w:rsidR="008B079F" w:rsidRPr="00C829D0">
        <w:t>by</w:t>
      </w:r>
      <w:r w:rsidR="007D5EA2" w:rsidRPr="00C829D0">
        <w:t xml:space="preserve"> the proposed </w:t>
      </w:r>
      <w:r w:rsidR="008B079F" w:rsidRPr="00C829D0">
        <w:t>“</w:t>
      </w:r>
      <w:r w:rsidR="007D5EA2" w:rsidRPr="00C829D0">
        <w:t>Category 1</w:t>
      </w:r>
      <w:r w:rsidR="008B079F" w:rsidRPr="00C829D0">
        <w:t>”</w:t>
      </w:r>
      <w:r w:rsidR="007D5EA2" w:rsidRPr="00C829D0">
        <w:t xml:space="preserve">. Currently the GHS differentiates unstable explosives as either 1) those </w:t>
      </w:r>
      <w:r w:rsidR="004A7AD5" w:rsidRPr="00C829D0">
        <w:t xml:space="preserve">for </w:t>
      </w:r>
      <w:r w:rsidR="007D5EA2" w:rsidRPr="00C829D0">
        <w:t xml:space="preserve">which </w:t>
      </w:r>
      <w:r w:rsidR="008B079F" w:rsidRPr="00C829D0">
        <w:t>classification for transport has not been attempted,</w:t>
      </w:r>
      <w:r w:rsidR="007D5EA2" w:rsidRPr="00C829D0">
        <w:t xml:space="preserve"> or 2) those failing Test Series 3 or </w:t>
      </w:r>
      <w:r w:rsidR="007D5EA2" w:rsidRPr="00C829D0">
        <w:lastRenderedPageBreak/>
        <w:t>4</w:t>
      </w:r>
      <w:r w:rsidR="008B079F" w:rsidRPr="00C829D0">
        <w:t xml:space="preserve"> in the attempt for a transport classification or in the opinion that these tests are required </w:t>
      </w:r>
      <w:r w:rsidR="004A7AD5" w:rsidRPr="00C829D0">
        <w:t>for</w:t>
      </w:r>
      <w:r w:rsidR="008B079F" w:rsidRPr="00C829D0">
        <w:t xml:space="preserve"> the workplace</w:t>
      </w:r>
      <w:r w:rsidR="007D5EA2" w:rsidRPr="00C829D0">
        <w:t>.</w:t>
      </w:r>
      <w:r w:rsidR="00C36725" w:rsidRPr="00C829D0">
        <w:t xml:space="preserve"> </w:t>
      </w:r>
    </w:p>
    <w:p w:rsidR="00B35584" w:rsidRDefault="00B8478E" w:rsidP="00C829D0">
      <w:pPr>
        <w:pStyle w:val="SingleTxtG"/>
        <w:numPr>
          <w:ilvl w:val="0"/>
          <w:numId w:val="18"/>
        </w:numPr>
        <w:ind w:left="1134" w:firstLine="0"/>
      </w:pPr>
      <w:r>
        <w:t xml:space="preserve">There may be a gap </w:t>
      </w:r>
      <w:r w:rsidR="00124421">
        <w:t>in</w:t>
      </w:r>
      <w:r>
        <w:t xml:space="preserve"> workplace </w:t>
      </w:r>
      <w:r w:rsidR="00124421">
        <w:t>hazard communication</w:t>
      </w:r>
      <w:r>
        <w:t>, as t</w:t>
      </w:r>
      <w:r w:rsidR="00C36725">
        <w:t xml:space="preserve">he current GHS </w:t>
      </w:r>
      <w:r w:rsidR="00720E23">
        <w:t>does not</w:t>
      </w:r>
      <w:r w:rsidR="00C36725">
        <w:t xml:space="preserve"> recognize Test Series 1 </w:t>
      </w:r>
      <w:r w:rsidR="00C87231">
        <w:t>results</w:t>
      </w:r>
      <w:r w:rsidR="00C36725">
        <w:t xml:space="preserve"> determining the presence of explosive properties </w:t>
      </w:r>
      <w:r w:rsidR="007555BF">
        <w:t>for</w:t>
      </w:r>
      <w:r w:rsidR="00C36725">
        <w:t xml:space="preserve"> unintentional explosives</w:t>
      </w:r>
      <w:r w:rsidR="00967E24">
        <w:t xml:space="preserve"> (see Figure 2.1.2, Test Series 1 box, “</w:t>
      </w:r>
      <w:r w:rsidR="00967E24" w:rsidRPr="00967E24">
        <w:t>* For classification purposes start with test series 2.</w:t>
      </w:r>
      <w:r w:rsidR="00967E24">
        <w:t>”)</w:t>
      </w:r>
      <w:r w:rsidR="00C36725">
        <w:t>. The Manual of Test</w:t>
      </w:r>
      <w:r w:rsidR="001B0A9E">
        <w:t>s &amp;</w:t>
      </w:r>
      <w:r w:rsidR="00C36725">
        <w:t xml:space="preserve"> Criteria </w:t>
      </w:r>
      <w:r w:rsidR="001B0A9E">
        <w:t xml:space="preserve">(the Manual) </w:t>
      </w:r>
      <w:r w:rsidR="00C36725">
        <w:t xml:space="preserve">was originally written for transport and the </w:t>
      </w:r>
      <w:r w:rsidR="008B079F">
        <w:t>need</w:t>
      </w:r>
      <w:r w:rsidR="00C36725">
        <w:t xml:space="preserve"> </w:t>
      </w:r>
      <w:r w:rsidR="00901178">
        <w:t xml:space="preserve">for </w:t>
      </w:r>
      <w:r w:rsidR="00C36725">
        <w:t>Test Series 1 in the workplace was not explained</w:t>
      </w:r>
      <w:r w:rsidR="008B079F">
        <w:t>. Test Series</w:t>
      </w:r>
      <w:r w:rsidR="00B569BE">
        <w:rPr>
          <w:lang w:val="fr-CH"/>
        </w:rPr>
        <w:t> </w:t>
      </w:r>
      <w:r w:rsidR="008B079F">
        <w:t>2 was noted as being all that was needed</w:t>
      </w:r>
      <w:r w:rsidR="001B0A9E">
        <w:t xml:space="preserve"> for classification in transport </w:t>
      </w:r>
      <w:r w:rsidR="008B079F">
        <w:t xml:space="preserve">(see 10.3.3.3 of </w:t>
      </w:r>
      <w:r w:rsidR="008B079F" w:rsidRPr="002B1737">
        <w:t>the Manual, 6th Revised Edition).</w:t>
      </w:r>
    </w:p>
    <w:p w:rsidR="00C62186" w:rsidRPr="00C829D0" w:rsidRDefault="00C829D0" w:rsidP="00C829D0">
      <w:pPr>
        <w:pStyle w:val="SingleTxtG"/>
        <w:ind w:left="1701"/>
      </w:pPr>
      <w:r>
        <w:tab/>
      </w:r>
      <w:r>
        <w:rPr>
          <w:lang w:val="fr-CH"/>
        </w:rPr>
        <w:t>(a)</w:t>
      </w:r>
      <w:r>
        <w:tab/>
      </w:r>
      <w:r w:rsidR="00C62186" w:rsidRPr="00C829D0">
        <w:t xml:space="preserve">In the Manual, failure of Test Series 1 </w:t>
      </w:r>
      <w:r w:rsidR="00124421" w:rsidRPr="00C829D0">
        <w:t>determines that the substance or</w:t>
      </w:r>
      <w:r w:rsidR="00C62186" w:rsidRPr="00C829D0">
        <w:t xml:space="preserve"> mixture </w:t>
      </w:r>
      <w:r w:rsidR="002B1737" w:rsidRPr="00C829D0">
        <w:t>has explosive properties</w:t>
      </w:r>
      <w:r w:rsidR="00C62186" w:rsidRPr="00C829D0">
        <w:t>.</w:t>
      </w:r>
      <w:r w:rsidR="007D52C2" w:rsidRPr="00C829D0">
        <w:t xml:space="preserve"> Test Series 2 determines that it is too insensitive, </w:t>
      </w:r>
      <w:r w:rsidR="002B1737" w:rsidRPr="00C829D0">
        <w:t xml:space="preserve">rather than </w:t>
      </w:r>
      <w:r w:rsidR="007D52C2" w:rsidRPr="00C829D0">
        <w:t>too low of a hazard, to be classed as an explosive for transport.</w:t>
      </w:r>
    </w:p>
    <w:p w:rsidR="008B079F" w:rsidRPr="00C829D0" w:rsidRDefault="00C829D0" w:rsidP="00C829D0">
      <w:pPr>
        <w:pStyle w:val="SingleTxtG"/>
        <w:ind w:left="1701"/>
      </w:pPr>
      <w:r>
        <w:tab/>
      </w:r>
      <w:r>
        <w:rPr>
          <w:lang w:val="fr-CH"/>
        </w:rPr>
        <w:t>(b)</w:t>
      </w:r>
      <w:r>
        <w:tab/>
      </w:r>
      <w:r w:rsidR="008B079F" w:rsidRPr="00C829D0">
        <w:t xml:space="preserve">Unintentional explosives </w:t>
      </w:r>
      <w:r w:rsidR="007D52C2" w:rsidRPr="00C829D0">
        <w:t>have</w:t>
      </w:r>
      <w:r w:rsidR="008B079F" w:rsidRPr="00C829D0">
        <w:t xml:space="preserve"> cause</w:t>
      </w:r>
      <w:r w:rsidR="007D52C2" w:rsidRPr="00C829D0">
        <w:t>d</w:t>
      </w:r>
      <w:r w:rsidR="008B079F" w:rsidRPr="00C829D0">
        <w:t xml:space="preserve"> significant accidents </w:t>
      </w:r>
      <w:r w:rsidR="00C55288" w:rsidRPr="00C829D0">
        <w:t>severely impact</w:t>
      </w:r>
      <w:r w:rsidR="007D52C2" w:rsidRPr="00C829D0">
        <w:t>ing the</w:t>
      </w:r>
      <w:r w:rsidR="008B079F" w:rsidRPr="00C829D0">
        <w:t xml:space="preserve"> </w:t>
      </w:r>
      <w:r w:rsidR="00124421" w:rsidRPr="00C829D0">
        <w:t xml:space="preserve">workplace and the </w:t>
      </w:r>
      <w:r w:rsidR="008B079F" w:rsidRPr="00C829D0">
        <w:t>surrounding community.</w:t>
      </w:r>
    </w:p>
    <w:p w:rsidR="00841557" w:rsidRDefault="008B079F" w:rsidP="00C829D0">
      <w:pPr>
        <w:pStyle w:val="SingleTxtG"/>
      </w:pPr>
      <w:r>
        <w:t xml:space="preserve">Therefore, we propose </w:t>
      </w:r>
      <w:r w:rsidR="007D52C2">
        <w:t xml:space="preserve">to clarify </w:t>
      </w:r>
      <w:r>
        <w:t xml:space="preserve">that Test Series 1 </w:t>
      </w:r>
      <w:r w:rsidR="007D52C2">
        <w:t>is</w:t>
      </w:r>
      <w:r>
        <w:t xml:space="preserve"> the threshold for explosives in Category 1, </w:t>
      </w:r>
      <w:r w:rsidRPr="00C829D0">
        <w:t>and</w:t>
      </w:r>
      <w:r>
        <w:t xml:space="preserve"> Test Series 2 </w:t>
      </w:r>
      <w:r w:rsidR="008109D5">
        <w:t xml:space="preserve">is </w:t>
      </w:r>
      <w:r>
        <w:t>the threshold for Category 2.</w:t>
      </w:r>
      <w:r w:rsidR="002A17CD">
        <w:t xml:space="preserve"> This fills a gap in the workplace</w:t>
      </w:r>
      <w:r w:rsidR="006C07B6">
        <w:t xml:space="preserve">, and </w:t>
      </w:r>
      <w:r w:rsidR="006A5EF6">
        <w:t>does not impact transport</w:t>
      </w:r>
      <w:r w:rsidR="002A17CD">
        <w:t>.</w:t>
      </w:r>
      <w:r>
        <w:t xml:space="preserve"> </w:t>
      </w:r>
      <w:r w:rsidR="008C3E84">
        <w:t>The</w:t>
      </w:r>
      <w:r w:rsidR="009615D9">
        <w:t xml:space="preserve"> concept of </w:t>
      </w:r>
      <w:r w:rsidR="002A17CD">
        <w:t xml:space="preserve">a de minimis </w:t>
      </w:r>
      <w:r w:rsidR="00B31A1B">
        <w:t xml:space="preserve">exemption </w:t>
      </w:r>
      <w:r w:rsidR="009615D9">
        <w:t xml:space="preserve">from Category 1 </w:t>
      </w:r>
      <w:r w:rsidR="002A17CD">
        <w:t>is provided to prevent unintended consequences, which may be useful in solving some challenges already discussed</w:t>
      </w:r>
      <w:r w:rsidR="007555BF">
        <w:t>, for example in research and development</w:t>
      </w:r>
      <w:r w:rsidR="002A17CD">
        <w:t>.</w:t>
      </w:r>
      <w:r w:rsidR="00841557">
        <w:t xml:space="preserve"> The </w:t>
      </w:r>
      <w:r w:rsidR="00B31A1B">
        <w:t xml:space="preserve">exemption </w:t>
      </w:r>
      <w:r w:rsidR="00841557">
        <w:t>would apply to packages prior to configuration for transport, and for un</w:t>
      </w:r>
      <w:r w:rsidR="0083773B">
        <w:t>packaged quantit</w:t>
      </w:r>
      <w:r w:rsidR="008109D5">
        <w:t>ies</w:t>
      </w:r>
      <w:r w:rsidR="0083773B">
        <w:t>.</w:t>
      </w:r>
    </w:p>
    <w:p w:rsidR="00171A6A" w:rsidRDefault="00171A6A" w:rsidP="00C829D0">
      <w:pPr>
        <w:pStyle w:val="SingleTxtG"/>
        <w:numPr>
          <w:ilvl w:val="0"/>
          <w:numId w:val="18"/>
        </w:numPr>
        <w:ind w:left="1134" w:firstLine="0"/>
      </w:pPr>
      <w:r>
        <w:t xml:space="preserve">The example in the Manual of the classification of musk xylene </w:t>
      </w:r>
      <w:r w:rsidR="009F6CB7">
        <w:t xml:space="preserve">(an additive in perfume) </w:t>
      </w:r>
      <w:r>
        <w:t>provides interesting information</w:t>
      </w:r>
      <w:r w:rsidR="009F6CB7">
        <w:t xml:space="preserve"> relative to classificat</w:t>
      </w:r>
      <w:r w:rsidR="006135B2">
        <w:t>i</w:t>
      </w:r>
      <w:r w:rsidR="009F6CB7">
        <w:t>on logic for unintentional explosives</w:t>
      </w:r>
      <w:r>
        <w:t xml:space="preserve">. </w:t>
      </w:r>
      <w:r w:rsidR="00433D8F">
        <w:t xml:space="preserve">The value of the example may be extended by viewing the treatment of this chemical in the Model </w:t>
      </w:r>
      <w:r w:rsidR="00433D8F" w:rsidRPr="00C829D0">
        <w:t>Regulations</w:t>
      </w:r>
      <w:r w:rsidR="00433D8F">
        <w:t>, and the special provisions that still note and control its explosive properties when not classified within Class 1</w:t>
      </w:r>
      <w:r w:rsidR="002B1737">
        <w:t>, i.e., labeling and segregation as an explosive and a package quantity limit</w:t>
      </w:r>
      <w:r w:rsidR="00433D8F">
        <w:t>.</w:t>
      </w:r>
    </w:p>
    <w:p w:rsidR="00636BD7" w:rsidRDefault="00636BD7" w:rsidP="00C829D0">
      <w:pPr>
        <w:pStyle w:val="SingleTxtG"/>
        <w:numPr>
          <w:ilvl w:val="0"/>
          <w:numId w:val="18"/>
        </w:numPr>
        <w:ind w:left="1134" w:firstLine="0"/>
      </w:pPr>
      <w:r>
        <w:t xml:space="preserve">Substances, mixtures or articles having explosive properties assigned to Category 2 </w:t>
      </w:r>
      <w:r w:rsidRPr="00C829D0">
        <w:t>revert</w:t>
      </w:r>
      <w:r>
        <w:t xml:space="preserve"> to Category 1 when they are:</w:t>
      </w:r>
    </w:p>
    <w:p w:rsidR="00636BD7" w:rsidRPr="00C829D0" w:rsidRDefault="00C829D0" w:rsidP="00C829D0">
      <w:pPr>
        <w:pStyle w:val="SingleTxtG"/>
        <w:ind w:left="1701"/>
      </w:pPr>
      <w:r>
        <w:tab/>
      </w:r>
      <w:r>
        <w:rPr>
          <w:lang w:val="fr-CH"/>
        </w:rPr>
        <w:t>(a)</w:t>
      </w:r>
      <w:r>
        <w:tab/>
      </w:r>
      <w:r w:rsidR="00636BD7" w:rsidRPr="00C829D0">
        <w:t>placed into remanufacturing or assembly, restarting the classif</w:t>
      </w:r>
      <w:r w:rsidR="00124421" w:rsidRPr="00C829D0">
        <w:t>i</w:t>
      </w:r>
      <w:r w:rsidR="00636BD7" w:rsidRPr="00C829D0">
        <w:t>cation cycle.</w:t>
      </w:r>
    </w:p>
    <w:p w:rsidR="00636BD7" w:rsidRPr="00C829D0" w:rsidRDefault="00C829D0" w:rsidP="00C829D0">
      <w:pPr>
        <w:pStyle w:val="SingleTxtG"/>
        <w:ind w:left="1701"/>
      </w:pPr>
      <w:r>
        <w:tab/>
      </w:r>
      <w:r>
        <w:rPr>
          <w:lang w:val="fr-CH"/>
        </w:rPr>
        <w:t>(b)</w:t>
      </w:r>
      <w:r>
        <w:tab/>
      </w:r>
      <w:r w:rsidR="00636BD7" w:rsidRPr="00C829D0">
        <w:t>removed from the primary packaging other than for immediate use.</w:t>
      </w:r>
      <w:r w:rsidR="00597217" w:rsidRPr="00C829D0">
        <w:t xml:space="preserve"> This is an incentive to avoid</w:t>
      </w:r>
      <w:r w:rsidR="00636BD7" w:rsidRPr="00C829D0">
        <w:t xml:space="preserve"> bad practice</w:t>
      </w:r>
      <w:r w:rsidR="00597217" w:rsidRPr="00C829D0">
        <w:t>, i.e.,</w:t>
      </w:r>
      <w:r w:rsidR="00636BD7" w:rsidRPr="00C829D0">
        <w:t xml:space="preserve"> unpackaging explosives without </w:t>
      </w:r>
      <w:r w:rsidR="008109D5" w:rsidRPr="00C829D0">
        <w:t>justification</w:t>
      </w:r>
      <w:r w:rsidR="00636BD7" w:rsidRPr="00C829D0">
        <w:t>.</w:t>
      </w:r>
    </w:p>
    <w:p w:rsidR="00114FB8" w:rsidRDefault="0070691D" w:rsidP="0070691D">
      <w:pPr>
        <w:pStyle w:val="SingleTxtG"/>
        <w:numPr>
          <w:ilvl w:val="0"/>
          <w:numId w:val="18"/>
        </w:numPr>
        <w:ind w:left="1134" w:firstLine="0"/>
      </w:pPr>
      <w:r w:rsidRPr="0070691D">
        <w:t xml:space="preserve">Category 2 is comprised of explosives which have been assigned a division, where packaging requirements make the key parameters static. </w:t>
      </w:r>
    </w:p>
    <w:p w:rsidR="0070691D" w:rsidRPr="00C829D0" w:rsidRDefault="00C829D0" w:rsidP="00C829D0">
      <w:pPr>
        <w:pStyle w:val="SingleTxtG"/>
        <w:ind w:left="1701"/>
      </w:pPr>
      <w:r>
        <w:tab/>
      </w:r>
      <w:r>
        <w:rPr>
          <w:lang w:val="fr-CH"/>
        </w:rPr>
        <w:t>(a)</w:t>
      </w:r>
      <w:r>
        <w:tab/>
      </w:r>
      <w:r w:rsidR="0070691D" w:rsidRPr="00C829D0">
        <w:t xml:space="preserve">The divisions are often used as the basis for regulation and licensing of </w:t>
      </w:r>
      <w:r w:rsidR="00594A9A" w:rsidRPr="00C829D0">
        <w:t xml:space="preserve">manufacturing, </w:t>
      </w:r>
      <w:r w:rsidR="0070691D" w:rsidRPr="00C829D0">
        <w:t xml:space="preserve">storage and supply, where additional requirements may take into account quantities, confinement and packaging modifications not present in transport. </w:t>
      </w:r>
    </w:p>
    <w:p w:rsidR="001E2FAA" w:rsidRPr="00C829D0" w:rsidRDefault="00C829D0" w:rsidP="00C829D0">
      <w:pPr>
        <w:pStyle w:val="SingleTxtG"/>
        <w:ind w:left="1701"/>
      </w:pPr>
      <w:r>
        <w:tab/>
      </w:r>
      <w:r>
        <w:rPr>
          <w:lang w:val="fr-CH"/>
        </w:rPr>
        <w:t>(b)</w:t>
      </w:r>
      <w:r>
        <w:tab/>
      </w:r>
      <w:r w:rsidR="001E2FAA" w:rsidRPr="00C829D0">
        <w:t xml:space="preserve">The </w:t>
      </w:r>
      <w:r w:rsidR="006135B2" w:rsidRPr="00C829D0">
        <w:t xml:space="preserve">structure and </w:t>
      </w:r>
      <w:r w:rsidR="001E2FAA" w:rsidRPr="00C829D0">
        <w:t xml:space="preserve">text of the divisions is proposed for modification as follows. </w:t>
      </w:r>
    </w:p>
    <w:p w:rsidR="001E2FAA" w:rsidRPr="00C829D0" w:rsidRDefault="00B569BE" w:rsidP="00C829D0">
      <w:pPr>
        <w:pStyle w:val="SingleTxtG"/>
        <w:ind w:left="2268"/>
      </w:pPr>
      <w:r>
        <w:rPr>
          <w:lang w:val="fr-CH"/>
        </w:rPr>
        <w:t>(</w:t>
      </w:r>
      <w:r w:rsidR="00C829D0">
        <w:rPr>
          <w:lang w:val="fr-CH"/>
        </w:rPr>
        <w:t>i</w:t>
      </w:r>
      <w:r>
        <w:rPr>
          <w:lang w:val="fr-CH"/>
        </w:rPr>
        <w:t>)</w:t>
      </w:r>
      <w:r w:rsidR="00C829D0">
        <w:tab/>
      </w:r>
      <w:r w:rsidR="006135B2" w:rsidRPr="00C829D0">
        <w:t xml:space="preserve">The divisions are </w:t>
      </w:r>
      <w:r w:rsidR="001E2FAA" w:rsidRPr="00C829D0">
        <w:t xml:space="preserve">discussed first, before the sub-categories, as this follows the order of the classification procedure. </w:t>
      </w:r>
    </w:p>
    <w:p w:rsidR="001E2FAA" w:rsidRPr="00C829D0" w:rsidRDefault="00B569BE" w:rsidP="00C829D0">
      <w:pPr>
        <w:pStyle w:val="SingleTxtG"/>
        <w:ind w:left="2268"/>
      </w:pPr>
      <w:r>
        <w:rPr>
          <w:lang w:val="fr-CH"/>
        </w:rPr>
        <w:t>(</w:t>
      </w:r>
      <w:r w:rsidR="00C829D0">
        <w:rPr>
          <w:lang w:val="fr-CH"/>
        </w:rPr>
        <w:t>ii</w:t>
      </w:r>
      <w:r>
        <w:rPr>
          <w:lang w:val="fr-CH"/>
        </w:rPr>
        <w:t>)</w:t>
      </w:r>
      <w:r w:rsidR="00C829D0">
        <w:tab/>
      </w:r>
      <w:r w:rsidR="001E2FAA" w:rsidRPr="00C829D0">
        <w:t xml:space="preserve">Text describing the divisions in the Model Regulations which describes effects of configurations was omitted </w:t>
      </w:r>
      <w:r w:rsidR="00461615" w:rsidRPr="00C829D0">
        <w:t xml:space="preserve">in </w:t>
      </w:r>
      <w:r w:rsidR="001E2FAA" w:rsidRPr="00C829D0">
        <w:t xml:space="preserve">the original </w:t>
      </w:r>
      <w:r w:rsidR="008109D5" w:rsidRPr="00C829D0">
        <w:t>transposition</w:t>
      </w:r>
      <w:r w:rsidR="001E2FAA" w:rsidRPr="00C829D0">
        <w:t xml:space="preserve"> of the TDG text to the GHS. We propose this be reconsidered and added to fill safety gaps. </w:t>
      </w:r>
    </w:p>
    <w:p w:rsidR="001E2FAA" w:rsidRPr="00C829D0" w:rsidRDefault="00B569BE" w:rsidP="00C829D0">
      <w:pPr>
        <w:pStyle w:val="SingleTxtG"/>
        <w:ind w:left="2268"/>
      </w:pPr>
      <w:r>
        <w:rPr>
          <w:lang w:val="fr-CH"/>
        </w:rPr>
        <w:t>(</w:t>
      </w:r>
      <w:r w:rsidR="00C829D0">
        <w:rPr>
          <w:lang w:val="fr-CH"/>
        </w:rPr>
        <w:t>iii</w:t>
      </w:r>
      <w:r>
        <w:rPr>
          <w:lang w:val="fr-CH"/>
        </w:rPr>
        <w:t>)</w:t>
      </w:r>
      <w:r w:rsidR="00C829D0">
        <w:tab/>
      </w:r>
      <w:r w:rsidR="001E2FAA" w:rsidRPr="00C829D0">
        <w:t>Division 1.4, Compatibility Group</w:t>
      </w:r>
      <w:r w:rsidR="007A407C" w:rsidRPr="00C829D0">
        <w:t xml:space="preserve"> S</w:t>
      </w:r>
      <w:r w:rsidR="001E2FAA" w:rsidRPr="00C829D0">
        <w:t xml:space="preserve"> is the foundation of Sub-Category 2C and we propose that it be added.</w:t>
      </w:r>
    </w:p>
    <w:p w:rsidR="00594A9A" w:rsidRPr="0070691D" w:rsidRDefault="00C829D0" w:rsidP="00C829D0">
      <w:pPr>
        <w:pStyle w:val="SingleTxtG"/>
        <w:ind w:left="1701"/>
      </w:pPr>
      <w:r>
        <w:tab/>
      </w:r>
      <w:r>
        <w:rPr>
          <w:lang w:val="fr-CH"/>
        </w:rPr>
        <w:t>(c)</w:t>
      </w:r>
      <w:r>
        <w:tab/>
      </w:r>
      <w:r w:rsidR="00636BD7" w:rsidRPr="0070691D">
        <w:t xml:space="preserve">When packaging that resulted in assignment to </w:t>
      </w:r>
      <w:r w:rsidR="007A407C">
        <w:t>a division is partially removed</w:t>
      </w:r>
      <w:r w:rsidR="00636BD7" w:rsidRPr="0070691D">
        <w:t xml:space="preserve"> it is </w:t>
      </w:r>
      <w:r w:rsidR="00636BD7" w:rsidRPr="00C829D0">
        <w:t>possible</w:t>
      </w:r>
      <w:r w:rsidR="00636BD7" w:rsidRPr="0070691D">
        <w:t xml:space="preserve"> for the explosive </w:t>
      </w:r>
      <w:r w:rsidR="008109D5">
        <w:t xml:space="preserve">hazard </w:t>
      </w:r>
      <w:r w:rsidR="00D50BE1">
        <w:t xml:space="preserve">severity </w:t>
      </w:r>
      <w:r w:rsidR="008109D5">
        <w:t>to be altered</w:t>
      </w:r>
      <w:r w:rsidR="00636BD7" w:rsidRPr="0070691D">
        <w:t>.</w:t>
      </w:r>
      <w:r w:rsidR="00636BD7">
        <w:t xml:space="preserve"> </w:t>
      </w:r>
      <w:r w:rsidR="00636BD7" w:rsidRPr="0070691D">
        <w:t>The purpose of the sub-</w:t>
      </w:r>
      <w:r w:rsidR="00636BD7" w:rsidRPr="0070691D">
        <w:lastRenderedPageBreak/>
        <w:t xml:space="preserve">categories is to </w:t>
      </w:r>
      <w:r w:rsidR="00636BD7">
        <w:t>communicate</w:t>
      </w:r>
      <w:r w:rsidR="00636BD7" w:rsidRPr="0070691D">
        <w:t xml:space="preserve"> whether the hazard of an explosive which is reduced to its primary package is still commensurate with the hazard of the division</w:t>
      </w:r>
      <w:r w:rsidR="00636BD7">
        <w:t>, or is more hazardous</w:t>
      </w:r>
      <w:r w:rsidR="00636BD7" w:rsidRPr="0070691D">
        <w:t>.</w:t>
      </w:r>
      <w:r w:rsidR="00636BD7">
        <w:t xml:space="preserve"> The sub-categories, represent</w:t>
      </w:r>
      <w:r w:rsidR="00594A9A" w:rsidRPr="0070691D">
        <w:t xml:space="preserve"> high hazard (2A), medium hazard (2B) and low hazard (2C). </w:t>
      </w:r>
    </w:p>
    <w:p w:rsidR="00594A9A" w:rsidRDefault="00C829D0" w:rsidP="00C829D0">
      <w:pPr>
        <w:pStyle w:val="SingleTxtG"/>
        <w:ind w:left="1701"/>
      </w:pPr>
      <w:r>
        <w:tab/>
      </w:r>
      <w:r>
        <w:rPr>
          <w:lang w:val="fr-CH"/>
        </w:rPr>
        <w:t>(d)</w:t>
      </w:r>
      <w:r>
        <w:tab/>
      </w:r>
      <w:r w:rsidR="00594A9A" w:rsidRPr="0070691D">
        <w:t>Other than for packaging-independent explosive articles</w:t>
      </w:r>
      <w:r w:rsidR="007A407C">
        <w:t xml:space="preserve"> (for which a</w:t>
      </w:r>
      <w:r w:rsidR="00AB6D87">
        <w:t xml:space="preserve"> def</w:t>
      </w:r>
      <w:r w:rsidR="006135B2">
        <w:t>i</w:t>
      </w:r>
      <w:r w:rsidR="00AB6D87">
        <w:t>nition is added)</w:t>
      </w:r>
      <w:r w:rsidR="00594A9A" w:rsidRPr="0070691D">
        <w:t>, retaining the primary packaging until use is required for all sub-categories in Category 2, otherwise the classification reverts to Category 1.</w:t>
      </w:r>
      <w:r w:rsidR="00594A9A">
        <w:t xml:space="preserve"> </w:t>
      </w:r>
    </w:p>
    <w:p w:rsidR="00594A9A" w:rsidRPr="00C829D0" w:rsidRDefault="00B569BE" w:rsidP="00C829D0">
      <w:pPr>
        <w:pStyle w:val="SingleTxtG"/>
        <w:ind w:left="2268"/>
      </w:pPr>
      <w:r>
        <w:rPr>
          <w:lang w:val="fr-CH"/>
        </w:rPr>
        <w:t>(</w:t>
      </w:r>
      <w:r w:rsidR="00C829D0">
        <w:rPr>
          <w:lang w:val="fr-CH"/>
        </w:rPr>
        <w:t>i</w:t>
      </w:r>
      <w:r>
        <w:rPr>
          <w:lang w:val="fr-CH"/>
        </w:rPr>
        <w:t>)</w:t>
      </w:r>
      <w:r w:rsidR="00C829D0">
        <w:tab/>
      </w:r>
      <w:r w:rsidR="00594A9A" w:rsidRPr="00C829D0">
        <w:t xml:space="preserve">The primary packaging is a basis for classification in sub-categories 2B and 2C. </w:t>
      </w:r>
    </w:p>
    <w:p w:rsidR="0070691D" w:rsidRPr="00C829D0" w:rsidRDefault="00B569BE" w:rsidP="00C829D0">
      <w:pPr>
        <w:pStyle w:val="SingleTxtG"/>
        <w:ind w:left="2268"/>
      </w:pPr>
      <w:r>
        <w:rPr>
          <w:lang w:val="fr-CH"/>
        </w:rPr>
        <w:t>(</w:t>
      </w:r>
      <w:r w:rsidR="00C829D0">
        <w:rPr>
          <w:lang w:val="fr-CH"/>
        </w:rPr>
        <w:t>ii</w:t>
      </w:r>
      <w:r>
        <w:rPr>
          <w:lang w:val="fr-CH"/>
        </w:rPr>
        <w:t>)</w:t>
      </w:r>
      <w:bookmarkStart w:id="0" w:name="_GoBack"/>
      <w:bookmarkEnd w:id="0"/>
      <w:r w:rsidR="00C829D0">
        <w:tab/>
      </w:r>
      <w:r w:rsidR="00594A9A" w:rsidRPr="00C829D0">
        <w:t xml:space="preserve">Relative to sub-category 2A high-hazard explosives, this </w:t>
      </w:r>
      <w:r w:rsidR="005112EC" w:rsidRPr="00C829D0">
        <w:t xml:space="preserve">classification logic </w:t>
      </w:r>
      <w:r w:rsidR="00594A9A" w:rsidRPr="00C829D0">
        <w:t>takes into account that</w:t>
      </w:r>
      <w:r w:rsidR="005112EC" w:rsidRPr="00C829D0">
        <w:t>,</w:t>
      </w:r>
      <w:r w:rsidR="00594A9A" w:rsidRPr="00C829D0">
        <w:t xml:space="preserve"> while the hazard is already the highest, the sensitivity may increase </w:t>
      </w:r>
      <w:r w:rsidR="005112EC" w:rsidRPr="00C829D0">
        <w:t>upon removal of the explosive</w:t>
      </w:r>
      <w:r w:rsidR="00594A9A" w:rsidRPr="00C829D0">
        <w:t xml:space="preserve"> from the primary packaging.</w:t>
      </w:r>
    </w:p>
    <w:p w:rsidR="00AB6D87" w:rsidRPr="0070691D" w:rsidRDefault="00C829D0" w:rsidP="00C829D0">
      <w:pPr>
        <w:pStyle w:val="SingleTxtG"/>
        <w:ind w:left="1701"/>
      </w:pPr>
      <w:r>
        <w:tab/>
      </w:r>
      <w:r>
        <w:rPr>
          <w:lang w:val="fr-CH"/>
        </w:rPr>
        <w:t>(e)</w:t>
      </w:r>
      <w:r>
        <w:tab/>
      </w:r>
      <w:proofErr w:type="spellStart"/>
      <w:r w:rsidR="00AB6D87" w:rsidRPr="00C829D0">
        <w:t>Detonability</w:t>
      </w:r>
      <w:proofErr w:type="spellEnd"/>
      <w:r w:rsidR="00AB6D87">
        <w:t xml:space="preserve"> has been added as </w:t>
      </w:r>
      <w:proofErr w:type="gramStart"/>
      <w:r w:rsidR="00AB6D87">
        <w:t>a</w:t>
      </w:r>
      <w:proofErr w:type="gramEnd"/>
      <w:r w:rsidR="00AB6D87">
        <w:t xml:space="preserve"> classification factor for Sub-Category 2C, and </w:t>
      </w:r>
      <w:r w:rsidR="007A407C">
        <w:t xml:space="preserve">“detonation” </w:t>
      </w:r>
      <w:r w:rsidR="00AB6D87">
        <w:t>has been defined.</w:t>
      </w:r>
    </w:p>
    <w:p w:rsidR="0070691D" w:rsidRDefault="0070691D" w:rsidP="0070691D">
      <w:pPr>
        <w:pStyle w:val="SingleTxtG"/>
        <w:numPr>
          <w:ilvl w:val="0"/>
          <w:numId w:val="18"/>
        </w:numPr>
        <w:ind w:left="1134" w:firstLine="0"/>
      </w:pPr>
      <w:r w:rsidRPr="0070691D">
        <w:t>Classification is not applied when explosives are in use, which is inherently hazardous</w:t>
      </w:r>
      <w:r w:rsidR="00AB6D87">
        <w:t xml:space="preserve"> but is not practical for triggering reclassification</w:t>
      </w:r>
      <w:r w:rsidRPr="0070691D">
        <w:t xml:space="preserve">. </w:t>
      </w:r>
      <w:r w:rsidR="00AB6D87">
        <w:t xml:space="preserve">“Use” has been defined to provide controls on how that term is applied for purposes of Chapter 2.1. </w:t>
      </w:r>
      <w:r w:rsidRPr="0070691D">
        <w:t>The hazard in use is limited for explosives industry personnel by regulation and training, and for general industry and public use by regulatory limitations of the hazard levels of available explosives.</w:t>
      </w:r>
    </w:p>
    <w:p w:rsidR="00720E23" w:rsidRDefault="00720E23" w:rsidP="0070691D">
      <w:pPr>
        <w:pStyle w:val="SingleTxtG"/>
        <w:numPr>
          <w:ilvl w:val="0"/>
          <w:numId w:val="18"/>
        </w:numPr>
        <w:ind w:left="1134" w:firstLine="0"/>
      </w:pPr>
      <w:r>
        <w:t>We plan to submit an additional informal paper with information for Section 2.1.3 Hazard</w:t>
      </w:r>
      <w:r w:rsidR="00A94447">
        <w:t xml:space="preserve"> Communication in support of Sweden</w:t>
      </w:r>
      <w:r w:rsidR="00D25958">
        <w:t>’s formal paper</w:t>
      </w:r>
      <w:r>
        <w:t>.</w:t>
      </w:r>
    </w:p>
    <w:p w:rsidR="00305E30" w:rsidRPr="0070691D" w:rsidRDefault="00EF5402" w:rsidP="0070691D">
      <w:pPr>
        <w:pStyle w:val="SingleTxtG"/>
        <w:numPr>
          <w:ilvl w:val="0"/>
          <w:numId w:val="18"/>
        </w:numPr>
        <w:ind w:left="1134" w:firstLine="0"/>
      </w:pPr>
      <w:r>
        <w:t>S</w:t>
      </w:r>
      <w:r w:rsidR="00720E23">
        <w:t xml:space="preserve">ome ideas regarding </w:t>
      </w:r>
      <w:r>
        <w:t>decision logic and g</w:t>
      </w:r>
      <w:r w:rsidRPr="00EF5402">
        <w:t>uidance</w:t>
      </w:r>
      <w:r>
        <w:t xml:space="preserve"> are </w:t>
      </w:r>
      <w:r w:rsidR="00305E30">
        <w:t xml:space="preserve">included in </w:t>
      </w:r>
      <w:r>
        <w:t xml:space="preserve">square brackets in </w:t>
      </w:r>
      <w:r w:rsidR="00305E30">
        <w:t xml:space="preserve">Section 2.1.4 of the </w:t>
      </w:r>
      <w:r>
        <w:t xml:space="preserve">Annex to this paper. These </w:t>
      </w:r>
      <w:r w:rsidR="00D25958">
        <w:t>provide additional insight, and</w:t>
      </w:r>
      <w:r>
        <w:t xml:space="preserve"> might</w:t>
      </w:r>
      <w:r w:rsidR="00720E23">
        <w:t xml:space="preserve"> be </w:t>
      </w:r>
      <w:r>
        <w:t>useful</w:t>
      </w:r>
      <w:r w:rsidR="00720E23">
        <w:t xml:space="preserve"> in sections 2.1.1, 2.1.2 or 2.1.4</w:t>
      </w:r>
      <w:r w:rsidR="00305E30">
        <w:t>.</w:t>
      </w:r>
      <w:r w:rsidR="00720E23">
        <w:t xml:space="preserve"> Section 2.1.4 can be drafted later after discussions in Geneva.</w:t>
      </w:r>
    </w:p>
    <w:p w:rsidR="006B4518" w:rsidRPr="00D25958" w:rsidRDefault="00D25958" w:rsidP="00D25958">
      <w:pPr>
        <w:pStyle w:val="HChG"/>
        <w:ind w:left="2268"/>
      </w:pPr>
      <w:r>
        <w:t>Proposal</w:t>
      </w:r>
    </w:p>
    <w:p w:rsidR="006B4518" w:rsidRDefault="00EF7E10" w:rsidP="00285E22">
      <w:pPr>
        <w:pStyle w:val="SingleTxtG"/>
        <w:numPr>
          <w:ilvl w:val="0"/>
          <w:numId w:val="18"/>
        </w:numPr>
        <w:ind w:left="1134" w:firstLine="0"/>
      </w:pPr>
      <w:r>
        <w:rPr>
          <w:lang w:val="en-US"/>
        </w:rPr>
        <w:t>The authors of this paper would like the subcommittee to consider this approach in development</w:t>
      </w:r>
      <w:r w:rsidR="0070691D">
        <w:t xml:space="preserve"> of </w:t>
      </w:r>
      <w:r w:rsidR="006B4518">
        <w:t xml:space="preserve">the </w:t>
      </w:r>
      <w:r w:rsidR="006B4518" w:rsidRPr="005B4B57">
        <w:t>detailed</w:t>
      </w:r>
      <w:r w:rsidR="0070691D">
        <w:t xml:space="preserve"> principles and</w:t>
      </w:r>
      <w:r w:rsidR="006B4518">
        <w:t xml:space="preserve"> </w:t>
      </w:r>
      <w:r w:rsidR="0070691D">
        <w:t>text of a new GHS amendment to Chapter 2.1, sub-chapters 2.</w:t>
      </w:r>
      <w:r w:rsidR="00CE6E1B">
        <w:t>1.1 and 2.1.2, as shown in the A</w:t>
      </w:r>
      <w:r w:rsidR="0070691D">
        <w:t>nnex</w:t>
      </w:r>
      <w:r w:rsidR="006B4518">
        <w:t>.</w:t>
      </w:r>
    </w:p>
    <w:p w:rsidR="006B4518" w:rsidRPr="005B4B57" w:rsidRDefault="005B4B57" w:rsidP="005B4B57">
      <w:pPr>
        <w:pStyle w:val="SingleTxtG"/>
        <w:spacing w:before="240" w:after="0"/>
        <w:jc w:val="center"/>
        <w:rPr>
          <w:sz w:val="22"/>
          <w:u w:val="single"/>
        </w:rPr>
      </w:pPr>
      <w:r>
        <w:rPr>
          <w:sz w:val="22"/>
          <w:u w:val="single"/>
        </w:rPr>
        <w:tab/>
      </w:r>
    </w:p>
    <w:p w:rsidR="006B4518" w:rsidRPr="00C213BB" w:rsidRDefault="006B4518" w:rsidP="006B4518">
      <w:pPr>
        <w:pStyle w:val="SingleTxtG"/>
        <w:ind w:left="0"/>
        <w:rPr>
          <w:sz w:val="22"/>
        </w:rPr>
      </w:pPr>
    </w:p>
    <w:p w:rsidR="003E1174" w:rsidRDefault="003E1174">
      <w:pPr>
        <w:suppressAutoHyphens w:val="0"/>
        <w:spacing w:line="240" w:lineRule="auto"/>
        <w:rPr>
          <w:lang w:val="x-none"/>
        </w:rPr>
      </w:pPr>
      <w:r>
        <w:rPr>
          <w:lang w:val="x-none"/>
        </w:rPr>
        <w:br w:type="page"/>
      </w:r>
    </w:p>
    <w:p w:rsidR="00A559F9" w:rsidRPr="002A2A92" w:rsidRDefault="00A559F9" w:rsidP="002207A7">
      <w:pPr>
        <w:pStyle w:val="HChG"/>
        <w:rPr>
          <w:rFonts w:eastAsia="Calibri"/>
        </w:rPr>
      </w:pPr>
      <w:r w:rsidRPr="002A2A92">
        <w:rPr>
          <w:rFonts w:eastAsia="Calibri"/>
        </w:rPr>
        <w:lastRenderedPageBreak/>
        <w:t>A</w:t>
      </w:r>
      <w:r w:rsidR="002207A7">
        <w:rPr>
          <w:rFonts w:eastAsia="Calibri"/>
          <w:lang w:val="fr-CH"/>
        </w:rPr>
        <w:t>nnex</w:t>
      </w:r>
    </w:p>
    <w:p w:rsidR="00A559F9" w:rsidRPr="002A2A92" w:rsidRDefault="002207A7" w:rsidP="002207A7">
      <w:pPr>
        <w:pStyle w:val="HChG"/>
        <w:rPr>
          <w:rFonts w:eastAsia="Calibri"/>
        </w:rPr>
      </w:pPr>
      <w:r>
        <w:rPr>
          <w:rFonts w:eastAsia="Calibri"/>
        </w:rPr>
        <w:tab/>
      </w:r>
      <w:r>
        <w:rPr>
          <w:rFonts w:eastAsia="Calibri"/>
        </w:rPr>
        <w:tab/>
      </w:r>
      <w:r w:rsidR="00A559F9" w:rsidRPr="002A2A92">
        <w:rPr>
          <w:rFonts w:eastAsia="Calibri"/>
        </w:rPr>
        <w:t>C</w:t>
      </w:r>
      <w:r>
        <w:rPr>
          <w:rFonts w:eastAsia="Calibri"/>
          <w:lang w:val="fr-CH"/>
        </w:rPr>
        <w:t xml:space="preserve">hapter </w:t>
      </w:r>
      <w:r w:rsidR="00A559F9" w:rsidRPr="002A2A92">
        <w:rPr>
          <w:rFonts w:eastAsia="Calibri"/>
        </w:rPr>
        <w:t xml:space="preserve">2.1 </w:t>
      </w:r>
    </w:p>
    <w:p w:rsidR="00A559F9" w:rsidRPr="002A2A92" w:rsidRDefault="002207A7" w:rsidP="002207A7">
      <w:pPr>
        <w:pStyle w:val="HChG"/>
        <w:rPr>
          <w:rFonts w:eastAsia="Calibri"/>
        </w:rPr>
      </w:pPr>
      <w:r>
        <w:rPr>
          <w:rFonts w:eastAsia="Calibri"/>
        </w:rPr>
        <w:tab/>
      </w:r>
      <w:r>
        <w:rPr>
          <w:rFonts w:eastAsia="Calibri"/>
        </w:rPr>
        <w:tab/>
      </w:r>
      <w:r w:rsidR="00A559F9" w:rsidRPr="002A2A92">
        <w:rPr>
          <w:rFonts w:eastAsia="Calibri"/>
        </w:rPr>
        <w:t>E</w:t>
      </w:r>
      <w:r>
        <w:rPr>
          <w:rFonts w:eastAsia="Calibri"/>
          <w:lang w:val="fr-CH"/>
        </w:rPr>
        <w:t>xplosives</w:t>
      </w:r>
    </w:p>
    <w:p w:rsidR="00A559F9" w:rsidRPr="002A2A92" w:rsidRDefault="002207A7" w:rsidP="002207A7">
      <w:pPr>
        <w:pStyle w:val="H23G"/>
        <w:rPr>
          <w:rFonts w:eastAsia="Calibri"/>
        </w:rPr>
      </w:pPr>
      <w:r>
        <w:rPr>
          <w:rFonts w:eastAsia="Calibri"/>
        </w:rPr>
        <w:tab/>
      </w:r>
      <w:r>
        <w:rPr>
          <w:rFonts w:eastAsia="Calibri"/>
        </w:rPr>
        <w:tab/>
      </w:r>
      <w:r w:rsidR="00A559F9" w:rsidRPr="002A2A92">
        <w:rPr>
          <w:rFonts w:eastAsia="Calibri"/>
        </w:rPr>
        <w:t xml:space="preserve">2.1.1 </w:t>
      </w:r>
      <w:r w:rsidR="00A559F9" w:rsidRPr="002A2A92">
        <w:rPr>
          <w:rFonts w:eastAsia="Calibri"/>
        </w:rPr>
        <w:tab/>
      </w:r>
      <w:r w:rsidR="00A559F9" w:rsidRPr="002A2A92">
        <w:rPr>
          <w:rFonts w:eastAsia="Calibri"/>
        </w:rPr>
        <w:tab/>
        <w:t>Definitions and general considerations</w:t>
      </w:r>
    </w:p>
    <w:p w:rsidR="00A559F9" w:rsidRPr="002A2A92" w:rsidRDefault="00A559F9" w:rsidP="002207A7">
      <w:pPr>
        <w:pStyle w:val="SingleTxtG"/>
        <w:rPr>
          <w:rFonts w:eastAsia="Calibri"/>
        </w:rPr>
      </w:pPr>
      <w:r w:rsidRPr="002A2A92">
        <w:rPr>
          <w:rFonts w:eastAsia="Calibri"/>
        </w:rPr>
        <w:t xml:space="preserve">2.1.1.1 </w:t>
      </w:r>
      <w:r w:rsidRPr="002A2A92">
        <w:rPr>
          <w:rFonts w:eastAsia="Calibri"/>
        </w:rPr>
        <w:tab/>
      </w:r>
      <w:r w:rsidRPr="002A2A92">
        <w:rPr>
          <w:rFonts w:eastAsia="Calibri"/>
          <w:u w:val="single"/>
        </w:rPr>
        <w:t>Definitions</w:t>
      </w:r>
    </w:p>
    <w:p w:rsidR="00A559F9" w:rsidRPr="002A2A92" w:rsidRDefault="00A559F9" w:rsidP="002207A7">
      <w:pPr>
        <w:pStyle w:val="SingleTxtG"/>
        <w:rPr>
          <w:rFonts w:eastAsia="Calibri"/>
        </w:rPr>
      </w:pPr>
      <w:r w:rsidRPr="002A2A92">
        <w:rPr>
          <w:rFonts w:eastAsia="Calibri"/>
        </w:rPr>
        <w:t xml:space="preserve">An </w:t>
      </w:r>
      <w:r w:rsidRPr="002A2A92">
        <w:rPr>
          <w:rFonts w:eastAsia="Calibri"/>
          <w:i/>
        </w:rPr>
        <w:t>explosive substance</w:t>
      </w:r>
      <w:r w:rsidRPr="002A2A92">
        <w:rPr>
          <w:rFonts w:eastAsia="Calibri"/>
        </w:rPr>
        <w:t xml:space="preserve"> (or mixture) is a solid or liquid substance (or mixture of substances) which is in itself capable by chemical reaction of producing gas at such a temperature and pressure</w:t>
      </w:r>
      <w:r w:rsidR="00767B23" w:rsidRPr="002A2A92">
        <w:rPr>
          <w:rFonts w:eastAsia="Calibri"/>
        </w:rPr>
        <w:t xml:space="preserve"> and at such a speed as to </w:t>
      </w:r>
      <w:r w:rsidRPr="002A2A92">
        <w:rPr>
          <w:rFonts w:eastAsia="Calibri"/>
        </w:rPr>
        <w:t>cause damage to the surroundings. Pyrotechnic substances are included even when they do not evolve gases.</w:t>
      </w:r>
    </w:p>
    <w:p w:rsidR="00A559F9" w:rsidRPr="002A2A92" w:rsidRDefault="00A559F9" w:rsidP="002207A7">
      <w:pPr>
        <w:pStyle w:val="SingleTxtG"/>
        <w:rPr>
          <w:rFonts w:eastAsia="Calibri"/>
        </w:rPr>
      </w:pPr>
      <w:r w:rsidRPr="002A2A92">
        <w:rPr>
          <w:rFonts w:eastAsia="Calibri"/>
        </w:rPr>
        <w:t xml:space="preserve">A </w:t>
      </w:r>
      <w:r w:rsidRPr="002A2A92">
        <w:rPr>
          <w:rFonts w:eastAsia="Calibri"/>
          <w:i/>
        </w:rPr>
        <w:t>pyrotechnic substance (or mixture)</w:t>
      </w:r>
      <w:r w:rsidRPr="002A2A92">
        <w:rPr>
          <w:rFonts w:eastAsia="Calibri"/>
        </w:rPr>
        <w:t xml:space="preserve"> is a substance or mixture of substances designed to produce an effect by heat, light, sound, gas or smoke or a combination of these as the result of non-detonative self-sustaining exothermic chemical reactions.</w:t>
      </w:r>
    </w:p>
    <w:p w:rsidR="00A559F9" w:rsidRPr="002A2A92" w:rsidRDefault="00A559F9" w:rsidP="002207A7">
      <w:pPr>
        <w:pStyle w:val="SingleTxtG"/>
        <w:rPr>
          <w:rFonts w:eastAsia="Calibri"/>
        </w:rPr>
      </w:pPr>
      <w:r w:rsidRPr="002A2A92">
        <w:rPr>
          <w:rFonts w:eastAsia="Calibri"/>
        </w:rPr>
        <w:t xml:space="preserve">An </w:t>
      </w:r>
      <w:r w:rsidRPr="002A2A92">
        <w:rPr>
          <w:rFonts w:eastAsia="Calibri"/>
          <w:i/>
        </w:rPr>
        <w:t>explosive article</w:t>
      </w:r>
      <w:r w:rsidRPr="002A2A92">
        <w:rPr>
          <w:rFonts w:eastAsia="Calibri"/>
        </w:rPr>
        <w:t xml:space="preserve"> is </w:t>
      </w:r>
      <w:r w:rsidRPr="002A2A92">
        <w:rPr>
          <w:rFonts w:eastAsia="Calibri"/>
          <w:strike/>
        </w:rPr>
        <w:t>an article</w:t>
      </w:r>
      <w:r w:rsidRPr="002A2A92">
        <w:rPr>
          <w:rFonts w:eastAsia="Calibri"/>
        </w:rPr>
        <w:t xml:space="preserve"> </w:t>
      </w:r>
      <w:r w:rsidRPr="002A2A92">
        <w:rPr>
          <w:rFonts w:eastAsia="Calibri"/>
          <w:color w:val="000000"/>
          <w:u w:val="single"/>
        </w:rPr>
        <w:t>a device</w:t>
      </w:r>
      <w:r w:rsidRPr="002A2A92">
        <w:rPr>
          <w:rFonts w:eastAsia="Calibri"/>
          <w:color w:val="000000"/>
        </w:rPr>
        <w:t xml:space="preserve"> </w:t>
      </w:r>
      <w:r w:rsidRPr="002A2A92">
        <w:rPr>
          <w:rFonts w:eastAsia="Calibri"/>
        </w:rPr>
        <w:t>containing one or more explosive substances or mixtures.</w:t>
      </w:r>
    </w:p>
    <w:p w:rsidR="00A559F9" w:rsidRPr="002A2A92" w:rsidRDefault="00A559F9" w:rsidP="002207A7">
      <w:pPr>
        <w:pStyle w:val="SingleTxtG"/>
        <w:rPr>
          <w:rFonts w:eastAsia="Calibri"/>
          <w:strike/>
        </w:rPr>
      </w:pPr>
      <w:r w:rsidRPr="002A2A92">
        <w:rPr>
          <w:rFonts w:eastAsia="Calibri"/>
          <w:strike/>
        </w:rPr>
        <w:t xml:space="preserve">A </w:t>
      </w:r>
      <w:r w:rsidRPr="002A2A92">
        <w:rPr>
          <w:rFonts w:eastAsia="Calibri"/>
          <w:i/>
          <w:strike/>
        </w:rPr>
        <w:t>pyrotechnic article</w:t>
      </w:r>
      <w:r w:rsidRPr="002A2A92">
        <w:rPr>
          <w:rFonts w:eastAsia="Calibri"/>
          <w:strike/>
        </w:rPr>
        <w:t xml:space="preserve"> is an article containing one or more pyrotechnic substances or mixtures.</w:t>
      </w:r>
    </w:p>
    <w:p w:rsidR="00A559F9" w:rsidRPr="002A2A92" w:rsidRDefault="00A559F9" w:rsidP="002207A7">
      <w:pPr>
        <w:pStyle w:val="SingleTxtG"/>
        <w:rPr>
          <w:rFonts w:eastAsia="Calibri"/>
          <w:u w:val="single"/>
        </w:rPr>
      </w:pPr>
      <w:r w:rsidRPr="002A2A92">
        <w:rPr>
          <w:rFonts w:eastAsia="Calibri"/>
          <w:i/>
          <w:u w:val="single"/>
        </w:rPr>
        <w:t>Configured for transport</w:t>
      </w:r>
      <w:r w:rsidRPr="002A2A92">
        <w:rPr>
          <w:rFonts w:eastAsia="Calibri"/>
          <w:u w:val="single"/>
        </w:rPr>
        <w:t xml:space="preserve"> refers to the complete package or unpackaged article as presented for classification and assigned a class or division or exempted, also meeting any associated requirements, according to the UN Recommendations on the Transport of Dangerous Goods, Model Regulations and Manual of Tests and Criteria. This configuration includes the design of an explosive article, packaging specification and design, and occasionally, special orientation for cancellation of explosive effects. </w:t>
      </w:r>
    </w:p>
    <w:p w:rsidR="00A559F9" w:rsidRPr="002207A7" w:rsidRDefault="00A559F9" w:rsidP="002207A7">
      <w:pPr>
        <w:pStyle w:val="SingleTxtG"/>
        <w:rPr>
          <w:rFonts w:eastAsia="Calibri"/>
          <w:u w:val="single"/>
        </w:rPr>
      </w:pPr>
      <w:r w:rsidRPr="002207A7">
        <w:rPr>
          <w:rFonts w:eastAsia="Calibri"/>
          <w:i/>
          <w:u w:val="single"/>
        </w:rPr>
        <w:t>Detonation</w:t>
      </w:r>
      <w:r w:rsidRPr="002207A7">
        <w:rPr>
          <w:rFonts w:eastAsia="Calibri"/>
          <w:u w:val="single"/>
        </w:rPr>
        <w:t xml:space="preserve"> means a supersonic reaction propagating by shock.</w:t>
      </w:r>
    </w:p>
    <w:p w:rsidR="00A559F9" w:rsidRPr="002207A7" w:rsidRDefault="00A559F9" w:rsidP="002207A7">
      <w:pPr>
        <w:pStyle w:val="SingleTxtG"/>
        <w:rPr>
          <w:rFonts w:eastAsia="Calibri"/>
          <w:u w:val="single"/>
        </w:rPr>
      </w:pPr>
      <w:r w:rsidRPr="002207A7">
        <w:rPr>
          <w:rFonts w:eastAsia="Calibri"/>
          <w:u w:val="single"/>
        </w:rPr>
        <w:t xml:space="preserve">The </w:t>
      </w:r>
      <w:r w:rsidRPr="002207A7">
        <w:rPr>
          <w:rFonts w:eastAsia="Calibri"/>
          <w:i/>
          <w:u w:val="single"/>
        </w:rPr>
        <w:t>primary packaging</w:t>
      </w:r>
      <w:r w:rsidRPr="002207A7">
        <w:rPr>
          <w:rFonts w:eastAsia="Calibri"/>
          <w:u w:val="single"/>
        </w:rPr>
        <w:t xml:space="preserve"> is the minimum level of packaging that will be retained until use of the explosive when not packaging-independent. Such packaging is often the immediate or innermost layer and may include attenuating properties which mitigate hazardous effects. Flexible inner packaging such as a thin-wall plastic bag or otherwise </w:t>
      </w:r>
      <w:r w:rsidRPr="002207A7">
        <w:rPr>
          <w:rFonts w:eastAsia="Calibri"/>
          <w:color w:val="000000"/>
          <w:u w:val="single"/>
        </w:rPr>
        <w:t>unsubstantial material which provides negligible attenuation of explosive effects</w:t>
      </w:r>
      <w:r w:rsidRPr="002207A7">
        <w:rPr>
          <w:rFonts w:eastAsia="Calibri"/>
          <w:u w:val="single"/>
        </w:rPr>
        <w:t xml:space="preserve"> should not be considered the primary packaging. The primary packaging is part of the explosive package presented for testing and classification. </w:t>
      </w:r>
    </w:p>
    <w:p w:rsidR="00A559F9" w:rsidRPr="002207A7" w:rsidRDefault="00A559F9" w:rsidP="002207A7">
      <w:pPr>
        <w:pStyle w:val="SingleTxtG"/>
        <w:rPr>
          <w:rFonts w:eastAsia="Calibri"/>
          <w:u w:val="single"/>
        </w:rPr>
      </w:pPr>
      <w:r w:rsidRPr="002207A7">
        <w:rPr>
          <w:rFonts w:eastAsia="Calibri"/>
          <w:i/>
          <w:u w:val="single"/>
        </w:rPr>
        <w:t>Packaging-independent</w:t>
      </w:r>
      <w:r w:rsidRPr="002207A7">
        <w:rPr>
          <w:rFonts w:eastAsia="Calibri"/>
          <w:u w:val="single"/>
        </w:rPr>
        <w:t xml:space="preserve"> refers to an explosive article where the classification relies on testing of an explosive article with no packaging, other than a bag, between one or more initiated explosive articles in direct contact with each other and surrounding explosive articles in Test 6(a) (or Test 6(b) or Test 6(d)), and Test 6(c) </w:t>
      </w:r>
      <w:r w:rsidRPr="002207A7">
        <w:rPr>
          <w:rFonts w:eastAsia="Calibri"/>
          <w:color w:val="000000"/>
          <w:u w:val="single"/>
        </w:rPr>
        <w:t xml:space="preserve">(Section 16 of the </w:t>
      </w:r>
      <w:r w:rsidRPr="002207A7">
        <w:rPr>
          <w:rFonts w:eastAsia="Calibri"/>
          <w:i/>
          <w:color w:val="000000"/>
          <w:u w:val="single"/>
        </w:rPr>
        <w:t>UN Recommendations on the Transport of Dangerous Goods, Manual of Tests and Criteria</w:t>
      </w:r>
      <w:r w:rsidRPr="002207A7">
        <w:rPr>
          <w:rFonts w:eastAsia="Calibri"/>
          <w:color w:val="000000"/>
          <w:u w:val="single"/>
        </w:rPr>
        <w:t>)</w:t>
      </w:r>
      <w:r w:rsidRPr="002207A7">
        <w:rPr>
          <w:rFonts w:eastAsia="Calibri"/>
          <w:u w:val="single"/>
        </w:rPr>
        <w:t>. For a packaging-independent explosive article, packaging may be unnecessary for safety purposes, or the packaging may be disposed of in staging without reclassification.</w:t>
      </w:r>
    </w:p>
    <w:p w:rsidR="00A559F9" w:rsidRPr="002207A7" w:rsidRDefault="00A559F9" w:rsidP="002207A7">
      <w:pPr>
        <w:pStyle w:val="SingleTxtG"/>
        <w:rPr>
          <w:rFonts w:eastAsia="Calibri"/>
          <w:u w:val="single"/>
        </w:rPr>
      </w:pPr>
      <w:r w:rsidRPr="002207A7">
        <w:rPr>
          <w:rFonts w:eastAsia="Calibri"/>
          <w:i/>
          <w:u w:val="single"/>
        </w:rPr>
        <w:t xml:space="preserve">Staging </w:t>
      </w:r>
      <w:r w:rsidRPr="002207A7">
        <w:rPr>
          <w:rFonts w:eastAsia="Calibri"/>
          <w:u w:val="single"/>
        </w:rPr>
        <w:t>is storage where the explosive is packaging-independent or is in its primary packaging, but is no longer configured for transport, for example in display for sale or awaiting installation.</w:t>
      </w:r>
    </w:p>
    <w:p w:rsidR="00A559F9" w:rsidRPr="002207A7" w:rsidRDefault="00A559F9" w:rsidP="002207A7">
      <w:pPr>
        <w:pStyle w:val="SingleTxtG"/>
        <w:rPr>
          <w:rFonts w:eastAsia="Calibri"/>
          <w:u w:val="single"/>
        </w:rPr>
      </w:pPr>
      <w:r w:rsidRPr="002207A7">
        <w:rPr>
          <w:rFonts w:eastAsia="Calibri"/>
          <w:i/>
          <w:u w:val="single"/>
        </w:rPr>
        <w:t>Use</w:t>
      </w:r>
      <w:r w:rsidRPr="002207A7">
        <w:rPr>
          <w:rFonts w:eastAsia="Calibri"/>
          <w:u w:val="single"/>
        </w:rPr>
        <w:t>, for the purposes of this chapter, is the preparation and intentional functioning of an explosive, including installation or deployment in readiness for functioning.</w:t>
      </w:r>
    </w:p>
    <w:p w:rsidR="00A559F9" w:rsidRPr="002A2A92" w:rsidRDefault="00A559F9" w:rsidP="003F7CEA">
      <w:pPr>
        <w:suppressAutoHyphens w:val="0"/>
        <w:spacing w:after="160" w:line="259" w:lineRule="auto"/>
        <w:ind w:right="-468"/>
        <w:rPr>
          <w:rFonts w:eastAsia="Calibri"/>
          <w:color w:val="000000"/>
        </w:rPr>
      </w:pPr>
    </w:p>
    <w:p w:rsidR="00A559F9" w:rsidRPr="002A2A92" w:rsidRDefault="00A559F9" w:rsidP="002207A7">
      <w:pPr>
        <w:pStyle w:val="SingleTxtG"/>
        <w:rPr>
          <w:rFonts w:eastAsia="Calibri"/>
        </w:rPr>
      </w:pPr>
      <w:r w:rsidRPr="002A2A92">
        <w:rPr>
          <w:rFonts w:eastAsia="Calibri"/>
        </w:rPr>
        <w:lastRenderedPageBreak/>
        <w:t xml:space="preserve">2.1.1.2 </w:t>
      </w:r>
      <w:r w:rsidRPr="002A2A92">
        <w:rPr>
          <w:rFonts w:eastAsia="Calibri"/>
        </w:rPr>
        <w:tab/>
        <w:t>Except as provided in 2.1.1.3, the class of explosives comprises:</w:t>
      </w:r>
    </w:p>
    <w:p w:rsidR="00A559F9" w:rsidRPr="002A2A92" w:rsidRDefault="00A559F9" w:rsidP="002207A7">
      <w:pPr>
        <w:pStyle w:val="SingleTxtG"/>
        <w:ind w:left="1701"/>
        <w:rPr>
          <w:rFonts w:eastAsia="Calibri"/>
        </w:rPr>
      </w:pPr>
      <w:r w:rsidRPr="002A2A92">
        <w:rPr>
          <w:rFonts w:eastAsia="Calibri"/>
        </w:rPr>
        <w:t xml:space="preserve">(a) </w:t>
      </w:r>
      <w:r w:rsidRPr="002A2A92">
        <w:rPr>
          <w:rFonts w:eastAsia="Calibri"/>
        </w:rPr>
        <w:tab/>
        <w:t>Explosive substances and mixtures;</w:t>
      </w:r>
    </w:p>
    <w:p w:rsidR="00A559F9" w:rsidRPr="002A2A92" w:rsidRDefault="00A559F9" w:rsidP="002207A7">
      <w:pPr>
        <w:pStyle w:val="SingleTxtG"/>
        <w:ind w:left="1701"/>
        <w:rPr>
          <w:rFonts w:eastAsia="Calibri"/>
        </w:rPr>
      </w:pPr>
      <w:r w:rsidRPr="002A2A92">
        <w:rPr>
          <w:rFonts w:eastAsia="Calibri"/>
        </w:rPr>
        <w:t xml:space="preserve">(b) </w:t>
      </w:r>
      <w:r w:rsidRPr="002A2A92">
        <w:rPr>
          <w:rFonts w:eastAsia="Calibri"/>
        </w:rPr>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rsidR="00A559F9" w:rsidRPr="002A2A92" w:rsidRDefault="00A559F9" w:rsidP="002207A7">
      <w:pPr>
        <w:pStyle w:val="SingleTxtG"/>
        <w:ind w:left="1701"/>
        <w:rPr>
          <w:rFonts w:eastAsia="Calibri"/>
        </w:rPr>
      </w:pPr>
      <w:r w:rsidRPr="002A2A92">
        <w:rPr>
          <w:rFonts w:eastAsia="Calibri"/>
        </w:rPr>
        <w:t xml:space="preserve">(c) </w:t>
      </w:r>
      <w:r w:rsidRPr="002A2A92">
        <w:rPr>
          <w:rFonts w:eastAsia="Calibri"/>
        </w:rPr>
        <w:tab/>
        <w:t>Substances, mixtures and articles not mentioned under (a) and (b) above which are manufactured with the view to producing a practical explosive or pyrotechnic effect.</w:t>
      </w:r>
    </w:p>
    <w:p w:rsidR="00A559F9" w:rsidRPr="002207A7" w:rsidRDefault="00A559F9" w:rsidP="002207A7">
      <w:pPr>
        <w:pStyle w:val="SingleTxtG"/>
        <w:rPr>
          <w:rFonts w:eastAsia="Calibri"/>
          <w:u w:val="single"/>
        </w:rPr>
      </w:pPr>
      <w:r w:rsidRPr="002207A7">
        <w:rPr>
          <w:rFonts w:eastAsia="Calibri"/>
          <w:u w:val="single"/>
        </w:rPr>
        <w:t xml:space="preserve">2.1.1.3 </w:t>
      </w:r>
      <w:r w:rsidRPr="002207A7">
        <w:rPr>
          <w:rFonts w:eastAsia="Calibri"/>
          <w:u w:val="single"/>
        </w:rPr>
        <w:tab/>
        <w:t>The following substances, mixtures and articles are excluded from the class of explosives:</w:t>
      </w:r>
    </w:p>
    <w:p w:rsidR="00A559F9" w:rsidRPr="002207A7" w:rsidRDefault="000559D0" w:rsidP="002207A7">
      <w:pPr>
        <w:pStyle w:val="SingleTxtG"/>
        <w:ind w:left="1701"/>
        <w:rPr>
          <w:rFonts w:eastAsia="Calibri"/>
          <w:u w:val="single"/>
        </w:rPr>
      </w:pPr>
      <w:r>
        <w:rPr>
          <w:rFonts w:eastAsia="Calibri"/>
          <w:u w:val="single"/>
          <w:lang w:val="fr-CH"/>
        </w:rPr>
        <w:t>-</w:t>
      </w:r>
      <w:r>
        <w:rPr>
          <w:rFonts w:eastAsia="Calibri"/>
          <w:u w:val="single"/>
          <w:lang w:val="fr-CH"/>
        </w:rPr>
        <w:tab/>
      </w:r>
      <w:r w:rsidR="00A559F9" w:rsidRPr="002207A7">
        <w:rPr>
          <w:rFonts w:eastAsia="Calibri"/>
          <w:u w:val="single"/>
        </w:rPr>
        <w:t>Ammonium nitrate based emulsions, suspensions or gels which meet the criteria for classification as ANEs of Category 2 oxidizing liquids (Chapter 2.13) or Category 2 oxidizing solids (Chapter 2.14) according to Test Series 8 of the UN Manual of Tests and Criteria.</w:t>
      </w:r>
    </w:p>
    <w:p w:rsidR="00A559F9" w:rsidRPr="000559D0" w:rsidRDefault="000559D0" w:rsidP="002207A7">
      <w:pPr>
        <w:pStyle w:val="SingleTxtG"/>
        <w:ind w:left="1701"/>
        <w:rPr>
          <w:rFonts w:eastAsia="Calibri"/>
          <w:u w:val="single"/>
          <w:lang w:val="fr-CH"/>
        </w:rPr>
      </w:pPr>
      <w:r>
        <w:rPr>
          <w:rFonts w:eastAsia="Calibri"/>
          <w:u w:val="single"/>
          <w:lang w:val="fr-CH"/>
        </w:rPr>
        <w:t>-</w:t>
      </w:r>
      <w:r>
        <w:rPr>
          <w:rFonts w:eastAsia="Calibri"/>
          <w:u w:val="single"/>
          <w:lang w:val="fr-CH"/>
        </w:rPr>
        <w:tab/>
      </w:r>
      <w:r w:rsidR="00A559F9" w:rsidRPr="002207A7">
        <w:rPr>
          <w:rFonts w:eastAsia="Calibri"/>
          <w:u w:val="single"/>
        </w:rPr>
        <w:t>Desensitized explosives which have been classified in classes 3 or 4 according to the UN Recommendations on the Transport of Dangerous Goods, Model Regulations, and further classified for the GHS according to the criteria of Chapter 2.17.</w:t>
      </w:r>
    </w:p>
    <w:p w:rsidR="00A559F9" w:rsidRPr="002207A7" w:rsidRDefault="000559D0" w:rsidP="002207A7">
      <w:pPr>
        <w:pStyle w:val="SingleTxtG"/>
        <w:ind w:left="1701"/>
        <w:rPr>
          <w:rFonts w:eastAsia="Calibri"/>
          <w:u w:val="single"/>
        </w:rPr>
      </w:pPr>
      <w:r>
        <w:rPr>
          <w:rFonts w:eastAsia="Calibri"/>
          <w:u w:val="single"/>
          <w:lang w:val="fr-CH"/>
        </w:rPr>
        <w:t>-</w:t>
      </w:r>
      <w:r>
        <w:rPr>
          <w:rFonts w:eastAsia="Calibri"/>
          <w:u w:val="single"/>
          <w:lang w:val="fr-CH"/>
        </w:rPr>
        <w:tab/>
      </w:r>
      <w:r w:rsidR="00A559F9" w:rsidRPr="002207A7">
        <w:rPr>
          <w:rFonts w:eastAsia="Calibri"/>
          <w:u w:val="single"/>
        </w:rPr>
        <w:t xml:space="preserve">Substances and mixtures which have not been manufactured with the view to producing an explosive or pyrotechnic effect and which according to UN Recommendations on the Transport of Dangerous Goods, Manual of Tests and </w:t>
      </w:r>
      <w:proofErr w:type="gramStart"/>
      <w:r w:rsidR="00A559F9" w:rsidRPr="002207A7">
        <w:rPr>
          <w:rFonts w:eastAsia="Calibri"/>
          <w:u w:val="single"/>
        </w:rPr>
        <w:t>Criteria:</w:t>
      </w:r>
      <w:proofErr w:type="gramEnd"/>
    </w:p>
    <w:p w:rsidR="00A559F9" w:rsidRPr="002207A7" w:rsidRDefault="000559D0" w:rsidP="000559D0">
      <w:pPr>
        <w:pStyle w:val="SingleTxtG"/>
        <w:ind w:left="2268"/>
        <w:rPr>
          <w:rFonts w:eastAsia="Calibri"/>
          <w:u w:val="single"/>
        </w:rPr>
      </w:pPr>
      <w:r>
        <w:rPr>
          <w:rFonts w:eastAsia="Calibri"/>
          <w:u w:val="single"/>
          <w:lang w:val="fr-CH"/>
        </w:rPr>
        <w:t>-</w:t>
      </w:r>
      <w:r>
        <w:rPr>
          <w:rFonts w:eastAsia="Calibri"/>
          <w:u w:val="single"/>
          <w:lang w:val="fr-CH"/>
        </w:rPr>
        <w:tab/>
      </w:r>
      <w:r w:rsidR="00A559F9" w:rsidRPr="002207A7">
        <w:rPr>
          <w:rFonts w:eastAsia="Calibri"/>
          <w:u w:val="single"/>
        </w:rPr>
        <w:t xml:space="preserve">are deemed not to have explosive properties on basis of the screening procedures in Appendix </w:t>
      </w:r>
      <w:proofErr w:type="gramStart"/>
      <w:r w:rsidR="00A559F9" w:rsidRPr="002207A7">
        <w:rPr>
          <w:rFonts w:eastAsia="Calibri"/>
          <w:u w:val="single"/>
        </w:rPr>
        <w:t>6;</w:t>
      </w:r>
      <w:proofErr w:type="gramEnd"/>
    </w:p>
    <w:p w:rsidR="00A559F9" w:rsidRPr="002207A7" w:rsidRDefault="000559D0" w:rsidP="000559D0">
      <w:pPr>
        <w:pStyle w:val="SingleTxtG"/>
        <w:ind w:left="2268"/>
        <w:rPr>
          <w:rFonts w:eastAsia="Calibri"/>
          <w:u w:val="single"/>
        </w:rPr>
      </w:pPr>
      <w:r>
        <w:rPr>
          <w:rFonts w:eastAsia="Calibri"/>
          <w:u w:val="single"/>
          <w:lang w:val="fr-CH"/>
        </w:rPr>
        <w:t>-</w:t>
      </w:r>
      <w:r>
        <w:rPr>
          <w:rFonts w:eastAsia="Calibri"/>
          <w:u w:val="single"/>
          <w:lang w:val="fr-CH"/>
        </w:rPr>
        <w:tab/>
      </w:r>
      <w:r w:rsidR="00A559F9" w:rsidRPr="002207A7">
        <w:rPr>
          <w:rFonts w:eastAsia="Calibri"/>
          <w:u w:val="single"/>
        </w:rPr>
        <w:t xml:space="preserve">do not have explosive properties according to Test Series 1 </w:t>
      </w:r>
      <w:proofErr w:type="gramStart"/>
      <w:r w:rsidR="00A559F9" w:rsidRPr="002207A7">
        <w:rPr>
          <w:rFonts w:eastAsia="Calibri"/>
          <w:u w:val="single"/>
        </w:rPr>
        <w:t>testing;</w:t>
      </w:r>
      <w:proofErr w:type="gramEnd"/>
      <w:r w:rsidR="00A559F9" w:rsidRPr="002207A7">
        <w:rPr>
          <w:rFonts w:eastAsia="Calibri"/>
          <w:u w:val="single"/>
        </w:rPr>
        <w:t xml:space="preserve"> or</w:t>
      </w:r>
    </w:p>
    <w:p w:rsidR="00A559F9" w:rsidRPr="002207A7" w:rsidRDefault="000559D0" w:rsidP="000559D0">
      <w:pPr>
        <w:pStyle w:val="SingleTxtG"/>
        <w:ind w:left="2268"/>
        <w:rPr>
          <w:rFonts w:eastAsia="Calibri"/>
          <w:u w:val="single"/>
        </w:rPr>
      </w:pPr>
      <w:r>
        <w:rPr>
          <w:rFonts w:eastAsia="Calibri"/>
          <w:u w:val="single"/>
          <w:lang w:val="fr-CH"/>
        </w:rPr>
        <w:t>-</w:t>
      </w:r>
      <w:r>
        <w:rPr>
          <w:rFonts w:eastAsia="Calibri"/>
          <w:u w:val="single"/>
          <w:lang w:val="fr-CH"/>
        </w:rPr>
        <w:tab/>
      </w:r>
      <w:r w:rsidR="00A559F9" w:rsidRPr="002207A7">
        <w:rPr>
          <w:rFonts w:eastAsia="Calibri"/>
          <w:u w:val="single"/>
        </w:rPr>
        <w:t>are explosives configured for transport and are excluded from assignment within Class 1 based on results in Test Series 6.</w:t>
      </w:r>
    </w:p>
    <w:p w:rsidR="00A559F9" w:rsidRPr="002207A7" w:rsidRDefault="000559D0" w:rsidP="002207A7">
      <w:pPr>
        <w:pStyle w:val="SingleTxtG"/>
        <w:ind w:left="1701"/>
        <w:rPr>
          <w:rFonts w:eastAsia="Calibri"/>
          <w:u w:val="single"/>
        </w:rPr>
      </w:pPr>
      <w:r>
        <w:rPr>
          <w:rFonts w:eastAsia="Calibri"/>
          <w:u w:val="single"/>
          <w:lang w:val="fr-CH"/>
        </w:rPr>
        <w:t>-</w:t>
      </w:r>
      <w:r>
        <w:rPr>
          <w:rFonts w:eastAsia="Calibri"/>
          <w:u w:val="single"/>
          <w:lang w:val="fr-CH"/>
        </w:rPr>
        <w:tab/>
      </w:r>
      <w:r w:rsidR="00A559F9" w:rsidRPr="002207A7">
        <w:rPr>
          <w:rFonts w:eastAsia="Calibri"/>
          <w:u w:val="single"/>
        </w:rPr>
        <w:t>Explosives configured for transport that are classified outside of Class 1 or are not regulated according to Sections 3.2 and 3.3 of the UN Recommendations of the Transport of Dangerous Goods, Model Regulations.</w:t>
      </w:r>
    </w:p>
    <w:p w:rsidR="00A559F9" w:rsidRPr="002A2A92" w:rsidRDefault="000559D0" w:rsidP="000559D0">
      <w:pPr>
        <w:pStyle w:val="H23G"/>
        <w:rPr>
          <w:rFonts w:eastAsia="Calibri"/>
        </w:rPr>
      </w:pPr>
      <w:r>
        <w:rPr>
          <w:rFonts w:eastAsia="Calibri"/>
        </w:rPr>
        <w:tab/>
      </w:r>
      <w:r>
        <w:rPr>
          <w:rFonts w:eastAsia="Calibri"/>
        </w:rPr>
        <w:tab/>
      </w:r>
      <w:r w:rsidR="00A559F9" w:rsidRPr="002A2A92">
        <w:rPr>
          <w:rFonts w:eastAsia="Calibri"/>
        </w:rPr>
        <w:t xml:space="preserve">2.1.2 </w:t>
      </w:r>
      <w:r w:rsidR="00A559F9" w:rsidRPr="002A2A92">
        <w:rPr>
          <w:rFonts w:eastAsia="Calibri"/>
        </w:rPr>
        <w:tab/>
      </w:r>
      <w:r w:rsidR="00A559F9" w:rsidRPr="002A2A92">
        <w:rPr>
          <w:rFonts w:eastAsia="Calibri"/>
        </w:rPr>
        <w:tab/>
        <w:t>Classification criteria</w:t>
      </w:r>
    </w:p>
    <w:p w:rsidR="00A559F9" w:rsidRPr="002A2A92" w:rsidRDefault="00A559F9" w:rsidP="000559D0">
      <w:pPr>
        <w:pStyle w:val="SingleTxtG"/>
        <w:rPr>
          <w:rFonts w:eastAsia="Calibri"/>
        </w:rPr>
      </w:pPr>
      <w:r w:rsidRPr="000559D0">
        <w:rPr>
          <w:rFonts w:eastAsia="Calibri"/>
          <w:b/>
          <w:u w:val="single"/>
        </w:rPr>
        <w:t>2.1.2.1</w:t>
      </w:r>
      <w:r w:rsidRPr="000559D0">
        <w:rPr>
          <w:rFonts w:eastAsia="Calibri"/>
          <w:u w:val="single"/>
        </w:rPr>
        <w:t xml:space="preserve"> </w:t>
      </w:r>
      <w:r w:rsidRPr="000559D0">
        <w:rPr>
          <w:rFonts w:eastAsia="Calibri"/>
          <w:u w:val="single"/>
        </w:rPr>
        <w:tab/>
        <w:t>Explosive substances, mixtures and articles of this class are classified into one of two categories according to following table</w:t>
      </w:r>
      <w:r w:rsidRPr="002A2A92">
        <w:rPr>
          <w:rFonts w:eastAsia="Calibri"/>
        </w:rPr>
        <w:t>.</w:t>
      </w:r>
    </w:p>
    <w:tbl>
      <w:tblPr>
        <w:tblStyle w:val="TableGrid10"/>
        <w:tblpPr w:leftFromText="180" w:rightFromText="180" w:vertAnchor="text" w:horzAnchor="page" w:tblpX="1712" w:tblpY="258"/>
        <w:tblW w:w="8500" w:type="dxa"/>
        <w:tblLook w:val="04A0" w:firstRow="1" w:lastRow="0" w:firstColumn="1" w:lastColumn="0" w:noHBand="0" w:noVBand="1"/>
      </w:tblPr>
      <w:tblGrid>
        <w:gridCol w:w="1084"/>
        <w:gridCol w:w="7416"/>
      </w:tblGrid>
      <w:tr w:rsidR="00A559F9" w:rsidRPr="000559D0" w:rsidTr="000559D0">
        <w:tc>
          <w:tcPr>
            <w:tcW w:w="1084" w:type="dxa"/>
          </w:tcPr>
          <w:p w:rsidR="00A559F9" w:rsidRPr="000559D0" w:rsidRDefault="00A559F9" w:rsidP="000559D0">
            <w:pPr>
              <w:suppressAutoHyphens w:val="0"/>
              <w:spacing w:after="160" w:line="259" w:lineRule="auto"/>
              <w:jc w:val="center"/>
              <w:rPr>
                <w:rFonts w:ascii="Times New Roman" w:hAnsi="Times New Roman"/>
                <w:b/>
                <w:color w:val="000000"/>
                <w:sz w:val="20"/>
                <w:szCs w:val="20"/>
                <w:u w:val="single"/>
              </w:rPr>
            </w:pPr>
            <w:r w:rsidRPr="000559D0">
              <w:rPr>
                <w:rFonts w:ascii="Times New Roman" w:hAnsi="Times New Roman"/>
                <w:b/>
                <w:color w:val="000000"/>
                <w:sz w:val="20"/>
                <w:szCs w:val="20"/>
                <w:u w:val="single"/>
              </w:rPr>
              <w:t>Category</w:t>
            </w:r>
          </w:p>
        </w:tc>
        <w:tc>
          <w:tcPr>
            <w:tcW w:w="7416" w:type="dxa"/>
          </w:tcPr>
          <w:p w:rsidR="00A559F9" w:rsidRPr="000559D0" w:rsidRDefault="00A559F9" w:rsidP="000559D0">
            <w:pPr>
              <w:suppressAutoHyphens w:val="0"/>
              <w:spacing w:after="160" w:line="259" w:lineRule="auto"/>
              <w:jc w:val="center"/>
              <w:rPr>
                <w:rFonts w:ascii="Times New Roman" w:hAnsi="Times New Roman"/>
                <w:b/>
                <w:color w:val="000000"/>
                <w:sz w:val="20"/>
                <w:szCs w:val="20"/>
                <w:u w:val="single"/>
              </w:rPr>
            </w:pPr>
            <w:r w:rsidRPr="000559D0">
              <w:rPr>
                <w:rFonts w:ascii="Times New Roman" w:hAnsi="Times New Roman"/>
                <w:b/>
                <w:color w:val="000000"/>
                <w:sz w:val="20"/>
                <w:szCs w:val="20"/>
                <w:u w:val="single"/>
              </w:rPr>
              <w:t>Criteria</w:t>
            </w:r>
          </w:p>
        </w:tc>
      </w:tr>
      <w:tr w:rsidR="00A559F9" w:rsidRPr="000559D0" w:rsidTr="000559D0">
        <w:tc>
          <w:tcPr>
            <w:tcW w:w="1084" w:type="dxa"/>
          </w:tcPr>
          <w:p w:rsidR="00A559F9" w:rsidRPr="000559D0" w:rsidRDefault="00A559F9" w:rsidP="000559D0">
            <w:pPr>
              <w:suppressAutoHyphens w:val="0"/>
              <w:spacing w:after="160" w:line="259" w:lineRule="auto"/>
              <w:jc w:val="center"/>
              <w:rPr>
                <w:rFonts w:ascii="Times New Roman" w:hAnsi="Times New Roman"/>
                <w:b/>
                <w:color w:val="000000"/>
                <w:sz w:val="20"/>
                <w:szCs w:val="20"/>
                <w:u w:val="single"/>
              </w:rPr>
            </w:pPr>
            <w:r w:rsidRPr="000559D0">
              <w:rPr>
                <w:rFonts w:ascii="Times New Roman" w:hAnsi="Times New Roman"/>
                <w:b/>
                <w:color w:val="000000"/>
                <w:sz w:val="20"/>
                <w:szCs w:val="20"/>
                <w:u w:val="single"/>
              </w:rPr>
              <w:t>1</w:t>
            </w:r>
          </w:p>
        </w:tc>
        <w:tc>
          <w:tcPr>
            <w:tcW w:w="7416" w:type="dxa"/>
          </w:tcPr>
          <w:p w:rsidR="00A559F9" w:rsidRPr="000559D0" w:rsidRDefault="00A559F9" w:rsidP="000559D0">
            <w:pPr>
              <w:suppressAutoHyphens w:val="0"/>
              <w:spacing w:after="160" w:line="259" w:lineRule="auto"/>
              <w:rPr>
                <w:rFonts w:ascii="Times New Roman" w:hAnsi="Times New Roman"/>
                <w:color w:val="000000"/>
                <w:sz w:val="20"/>
                <w:szCs w:val="20"/>
                <w:u w:val="single"/>
              </w:rPr>
            </w:pPr>
            <w:r w:rsidRPr="000559D0">
              <w:rPr>
                <w:rFonts w:ascii="Times New Roman" w:hAnsi="Times New Roman"/>
                <w:color w:val="000000"/>
                <w:sz w:val="20"/>
                <w:szCs w:val="20"/>
                <w:u w:val="single"/>
              </w:rPr>
              <w:t>Explosive substances, mixtures, and articles that have not been configured for transport and have not been assigned to a division within Class 1.</w:t>
            </w:r>
          </w:p>
        </w:tc>
      </w:tr>
      <w:tr w:rsidR="00A559F9" w:rsidRPr="000559D0" w:rsidTr="000559D0">
        <w:tc>
          <w:tcPr>
            <w:tcW w:w="1084" w:type="dxa"/>
          </w:tcPr>
          <w:p w:rsidR="00A559F9" w:rsidRPr="000559D0" w:rsidRDefault="00A559F9" w:rsidP="000559D0">
            <w:pPr>
              <w:suppressAutoHyphens w:val="0"/>
              <w:spacing w:after="160" w:line="259" w:lineRule="auto"/>
              <w:jc w:val="center"/>
              <w:rPr>
                <w:rFonts w:ascii="Times New Roman" w:hAnsi="Times New Roman"/>
                <w:b/>
                <w:color w:val="000000"/>
                <w:sz w:val="20"/>
                <w:szCs w:val="20"/>
                <w:u w:val="single"/>
              </w:rPr>
            </w:pPr>
            <w:r w:rsidRPr="000559D0">
              <w:rPr>
                <w:rFonts w:ascii="Times New Roman" w:hAnsi="Times New Roman"/>
                <w:b/>
                <w:color w:val="000000"/>
                <w:sz w:val="20"/>
                <w:szCs w:val="20"/>
                <w:u w:val="single"/>
              </w:rPr>
              <w:t>2</w:t>
            </w:r>
          </w:p>
        </w:tc>
        <w:tc>
          <w:tcPr>
            <w:tcW w:w="7416" w:type="dxa"/>
          </w:tcPr>
          <w:p w:rsidR="00A559F9" w:rsidRPr="000559D0" w:rsidRDefault="00A559F9" w:rsidP="000559D0">
            <w:pPr>
              <w:suppressAutoHyphens w:val="0"/>
              <w:spacing w:after="160" w:line="259" w:lineRule="auto"/>
              <w:rPr>
                <w:rFonts w:ascii="Times New Roman" w:hAnsi="Times New Roman"/>
                <w:color w:val="000000"/>
                <w:sz w:val="20"/>
                <w:szCs w:val="20"/>
                <w:u w:val="single"/>
              </w:rPr>
            </w:pPr>
            <w:r w:rsidRPr="000559D0">
              <w:rPr>
                <w:rFonts w:ascii="Times New Roman" w:hAnsi="Times New Roman"/>
                <w:color w:val="000000"/>
                <w:sz w:val="20"/>
                <w:szCs w:val="20"/>
                <w:u w:val="single"/>
              </w:rPr>
              <w:t>Explosive substances, mixtures, and articles that have been configured for transport and assigned to a division within Class 1.</w:t>
            </w:r>
          </w:p>
        </w:tc>
      </w:tr>
    </w:tbl>
    <w:p w:rsidR="00A559F9" w:rsidRPr="002A2A92" w:rsidRDefault="00A559F9" w:rsidP="00A559F9">
      <w:pPr>
        <w:suppressAutoHyphens w:val="0"/>
        <w:spacing w:after="160" w:line="259" w:lineRule="auto"/>
        <w:ind w:left="-360" w:right="-468"/>
        <w:rPr>
          <w:rFonts w:eastAsia="Calibri"/>
          <w:color w:val="000000"/>
          <w:u w:val="single"/>
        </w:rPr>
      </w:pPr>
    </w:p>
    <w:p w:rsidR="00A559F9" w:rsidRPr="000559D0" w:rsidRDefault="00A559F9" w:rsidP="000559D0">
      <w:pPr>
        <w:pStyle w:val="SingleTxtG"/>
        <w:rPr>
          <w:rFonts w:eastAsia="Calibri"/>
          <w:i/>
          <w:iCs/>
          <w:u w:val="single"/>
        </w:rPr>
      </w:pPr>
      <w:r w:rsidRPr="000559D0">
        <w:rPr>
          <w:rFonts w:eastAsia="Calibri"/>
          <w:i/>
          <w:iCs/>
          <w:u w:val="single"/>
        </w:rPr>
        <w:t xml:space="preserve">Note: Assignment of explosives to a category proceeds in sequence with their life cycle and lessening potential hazard. </w:t>
      </w:r>
    </w:p>
    <w:p w:rsidR="00A559F9" w:rsidRPr="002A2A92" w:rsidRDefault="00A559F9" w:rsidP="002A2A92">
      <w:pPr>
        <w:suppressAutoHyphens w:val="0"/>
        <w:spacing w:after="160" w:line="259" w:lineRule="auto"/>
        <w:ind w:right="-468"/>
        <w:rPr>
          <w:rFonts w:eastAsia="Calibri"/>
          <w:i/>
          <w:color w:val="000000"/>
          <w:u w:val="single"/>
        </w:rPr>
      </w:pPr>
    </w:p>
    <w:p w:rsidR="00A559F9" w:rsidRPr="002A2A92" w:rsidRDefault="000559D0" w:rsidP="000559D0">
      <w:pPr>
        <w:pStyle w:val="H23G"/>
        <w:rPr>
          <w:rFonts w:eastAsia="Calibri"/>
        </w:rPr>
      </w:pPr>
      <w:r>
        <w:rPr>
          <w:rFonts w:eastAsia="Calibri"/>
        </w:rPr>
        <w:lastRenderedPageBreak/>
        <w:tab/>
      </w:r>
      <w:r>
        <w:rPr>
          <w:rFonts w:eastAsia="Calibri"/>
        </w:rPr>
        <w:tab/>
      </w:r>
      <w:r w:rsidR="00A559F9" w:rsidRPr="000559D0">
        <w:rPr>
          <w:rFonts w:eastAsia="Calibri"/>
          <w:u w:val="single"/>
        </w:rPr>
        <w:t>2.1.2.2</w:t>
      </w:r>
      <w:r w:rsidR="00A559F9" w:rsidRPr="002A2A92">
        <w:rPr>
          <w:rFonts w:eastAsia="Calibri"/>
        </w:rPr>
        <w:tab/>
      </w:r>
      <w:r w:rsidR="00A559F9" w:rsidRPr="002A2A92">
        <w:rPr>
          <w:rFonts w:eastAsia="Calibri"/>
        </w:rPr>
        <w:tab/>
      </w:r>
      <w:r w:rsidR="00A559F9" w:rsidRPr="000559D0">
        <w:rPr>
          <w:rFonts w:eastAsia="Calibri"/>
          <w:u w:val="single"/>
        </w:rPr>
        <w:t>Category 1</w:t>
      </w:r>
    </w:p>
    <w:p w:rsidR="00A559F9" w:rsidRPr="000559D0" w:rsidRDefault="00A559F9" w:rsidP="000559D0">
      <w:pPr>
        <w:pStyle w:val="SingleTxtG"/>
        <w:rPr>
          <w:rFonts w:eastAsia="Calibri"/>
          <w:u w:val="single"/>
        </w:rPr>
      </w:pPr>
      <w:r w:rsidRPr="000559D0">
        <w:rPr>
          <w:rFonts w:eastAsia="Calibri"/>
          <w:u w:val="single"/>
        </w:rPr>
        <w:t xml:space="preserve">Category 1 comprises explosives in scenarios of unknown or varying hazard and sensitivity.  Hazard communication should accommodate the results of hazards analysis and risk management outside the scope of the GHS. These explosives include: </w:t>
      </w:r>
    </w:p>
    <w:p w:rsidR="00A559F9" w:rsidRPr="000559D0" w:rsidRDefault="00A559F9" w:rsidP="000559D0">
      <w:pPr>
        <w:pStyle w:val="SingleTxtG"/>
        <w:rPr>
          <w:rFonts w:eastAsia="Calibri"/>
          <w:u w:val="single"/>
        </w:rPr>
      </w:pPr>
      <w:r w:rsidRPr="000559D0">
        <w:rPr>
          <w:rFonts w:eastAsia="Calibri"/>
          <w:u w:val="single"/>
        </w:rPr>
        <w:t xml:space="preserve">a) </w:t>
      </w:r>
      <w:r w:rsidRPr="000559D0">
        <w:rPr>
          <w:rFonts w:eastAsia="Calibri"/>
          <w:u w:val="single"/>
        </w:rPr>
        <w:tab/>
        <w:t>explosives that have not proceeded through the GHS classification process to a classification of the particular configuration either in Category 2 or outside of the class of explosives, and which are:</w:t>
      </w:r>
    </w:p>
    <w:p w:rsidR="00A559F9" w:rsidRPr="000559D0" w:rsidRDefault="00A559F9" w:rsidP="000559D0">
      <w:pPr>
        <w:pStyle w:val="SingleTxtG"/>
        <w:ind w:left="1701"/>
        <w:rPr>
          <w:rFonts w:eastAsia="Calibri"/>
          <w:u w:val="single"/>
        </w:rPr>
      </w:pPr>
      <w:r w:rsidRPr="000559D0">
        <w:rPr>
          <w:rFonts w:eastAsia="Calibri"/>
          <w:u w:val="single"/>
        </w:rPr>
        <w:t>-</w:t>
      </w:r>
      <w:r w:rsidRPr="000559D0">
        <w:rPr>
          <w:rFonts w:eastAsia="Calibri"/>
          <w:u w:val="single"/>
        </w:rPr>
        <w:tab/>
        <w:t>Substances, mixtures and articles manufactured with the view to producing an explosive or pyrotechnic effect; or</w:t>
      </w:r>
    </w:p>
    <w:p w:rsidR="00A559F9" w:rsidRPr="000559D0" w:rsidRDefault="00A559F9" w:rsidP="000559D0">
      <w:pPr>
        <w:pStyle w:val="SingleTxtG"/>
        <w:ind w:left="1701"/>
        <w:rPr>
          <w:rFonts w:eastAsia="Calibri"/>
          <w:u w:val="single"/>
        </w:rPr>
      </w:pPr>
      <w:r w:rsidRPr="000559D0">
        <w:rPr>
          <w:rFonts w:eastAsia="Calibri"/>
          <w:u w:val="single"/>
        </w:rPr>
        <w:t>-</w:t>
      </w:r>
      <w:r w:rsidRPr="000559D0">
        <w:rPr>
          <w:rFonts w:eastAsia="Calibri"/>
          <w:u w:val="single"/>
        </w:rPr>
        <w:tab/>
        <w:t xml:space="preserve">Substances and mixtures not manufactured with the view to producing an explosive or pyrotechnic effect, that: </w:t>
      </w:r>
    </w:p>
    <w:p w:rsidR="00A559F9" w:rsidRPr="000559D0" w:rsidRDefault="00A559F9" w:rsidP="000559D0">
      <w:pPr>
        <w:pStyle w:val="SingleTxtG"/>
        <w:ind w:left="2268"/>
        <w:rPr>
          <w:rFonts w:eastAsia="Calibri"/>
          <w:u w:val="single"/>
        </w:rPr>
      </w:pPr>
      <w:r w:rsidRPr="000559D0">
        <w:rPr>
          <w:rFonts w:eastAsia="Calibri"/>
          <w:u w:val="single"/>
        </w:rPr>
        <w:t>-</w:t>
      </w:r>
      <w:r w:rsidRPr="000559D0">
        <w:rPr>
          <w:rFonts w:eastAsia="Calibri"/>
          <w:u w:val="single"/>
        </w:rPr>
        <w:tab/>
        <w:t xml:space="preserve">exceed a de minimis quantity of [X] g and have a positive result in Test Series 1 (Section 11 of the </w:t>
      </w:r>
      <w:r w:rsidRPr="000559D0">
        <w:rPr>
          <w:rFonts w:eastAsia="Calibri"/>
          <w:i/>
          <w:u w:val="single"/>
        </w:rPr>
        <w:t>UN Recommendations on the Transport of Dangerous Goods, Manual of Tests and Criteria</w:t>
      </w:r>
      <w:r w:rsidRPr="000559D0">
        <w:rPr>
          <w:rFonts w:eastAsia="Calibri"/>
          <w:u w:val="single"/>
        </w:rPr>
        <w:t>); or</w:t>
      </w:r>
    </w:p>
    <w:p w:rsidR="00A559F9" w:rsidRPr="000559D0" w:rsidRDefault="00A559F9" w:rsidP="000559D0">
      <w:pPr>
        <w:pStyle w:val="SingleTxtG"/>
        <w:ind w:left="2268"/>
        <w:rPr>
          <w:rFonts w:eastAsia="Calibri"/>
          <w:u w:val="single"/>
        </w:rPr>
      </w:pPr>
      <w:r w:rsidRPr="000559D0">
        <w:rPr>
          <w:rFonts w:eastAsia="Calibri"/>
          <w:u w:val="single"/>
        </w:rPr>
        <w:t>-</w:t>
      </w:r>
      <w:r w:rsidRPr="000559D0">
        <w:rPr>
          <w:rFonts w:eastAsia="Calibri"/>
          <w:u w:val="single"/>
        </w:rPr>
        <w:tab/>
        <w:t>are assigned Category 1 based on additional data or considerations.</w:t>
      </w:r>
    </w:p>
    <w:p w:rsidR="00A559F9" w:rsidRPr="000559D0" w:rsidRDefault="00A559F9" w:rsidP="000559D0">
      <w:pPr>
        <w:pStyle w:val="SingleTxtG"/>
        <w:rPr>
          <w:rFonts w:eastAsia="Calibri"/>
          <w:u w:val="single"/>
        </w:rPr>
      </w:pPr>
      <w:r w:rsidRPr="000559D0">
        <w:rPr>
          <w:rFonts w:eastAsia="Calibri"/>
          <w:u w:val="single"/>
        </w:rPr>
        <w:t>b)</w:t>
      </w:r>
      <w:r w:rsidRPr="000559D0">
        <w:rPr>
          <w:rFonts w:eastAsia="Calibri"/>
          <w:u w:val="single"/>
        </w:rPr>
        <w:tab/>
        <w:t>explosives which have been assigned to Category 2, but which are:</w:t>
      </w:r>
    </w:p>
    <w:p w:rsidR="00A559F9" w:rsidRPr="000559D0" w:rsidRDefault="00A559F9" w:rsidP="000559D0">
      <w:pPr>
        <w:pStyle w:val="SingleTxtG"/>
        <w:ind w:left="1701"/>
        <w:rPr>
          <w:rFonts w:eastAsia="Calibri"/>
          <w:u w:val="single"/>
        </w:rPr>
      </w:pPr>
      <w:r w:rsidRPr="000559D0">
        <w:rPr>
          <w:rFonts w:eastAsia="Calibri"/>
          <w:u w:val="single"/>
        </w:rPr>
        <w:t>-</w:t>
      </w:r>
      <w:r w:rsidRPr="000559D0">
        <w:rPr>
          <w:rFonts w:eastAsia="Calibri"/>
          <w:u w:val="single"/>
        </w:rPr>
        <w:tab/>
        <w:t>placed into processes in manufacturing or assembly, restarting the classification cycle; or</w:t>
      </w:r>
    </w:p>
    <w:p w:rsidR="00A559F9" w:rsidRPr="000559D0" w:rsidRDefault="00A559F9" w:rsidP="000559D0">
      <w:pPr>
        <w:pStyle w:val="SingleTxtG"/>
        <w:ind w:left="1701"/>
        <w:rPr>
          <w:rFonts w:eastAsia="Calibri"/>
          <w:u w:val="single"/>
        </w:rPr>
      </w:pPr>
      <w:r w:rsidRPr="000559D0">
        <w:rPr>
          <w:rFonts w:eastAsia="Calibri"/>
          <w:u w:val="single"/>
        </w:rPr>
        <w:t>-</w:t>
      </w:r>
      <w:r w:rsidRPr="000559D0">
        <w:rPr>
          <w:rFonts w:eastAsia="Calibri"/>
          <w:u w:val="single"/>
        </w:rPr>
        <w:tab/>
        <w:t xml:space="preserve">removed from their primary packaging other than when removed for immediate use or for packaging-independent explosive articles. </w:t>
      </w:r>
    </w:p>
    <w:p w:rsidR="00A559F9" w:rsidRPr="002A2A92" w:rsidRDefault="000559D0" w:rsidP="000559D0">
      <w:pPr>
        <w:pStyle w:val="H23G"/>
        <w:rPr>
          <w:rFonts w:eastAsia="Calibri"/>
          <w:strike/>
        </w:rPr>
      </w:pPr>
      <w:r>
        <w:rPr>
          <w:rFonts w:eastAsia="Calibri"/>
        </w:rPr>
        <w:tab/>
      </w:r>
      <w:r>
        <w:rPr>
          <w:rFonts w:eastAsia="Calibri"/>
        </w:rPr>
        <w:tab/>
      </w:r>
      <w:r w:rsidR="00A559F9" w:rsidRPr="000559D0">
        <w:rPr>
          <w:rFonts w:eastAsia="Calibri"/>
          <w:u w:val="single"/>
        </w:rPr>
        <w:t>2.1.2.3</w:t>
      </w:r>
      <w:r w:rsidR="00A559F9" w:rsidRPr="000559D0">
        <w:rPr>
          <w:rFonts w:eastAsia="Calibri"/>
          <w:u w:val="single"/>
        </w:rPr>
        <w:tab/>
      </w:r>
      <w:r w:rsidR="00A559F9" w:rsidRPr="002A2A92">
        <w:rPr>
          <w:rFonts w:eastAsia="Calibri"/>
        </w:rPr>
        <w:tab/>
      </w:r>
      <w:r w:rsidR="00A559F9" w:rsidRPr="000559D0">
        <w:rPr>
          <w:rFonts w:eastAsia="Calibri"/>
          <w:u w:val="single"/>
        </w:rPr>
        <w:t>Category 2</w:t>
      </w:r>
    </w:p>
    <w:p w:rsidR="00A559F9" w:rsidRPr="000559D0" w:rsidRDefault="00A559F9" w:rsidP="000559D0">
      <w:pPr>
        <w:pStyle w:val="SingleTxtG"/>
        <w:rPr>
          <w:rFonts w:eastAsia="Calibri"/>
          <w:strike/>
        </w:rPr>
      </w:pPr>
      <w:r w:rsidRPr="000559D0">
        <w:rPr>
          <w:rFonts w:eastAsia="Calibri"/>
          <w:strike/>
        </w:rPr>
        <w:t xml:space="preserve">2.1.2.1 </w:t>
      </w:r>
      <w:r w:rsidRPr="000559D0">
        <w:rPr>
          <w:rFonts w:eastAsia="Calibri"/>
          <w:strike/>
        </w:rPr>
        <w:tab/>
        <w:t>Substances, mixtures and articles of this class, which are not classified as an unstable explosive, are assigned to one of the following six divisions depending on the type of hazard they present:</w:t>
      </w:r>
    </w:p>
    <w:p w:rsidR="00A559F9" w:rsidRPr="000559D0" w:rsidRDefault="00A559F9" w:rsidP="000559D0">
      <w:pPr>
        <w:pStyle w:val="SingleTxtG"/>
        <w:rPr>
          <w:rFonts w:eastAsia="Calibri"/>
          <w:lang w:val="en-GB"/>
        </w:rPr>
      </w:pPr>
      <w:r w:rsidRPr="000559D0">
        <w:rPr>
          <w:rFonts w:eastAsia="Calibri"/>
          <w:u w:val="single"/>
        </w:rPr>
        <w:t xml:space="preserve">2.1.2.3.1 </w:t>
      </w:r>
      <w:r w:rsidRPr="000559D0">
        <w:rPr>
          <w:rFonts w:eastAsia="Calibri"/>
          <w:b/>
          <w:u w:val="single"/>
        </w:rPr>
        <w:tab/>
      </w:r>
      <w:r w:rsidRPr="000559D0">
        <w:rPr>
          <w:rFonts w:eastAsia="Calibri"/>
          <w:u w:val="single"/>
        </w:rPr>
        <w:t xml:space="preserve">Candidates for classification in Category 2 are first placed in a division of Class 1 </w:t>
      </w:r>
      <w:r w:rsidRPr="000559D0">
        <w:rPr>
          <w:rFonts w:eastAsia="Calibri"/>
          <w:i/>
          <w:u w:val="single"/>
        </w:rPr>
        <w:t>(see UN Recommendations on the Transport of Dangerous Goods, Model Regulations, Chapter 2.1)</w:t>
      </w:r>
      <w:r w:rsidRPr="000559D0">
        <w:rPr>
          <w:rFonts w:eastAsia="Calibri"/>
          <w:u w:val="single"/>
        </w:rPr>
        <w:t xml:space="preserve">. For those substances, mixtures, and articles assigned to Class 1, the divisions describe the explosive hazard of the configuration as presented for classification. The classification is frequently only valid in that particular configuration, and modifications may require additional classification. </w:t>
      </w:r>
    </w:p>
    <w:p w:rsidR="00A559F9" w:rsidRPr="002A2A92" w:rsidRDefault="00A559F9" w:rsidP="000559D0">
      <w:pPr>
        <w:pStyle w:val="SingleTxtG"/>
        <w:ind w:left="1701"/>
        <w:rPr>
          <w:rFonts w:eastAsia="Calibri"/>
        </w:rPr>
      </w:pPr>
      <w:r w:rsidRPr="002A2A92">
        <w:rPr>
          <w:rFonts w:eastAsia="Calibri"/>
        </w:rPr>
        <w:t xml:space="preserve">(a) </w:t>
      </w:r>
      <w:r w:rsidRPr="002A2A92">
        <w:rPr>
          <w:rFonts w:eastAsia="Calibri"/>
        </w:rPr>
        <w:tab/>
        <w:t xml:space="preserve">Division 1.1 </w:t>
      </w:r>
      <w:r w:rsidRPr="002A2A92">
        <w:rPr>
          <w:rFonts w:eastAsia="Calibri"/>
        </w:rPr>
        <w:tab/>
        <w:t>Substances, mixtures and articles which have a mass explosion hazard (a mass explosion is one which affects almost the entire quantity present virtually instantaneously);</w:t>
      </w:r>
    </w:p>
    <w:p w:rsidR="00A559F9" w:rsidRPr="002A2A92" w:rsidRDefault="00A559F9" w:rsidP="000559D0">
      <w:pPr>
        <w:pStyle w:val="SingleTxtG"/>
        <w:ind w:left="1701"/>
        <w:rPr>
          <w:rFonts w:eastAsia="Calibri"/>
        </w:rPr>
      </w:pPr>
      <w:r w:rsidRPr="002A2A92">
        <w:rPr>
          <w:rFonts w:eastAsia="Calibri"/>
        </w:rPr>
        <w:t xml:space="preserve">(b) </w:t>
      </w:r>
      <w:r w:rsidRPr="002A2A92">
        <w:rPr>
          <w:rFonts w:eastAsia="Calibri"/>
        </w:rPr>
        <w:tab/>
        <w:t xml:space="preserve">Division 1.2 </w:t>
      </w:r>
      <w:r w:rsidRPr="002A2A92">
        <w:rPr>
          <w:rFonts w:eastAsia="Calibri"/>
        </w:rPr>
        <w:tab/>
        <w:t>Substances, mixtures and articles which have a projection hazard but not a mass explosion hazard;</w:t>
      </w:r>
    </w:p>
    <w:p w:rsidR="00A559F9" w:rsidRPr="002A2A92" w:rsidRDefault="00A559F9" w:rsidP="000559D0">
      <w:pPr>
        <w:pStyle w:val="SingleTxtG"/>
        <w:ind w:left="1701"/>
        <w:rPr>
          <w:rFonts w:eastAsia="Calibri"/>
        </w:rPr>
      </w:pPr>
      <w:r w:rsidRPr="002A2A92">
        <w:rPr>
          <w:rFonts w:eastAsia="Calibri"/>
        </w:rPr>
        <w:t xml:space="preserve">(c) </w:t>
      </w:r>
      <w:r w:rsidRPr="002A2A92">
        <w:rPr>
          <w:rFonts w:eastAsia="Calibri"/>
        </w:rPr>
        <w:tab/>
        <w:t xml:space="preserve">Division 1.3 </w:t>
      </w:r>
      <w:r w:rsidRPr="002A2A92">
        <w:rPr>
          <w:rFonts w:eastAsia="Calibri"/>
        </w:rPr>
        <w:tab/>
        <w:t>Substances, mixtures and articles which have a fire hazard and either a minor blast hazard or a minor projection hazard or both, but not a mass explosion hazard:</w:t>
      </w:r>
    </w:p>
    <w:p w:rsidR="00A559F9" w:rsidRPr="002A2A92" w:rsidRDefault="00A559F9" w:rsidP="000559D0">
      <w:pPr>
        <w:pStyle w:val="SingleTxtG"/>
        <w:ind w:left="2268"/>
        <w:rPr>
          <w:rFonts w:eastAsia="Calibri"/>
        </w:rPr>
      </w:pPr>
      <w:r w:rsidRPr="002A2A92">
        <w:rPr>
          <w:rFonts w:eastAsia="Calibri"/>
        </w:rPr>
        <w:tab/>
        <w:t>(</w:t>
      </w:r>
      <w:proofErr w:type="spellStart"/>
      <w:r w:rsidRPr="002A2A92">
        <w:rPr>
          <w:rFonts w:eastAsia="Calibri"/>
        </w:rPr>
        <w:t>i</w:t>
      </w:r>
      <w:proofErr w:type="spellEnd"/>
      <w:r w:rsidRPr="002A2A92">
        <w:rPr>
          <w:rFonts w:eastAsia="Calibri"/>
        </w:rPr>
        <w:t xml:space="preserve">) </w:t>
      </w:r>
      <w:r w:rsidR="000559D0">
        <w:rPr>
          <w:rFonts w:eastAsia="Calibri"/>
        </w:rPr>
        <w:tab/>
      </w:r>
      <w:r w:rsidRPr="002A2A92">
        <w:rPr>
          <w:rFonts w:eastAsia="Calibri"/>
        </w:rPr>
        <w:t>combustion of which give rise to considerable radiant heat; or</w:t>
      </w:r>
    </w:p>
    <w:p w:rsidR="00A559F9" w:rsidRPr="002A2A92" w:rsidRDefault="00A559F9" w:rsidP="000559D0">
      <w:pPr>
        <w:pStyle w:val="SingleTxtG"/>
        <w:ind w:left="2835" w:hanging="567"/>
        <w:rPr>
          <w:rFonts w:eastAsia="Calibri"/>
        </w:rPr>
      </w:pPr>
      <w:r w:rsidRPr="002A2A92">
        <w:rPr>
          <w:rFonts w:eastAsia="Calibri"/>
        </w:rPr>
        <w:t xml:space="preserve">(ii) </w:t>
      </w:r>
      <w:r w:rsidR="000559D0">
        <w:rPr>
          <w:rFonts w:eastAsia="Calibri"/>
        </w:rPr>
        <w:tab/>
      </w:r>
      <w:r w:rsidRPr="002A2A92">
        <w:rPr>
          <w:rFonts w:eastAsia="Calibri"/>
        </w:rPr>
        <w:t>which burn one after another, producing minor blast or projection effects or both;</w:t>
      </w:r>
    </w:p>
    <w:p w:rsidR="00A559F9" w:rsidRPr="002A2A92" w:rsidRDefault="00A559F9" w:rsidP="000559D0">
      <w:pPr>
        <w:pStyle w:val="SingleTxtG"/>
        <w:ind w:left="1701"/>
        <w:rPr>
          <w:rFonts w:eastAsia="Calibri"/>
        </w:rPr>
      </w:pPr>
      <w:r w:rsidRPr="002A2A92">
        <w:rPr>
          <w:rFonts w:eastAsia="Calibri"/>
        </w:rPr>
        <w:t xml:space="preserve">(d) </w:t>
      </w:r>
      <w:r w:rsidRPr="002A2A92">
        <w:rPr>
          <w:rFonts w:eastAsia="Calibri"/>
        </w:rPr>
        <w:tab/>
        <w:t xml:space="preserve">Division 1.4 </w:t>
      </w:r>
      <w:r w:rsidRPr="002A2A92">
        <w:rPr>
          <w:rFonts w:eastAsia="Calibri"/>
        </w:rPr>
        <w:tab/>
        <w:t xml:space="preserve">Substances and articles which present no significant hazard: substances, mixtures and articles which present only a small hazard in the event of ignition or initiation. The effects are largely confined to the package and no projection </w:t>
      </w:r>
      <w:r w:rsidRPr="002A2A92">
        <w:rPr>
          <w:rFonts w:eastAsia="Calibri"/>
        </w:rPr>
        <w:lastRenderedPageBreak/>
        <w:t>of fragments of appreciable size or range is to be expected. An external fire shall not cause virtually instantaneous explosion of almost the entire contents of the package;</w:t>
      </w:r>
    </w:p>
    <w:p w:rsidR="00A559F9" w:rsidRPr="000559D0" w:rsidRDefault="00A559F9" w:rsidP="000559D0">
      <w:pPr>
        <w:pStyle w:val="SingleTxtG"/>
        <w:ind w:left="1701"/>
        <w:rPr>
          <w:rFonts w:eastAsia="Calibri"/>
          <w:u w:val="single"/>
        </w:rPr>
      </w:pPr>
      <w:r w:rsidRPr="000559D0">
        <w:rPr>
          <w:rFonts w:eastAsia="Calibri"/>
          <w:u w:val="single"/>
        </w:rPr>
        <w:t xml:space="preserve">(e) </w:t>
      </w:r>
      <w:r w:rsidRPr="000559D0">
        <w:rPr>
          <w:rFonts w:eastAsia="Calibri"/>
          <w:u w:val="single"/>
        </w:rPr>
        <w:tab/>
        <w:t xml:space="preserve">Division 1.4 </w:t>
      </w:r>
      <w:r w:rsidRPr="000559D0">
        <w:rPr>
          <w:rFonts w:eastAsia="Calibri"/>
          <w:u w:val="single"/>
        </w:rPr>
        <w:tab/>
        <w:t>Substances, mixtures and articles so packed or designed that any Compatibility</w:t>
      </w:r>
      <w:r w:rsidRPr="000559D0">
        <w:rPr>
          <w:rFonts w:eastAsia="Calibri"/>
          <w:u w:val="single"/>
        </w:rPr>
        <w:tab/>
        <w:t>hazardous effects arising from accidental functioning are confined within Group S</w:t>
      </w:r>
      <w:r w:rsidR="000559D0">
        <w:rPr>
          <w:rFonts w:eastAsia="Calibri"/>
          <w:u w:val="single"/>
          <w:lang w:val="fr-CH"/>
        </w:rPr>
        <w:t xml:space="preserve"> </w:t>
      </w:r>
      <w:r w:rsidRPr="000559D0">
        <w:rPr>
          <w:rFonts w:eastAsia="Calibri"/>
          <w:u w:val="single"/>
        </w:rPr>
        <w:t xml:space="preserve">the package unless the package has been degraded by fire, in which case all blast or projection effects are limited to the extent that they do not </w:t>
      </w:r>
      <w:r w:rsidRPr="000559D0">
        <w:rPr>
          <w:rFonts w:eastAsia="Calibri"/>
          <w:u w:val="single"/>
        </w:rPr>
        <w:tab/>
        <w:t>significantly hinder fire-fighting or other emergency response efforts in the immediate vicinity of the package.</w:t>
      </w:r>
    </w:p>
    <w:p w:rsidR="00A559F9" w:rsidRPr="002A2A92" w:rsidRDefault="00A559F9" w:rsidP="000559D0">
      <w:pPr>
        <w:pStyle w:val="SingleTxtG"/>
        <w:ind w:left="1701"/>
        <w:rPr>
          <w:rFonts w:eastAsia="Calibri"/>
        </w:rPr>
      </w:pPr>
      <w:r w:rsidRPr="002A2A92">
        <w:rPr>
          <w:rFonts w:eastAsia="Calibri"/>
          <w:strike/>
        </w:rPr>
        <w:t>(e)</w:t>
      </w:r>
      <w:r w:rsidRPr="002A2A92">
        <w:rPr>
          <w:rFonts w:eastAsia="Calibri"/>
          <w:u w:val="single"/>
        </w:rPr>
        <w:t>(f)</w:t>
      </w:r>
      <w:r w:rsidRPr="002A2A92">
        <w:rPr>
          <w:rFonts w:eastAsia="Calibri"/>
        </w:rPr>
        <w:t xml:space="preserve"> </w:t>
      </w:r>
      <w:r w:rsidRPr="002A2A92">
        <w:rPr>
          <w:rFonts w:eastAsia="Calibri"/>
        </w:rPr>
        <w:tab/>
        <w:t xml:space="preserve">Division 1.5 </w:t>
      </w:r>
      <w:r w:rsidRPr="002A2A92">
        <w:rPr>
          <w:rFonts w:eastAsia="Calibri"/>
        </w:rPr>
        <w:tab/>
        <w:t xml:space="preserve">Very insensitive substances or mixtures which have a mass explosion hazard: substances and mixtures which have a mass explosion hazard but are so insensitive that there is very little probability of initiation or of transition from burning to detonation under normal conditions. </w:t>
      </w:r>
      <w:r w:rsidRPr="002A2A92">
        <w:rPr>
          <w:rFonts w:eastAsia="Calibri"/>
          <w:u w:val="single"/>
        </w:rPr>
        <w:t xml:space="preserve">The probability of transition from burning to detonation is greater when large quantities are present; </w:t>
      </w:r>
    </w:p>
    <w:p w:rsidR="00A559F9" w:rsidRPr="002A2A92" w:rsidRDefault="00A559F9" w:rsidP="000559D0">
      <w:pPr>
        <w:pStyle w:val="SingleTxtG"/>
        <w:ind w:left="1701"/>
        <w:rPr>
          <w:rFonts w:eastAsia="Calibri"/>
          <w:u w:val="single"/>
        </w:rPr>
      </w:pPr>
      <w:r w:rsidRPr="002A2A92">
        <w:rPr>
          <w:rFonts w:eastAsia="Calibri"/>
          <w:strike/>
        </w:rPr>
        <w:t>(f)</w:t>
      </w:r>
      <w:r w:rsidRPr="002A2A92">
        <w:rPr>
          <w:rFonts w:eastAsia="Calibri"/>
          <w:u w:val="single"/>
        </w:rPr>
        <w:t>(g)</w:t>
      </w:r>
      <w:r w:rsidRPr="002A2A92">
        <w:rPr>
          <w:rFonts w:eastAsia="Calibri"/>
        </w:rPr>
        <w:t xml:space="preserve"> </w:t>
      </w:r>
      <w:r w:rsidRPr="002A2A92">
        <w:rPr>
          <w:rFonts w:eastAsia="Calibri"/>
        </w:rPr>
        <w:tab/>
        <w:t xml:space="preserve">Division 1.6 </w:t>
      </w:r>
      <w:r w:rsidRPr="002A2A92">
        <w:rPr>
          <w:rFonts w:eastAsia="Calibri"/>
        </w:rPr>
        <w:tab/>
        <w:t xml:space="preserve">Extremely insensitive articles which do not have a mass explosion hazard: articles which predominantly contain extremely insensitive substances or mixtures and which demonstrate a negligible probability of accidental initiation or propagation. </w:t>
      </w:r>
      <w:r w:rsidRPr="002A2A92">
        <w:rPr>
          <w:rFonts w:eastAsia="Calibri"/>
          <w:u w:val="single"/>
        </w:rPr>
        <w:t>The hazard from articles of Division 1.6 is limited to the explosion of a single article.</w:t>
      </w:r>
    </w:p>
    <w:p w:rsidR="00A559F9" w:rsidRPr="000559D0" w:rsidRDefault="00A559F9" w:rsidP="000559D0">
      <w:pPr>
        <w:pStyle w:val="SingleTxtG"/>
        <w:rPr>
          <w:rFonts w:eastAsia="Calibri"/>
          <w:u w:val="single"/>
        </w:rPr>
      </w:pPr>
      <w:r w:rsidRPr="000559D0">
        <w:rPr>
          <w:rFonts w:eastAsia="Calibri"/>
          <w:strike/>
          <w:u w:val="single"/>
        </w:rPr>
        <w:t>2.1.2.2</w:t>
      </w:r>
      <w:r w:rsidRPr="000559D0">
        <w:rPr>
          <w:rFonts w:eastAsia="Calibri"/>
          <w:u w:val="single"/>
        </w:rPr>
        <w:t xml:space="preserve"> [The existing section 2.1.2.2 including Table 2.1.1 is deleted, except the notes as edited and renumbered]</w:t>
      </w:r>
    </w:p>
    <w:p w:rsidR="00A559F9" w:rsidRPr="000559D0" w:rsidRDefault="00A559F9" w:rsidP="000559D0">
      <w:pPr>
        <w:pStyle w:val="SingleTxtG"/>
        <w:rPr>
          <w:rFonts w:eastAsia="Calibri"/>
          <w:u w:val="single"/>
        </w:rPr>
      </w:pPr>
      <w:r w:rsidRPr="000559D0">
        <w:rPr>
          <w:rFonts w:eastAsia="Calibri"/>
          <w:b/>
          <w:u w:val="single"/>
        </w:rPr>
        <w:t>NOTE 1:</w:t>
      </w:r>
      <w:r w:rsidRPr="000559D0">
        <w:rPr>
          <w:rFonts w:eastAsia="Calibri"/>
          <w:u w:val="single"/>
        </w:rPr>
        <w:t xml:space="preserve"> </w:t>
      </w:r>
      <w:r w:rsidRPr="000559D0">
        <w:rPr>
          <w:rFonts w:eastAsia="Calibri"/>
          <w:u w:val="single"/>
        </w:rPr>
        <w:tab/>
        <w:t>The divisions are the appropriate classification to be used for storage and licensing considerations while the explosive remains configured for transport; the categories and sub-categories are not designed for this purpose. Additional requirements may be applied in storage regulations to account for scenarios exceeding the environment of transport.</w:t>
      </w:r>
    </w:p>
    <w:p w:rsidR="00A559F9" w:rsidRPr="0055369C" w:rsidRDefault="00A559F9" w:rsidP="0055369C">
      <w:pPr>
        <w:pStyle w:val="SingleTxtG"/>
        <w:rPr>
          <w:rFonts w:eastAsia="Calibri"/>
          <w:i/>
          <w:iCs/>
        </w:rPr>
      </w:pPr>
      <w:r w:rsidRPr="0055369C">
        <w:rPr>
          <w:rFonts w:eastAsia="Calibri"/>
          <w:b/>
          <w:i/>
          <w:iCs/>
        </w:rPr>
        <w:t>NOTE</w:t>
      </w:r>
      <w:r w:rsidRPr="0055369C">
        <w:rPr>
          <w:rFonts w:eastAsia="Calibri"/>
          <w:b/>
          <w:i/>
          <w:iCs/>
          <w:strike/>
          <w:u w:val="single"/>
        </w:rPr>
        <w:t xml:space="preserve"> 1</w:t>
      </w:r>
      <w:r w:rsidRPr="0055369C">
        <w:rPr>
          <w:rFonts w:eastAsia="Calibri"/>
          <w:b/>
          <w:i/>
          <w:iCs/>
          <w:u w:val="single"/>
        </w:rPr>
        <w:t xml:space="preserve"> 2:</w:t>
      </w:r>
      <w:r w:rsidRPr="0055369C">
        <w:rPr>
          <w:rFonts w:eastAsia="Calibri"/>
          <w:i/>
          <w:iCs/>
        </w:rPr>
        <w:t xml:space="preserve"> </w:t>
      </w:r>
      <w:r w:rsidRPr="0055369C">
        <w:rPr>
          <w:rFonts w:eastAsia="Calibri"/>
          <w:i/>
          <w:iCs/>
        </w:rPr>
        <w:tab/>
        <w:t>Explosive substances or mixtures in packaged form and articles may be classified under divisions 1.1 to 1.6 and, for some regulatory purposes, are further subdivided into compatibility groups A to S to distinguish technical requirements (see UN Recommendations on the Transport of Dangerous Goods, Model Regulations, Chapter 2.1).</w:t>
      </w:r>
    </w:p>
    <w:p w:rsidR="00A559F9" w:rsidRPr="0055369C" w:rsidRDefault="00A559F9" w:rsidP="0055369C">
      <w:pPr>
        <w:pStyle w:val="SingleTxtG"/>
        <w:rPr>
          <w:rFonts w:eastAsia="Calibri"/>
          <w:i/>
          <w:iCs/>
        </w:rPr>
      </w:pPr>
      <w:r w:rsidRPr="0055369C">
        <w:rPr>
          <w:rFonts w:eastAsia="Calibri"/>
          <w:b/>
          <w:i/>
          <w:iCs/>
        </w:rPr>
        <w:t>NOTE</w:t>
      </w:r>
      <w:r w:rsidRPr="0055369C">
        <w:rPr>
          <w:rFonts w:eastAsia="Calibri"/>
          <w:b/>
          <w:i/>
          <w:iCs/>
          <w:strike/>
          <w:u w:val="single"/>
        </w:rPr>
        <w:t xml:space="preserve"> 2</w:t>
      </w:r>
      <w:r w:rsidRPr="0055369C">
        <w:rPr>
          <w:rFonts w:eastAsia="Calibri"/>
          <w:b/>
          <w:i/>
          <w:iCs/>
          <w:u w:val="single"/>
        </w:rPr>
        <w:t xml:space="preserve"> 3:</w:t>
      </w:r>
      <w:r w:rsidRPr="0055369C">
        <w:rPr>
          <w:rFonts w:eastAsia="Calibri"/>
          <w:i/>
          <w:iCs/>
        </w:rPr>
        <w:tab/>
        <w:t xml:space="preserve">Some explosive substances and mixtures are </w:t>
      </w:r>
      <w:r w:rsidRPr="0055369C">
        <w:rPr>
          <w:rFonts w:eastAsia="Calibri"/>
          <w:i/>
          <w:iCs/>
          <w:u w:val="single"/>
        </w:rPr>
        <w:t xml:space="preserve">diluted with solids or liquids, or </w:t>
      </w:r>
      <w:r w:rsidRPr="0055369C">
        <w:rPr>
          <w:rFonts w:eastAsia="Calibri"/>
          <w:i/>
          <w:iCs/>
        </w:rPr>
        <w:t xml:space="preserve">wetted with </w:t>
      </w:r>
      <w:r w:rsidRPr="0055369C">
        <w:rPr>
          <w:rFonts w:eastAsia="Calibri"/>
          <w:i/>
          <w:iCs/>
          <w:strike/>
        </w:rPr>
        <w:t>water or alcohols, diluted with other substances</w:t>
      </w:r>
      <w:r w:rsidRPr="0055369C">
        <w:rPr>
          <w:rFonts w:eastAsia="Calibri"/>
          <w:i/>
          <w:iCs/>
        </w:rPr>
        <w:t xml:space="preserve"> or dissolved or suspended in water or other liquid substances to suppress or reduce their explosives properties. They may be a candidate for classification as desensitized explosives (see Chapter 2.17) or may be treated differently from explosive substances and mixtures (as desensitized explosives) for some regulatory purposes (e.g. transport), see 1.3.2.4.5.2.</w:t>
      </w:r>
    </w:p>
    <w:p w:rsidR="002A2A92" w:rsidRPr="0055369C" w:rsidRDefault="002A2A92" w:rsidP="0055369C">
      <w:pPr>
        <w:pStyle w:val="SingleTxtG"/>
        <w:rPr>
          <w:rFonts w:eastAsia="Calibri"/>
          <w:i/>
          <w:iCs/>
          <w:strike/>
        </w:rPr>
      </w:pPr>
      <w:r w:rsidRPr="0055369C">
        <w:rPr>
          <w:rFonts w:eastAsia="Calibri"/>
          <w:b/>
          <w:i/>
          <w:iCs/>
          <w:strike/>
        </w:rPr>
        <w:t>NOTE</w:t>
      </w:r>
      <w:r w:rsidRPr="0055369C">
        <w:rPr>
          <w:rFonts w:eastAsia="Calibri"/>
          <w:b/>
          <w:i/>
          <w:iCs/>
          <w:strike/>
          <w:u w:val="single"/>
        </w:rPr>
        <w:t xml:space="preserve"> 3:</w:t>
      </w:r>
      <w:r w:rsidRPr="0055369C">
        <w:rPr>
          <w:rFonts w:eastAsia="Calibri"/>
          <w:i/>
          <w:iCs/>
          <w:strike/>
        </w:rPr>
        <w:tab/>
        <w:t>For classification tests on solid explosive substances or mixtures, the tests should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or mixture must also be tested in the new form.</w:t>
      </w:r>
    </w:p>
    <w:p w:rsidR="00A559F9" w:rsidRPr="0055369C" w:rsidRDefault="00A559F9" w:rsidP="0055369C">
      <w:pPr>
        <w:pStyle w:val="SingleTxtG"/>
        <w:rPr>
          <w:rFonts w:eastAsia="Calibri"/>
          <w:i/>
          <w:iCs/>
          <w:u w:val="single"/>
        </w:rPr>
      </w:pPr>
      <w:r w:rsidRPr="0055369C">
        <w:rPr>
          <w:rFonts w:eastAsia="Calibri"/>
          <w:b/>
          <w:i/>
          <w:iCs/>
          <w:u w:val="single"/>
        </w:rPr>
        <w:t>NOTE 4</w:t>
      </w:r>
      <w:r w:rsidRPr="0055369C">
        <w:rPr>
          <w:rFonts w:eastAsia="Calibri"/>
          <w:i/>
          <w:iCs/>
          <w:u w:val="single"/>
        </w:rPr>
        <w:t xml:space="preserve">:  </w:t>
      </w:r>
      <w:r w:rsidRPr="0055369C">
        <w:rPr>
          <w:rFonts w:eastAsia="Calibri"/>
          <w:i/>
          <w:iCs/>
          <w:u w:val="single"/>
        </w:rPr>
        <w:tab/>
        <w:t>As noted in section 2.1.1.3, ammonium nitrate emulsions, suspensions, or gels (ANEs) that meet the criteria for classification as Category 2 oxidizing liquids (see Chapter 2.13) or as Category 2 oxidizing solids (see Chapter 2.14) according to Test series 8 of the UN Manual of Tests and Criteria (see Figure 2.1.4) are not included in the class of explosives.   Such ANEs require sensitization to change from an oxidizing solid or liquid into an explosive.</w:t>
      </w:r>
    </w:p>
    <w:p w:rsidR="00A559F9" w:rsidRPr="0055369C" w:rsidRDefault="00A559F9" w:rsidP="0055369C">
      <w:pPr>
        <w:pStyle w:val="SingleTxtG"/>
        <w:rPr>
          <w:rFonts w:eastAsia="Calibri"/>
          <w:u w:val="single"/>
        </w:rPr>
      </w:pPr>
      <w:r w:rsidRPr="0055369C">
        <w:rPr>
          <w:rFonts w:eastAsia="Calibri"/>
          <w:u w:val="single"/>
        </w:rPr>
        <w:t xml:space="preserve">2.1.2.3.2 </w:t>
      </w:r>
      <w:r w:rsidRPr="0055369C">
        <w:rPr>
          <w:rFonts w:eastAsia="Calibri"/>
          <w:u w:val="single"/>
        </w:rPr>
        <w:tab/>
        <w:t>Explosive substances, mixtures, and articles in Category 2 are assigned to one of three sub-categories in accordance with the following table:</w:t>
      </w:r>
    </w:p>
    <w:tbl>
      <w:tblPr>
        <w:tblStyle w:val="TableGrid10"/>
        <w:tblpPr w:leftFromText="180" w:rightFromText="180" w:vertAnchor="text" w:horzAnchor="page" w:tblpX="1150" w:tblpY="167"/>
        <w:tblW w:w="9359" w:type="dxa"/>
        <w:tblLook w:val="04A0" w:firstRow="1" w:lastRow="0" w:firstColumn="1" w:lastColumn="0" w:noHBand="0" w:noVBand="1"/>
      </w:tblPr>
      <w:tblGrid>
        <w:gridCol w:w="1129"/>
        <w:gridCol w:w="8230"/>
      </w:tblGrid>
      <w:tr w:rsidR="00A559F9" w:rsidRPr="0055369C" w:rsidTr="004E60D9">
        <w:tc>
          <w:tcPr>
            <w:tcW w:w="1129" w:type="dxa"/>
          </w:tcPr>
          <w:p w:rsidR="00A559F9" w:rsidRPr="0055369C" w:rsidRDefault="00A559F9" w:rsidP="00A559F9">
            <w:pPr>
              <w:suppressAutoHyphens w:val="0"/>
              <w:spacing w:after="160" w:line="259" w:lineRule="auto"/>
              <w:jc w:val="center"/>
              <w:rPr>
                <w:rFonts w:ascii="Times New Roman" w:hAnsi="Times New Roman"/>
                <w:b/>
                <w:color w:val="000000"/>
                <w:sz w:val="20"/>
                <w:szCs w:val="20"/>
                <w:u w:val="single"/>
              </w:rPr>
            </w:pPr>
            <w:r w:rsidRPr="0055369C">
              <w:rPr>
                <w:rFonts w:ascii="Times New Roman" w:hAnsi="Times New Roman"/>
                <w:b/>
                <w:color w:val="000000"/>
                <w:sz w:val="20"/>
                <w:szCs w:val="20"/>
                <w:u w:val="single"/>
              </w:rPr>
              <w:lastRenderedPageBreak/>
              <w:br/>
              <w:t>Sub-category</w:t>
            </w:r>
          </w:p>
        </w:tc>
        <w:tc>
          <w:tcPr>
            <w:tcW w:w="8230" w:type="dxa"/>
          </w:tcPr>
          <w:p w:rsidR="00A559F9" w:rsidRPr="0055369C" w:rsidRDefault="00A559F9" w:rsidP="00A559F9">
            <w:pPr>
              <w:suppressAutoHyphens w:val="0"/>
              <w:spacing w:after="160" w:line="259" w:lineRule="auto"/>
              <w:jc w:val="center"/>
              <w:rPr>
                <w:rFonts w:ascii="Times New Roman" w:hAnsi="Times New Roman"/>
                <w:b/>
                <w:color w:val="000000"/>
                <w:sz w:val="20"/>
                <w:szCs w:val="20"/>
                <w:u w:val="single"/>
              </w:rPr>
            </w:pPr>
            <w:r w:rsidRPr="0055369C">
              <w:rPr>
                <w:rFonts w:ascii="Times New Roman" w:hAnsi="Times New Roman"/>
                <w:b/>
                <w:color w:val="000000"/>
                <w:sz w:val="20"/>
                <w:szCs w:val="20"/>
                <w:u w:val="single"/>
              </w:rPr>
              <w:br/>
              <w:t>Criteria</w:t>
            </w:r>
          </w:p>
        </w:tc>
      </w:tr>
      <w:tr w:rsidR="00A559F9" w:rsidRPr="0055369C" w:rsidTr="004E60D9">
        <w:tc>
          <w:tcPr>
            <w:tcW w:w="1129" w:type="dxa"/>
          </w:tcPr>
          <w:p w:rsidR="00A559F9" w:rsidRPr="0055369C" w:rsidRDefault="00A559F9" w:rsidP="00A559F9">
            <w:pPr>
              <w:suppressAutoHyphens w:val="0"/>
              <w:spacing w:after="160" w:line="259" w:lineRule="auto"/>
              <w:jc w:val="center"/>
              <w:rPr>
                <w:rFonts w:ascii="Times New Roman" w:hAnsi="Times New Roman"/>
                <w:b/>
                <w:color w:val="000000"/>
                <w:sz w:val="20"/>
                <w:szCs w:val="20"/>
                <w:u w:val="single"/>
              </w:rPr>
            </w:pPr>
            <w:r w:rsidRPr="0055369C">
              <w:rPr>
                <w:rFonts w:ascii="Times New Roman" w:hAnsi="Times New Roman"/>
                <w:b/>
                <w:color w:val="000000"/>
                <w:sz w:val="20"/>
                <w:szCs w:val="20"/>
                <w:u w:val="single"/>
              </w:rPr>
              <w:br/>
              <w:t>2A</w:t>
            </w:r>
          </w:p>
        </w:tc>
        <w:tc>
          <w:tcPr>
            <w:tcW w:w="8230" w:type="dxa"/>
          </w:tcPr>
          <w:p w:rsidR="00A559F9" w:rsidRPr="0055369C" w:rsidRDefault="00A559F9" w:rsidP="00A559F9">
            <w:pPr>
              <w:suppressAutoHyphens w:val="0"/>
              <w:spacing w:after="160" w:line="259" w:lineRule="auto"/>
              <w:rPr>
                <w:rFonts w:ascii="Times New Roman" w:hAnsi="Times New Roman"/>
                <w:color w:val="000000"/>
                <w:sz w:val="20"/>
                <w:szCs w:val="20"/>
                <w:u w:val="single"/>
              </w:rPr>
            </w:pPr>
            <w:r w:rsidRPr="0055369C">
              <w:rPr>
                <w:rFonts w:ascii="Times New Roman" w:hAnsi="Times New Roman"/>
                <w:color w:val="000000"/>
                <w:sz w:val="20"/>
                <w:szCs w:val="20"/>
                <w:u w:val="single"/>
              </w:rPr>
              <w:br/>
              <w:t>Explosive substances, mixtures and articles in Category 2 which have been assigned:</w:t>
            </w:r>
          </w:p>
          <w:p w:rsidR="00A559F9" w:rsidRPr="0055369C" w:rsidRDefault="00A559F9" w:rsidP="00A559F9">
            <w:pPr>
              <w:numPr>
                <w:ilvl w:val="0"/>
                <w:numId w:val="26"/>
              </w:numPr>
              <w:suppressAutoHyphens w:val="0"/>
              <w:spacing w:after="160" w:line="240" w:lineRule="auto"/>
              <w:ind w:left="778"/>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Division 1.1, 1.2, 1.3, 1.5, or 1.6; or</w:t>
            </w:r>
          </w:p>
          <w:p w:rsidR="00A559F9" w:rsidRPr="0055369C" w:rsidRDefault="00A559F9" w:rsidP="00A559F9">
            <w:pPr>
              <w:suppressAutoHyphens w:val="0"/>
              <w:spacing w:after="160" w:line="259" w:lineRule="auto"/>
              <w:ind w:left="778"/>
              <w:contextualSpacing/>
              <w:rPr>
                <w:rFonts w:ascii="Times New Roman" w:hAnsi="Times New Roman"/>
                <w:color w:val="000000"/>
                <w:sz w:val="20"/>
                <w:szCs w:val="20"/>
                <w:u w:val="single"/>
              </w:rPr>
            </w:pPr>
          </w:p>
          <w:p w:rsidR="00A559F9" w:rsidRPr="0055369C" w:rsidRDefault="00A559F9" w:rsidP="00A559F9">
            <w:pPr>
              <w:numPr>
                <w:ilvl w:val="0"/>
                <w:numId w:val="26"/>
              </w:numPr>
              <w:suppressAutoHyphens w:val="0"/>
              <w:spacing w:after="160" w:line="240" w:lineRule="auto"/>
              <w:ind w:left="778"/>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Division 1.4; and failed to meet the criteria for Sub-category 2B or 2C; or</w:t>
            </w:r>
          </w:p>
          <w:p w:rsidR="00A559F9" w:rsidRPr="0055369C" w:rsidRDefault="00A559F9" w:rsidP="00A559F9">
            <w:pPr>
              <w:suppressAutoHyphens w:val="0"/>
              <w:spacing w:after="160" w:line="259" w:lineRule="auto"/>
              <w:ind w:left="720"/>
              <w:contextualSpacing/>
              <w:rPr>
                <w:rFonts w:ascii="Times New Roman" w:hAnsi="Times New Roman"/>
                <w:color w:val="000000"/>
                <w:sz w:val="20"/>
                <w:szCs w:val="20"/>
                <w:u w:val="single"/>
              </w:rPr>
            </w:pPr>
          </w:p>
          <w:p w:rsidR="00A559F9" w:rsidRPr="0055369C" w:rsidRDefault="00A559F9" w:rsidP="00A559F9">
            <w:pPr>
              <w:numPr>
                <w:ilvl w:val="0"/>
                <w:numId w:val="26"/>
              </w:numPr>
              <w:suppressAutoHyphens w:val="0"/>
              <w:spacing w:after="160" w:line="240" w:lineRule="auto"/>
              <w:ind w:left="778"/>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Sub-category 2A based on additional data or considerations that supersede the criteria for Sub-category 2B or 2C.</w:t>
            </w:r>
            <w:r w:rsidRPr="0055369C">
              <w:rPr>
                <w:rFonts w:ascii="Times New Roman" w:hAnsi="Times New Roman"/>
                <w:color w:val="000000"/>
                <w:sz w:val="20"/>
                <w:szCs w:val="20"/>
                <w:u w:val="single"/>
              </w:rPr>
              <w:br/>
            </w:r>
          </w:p>
        </w:tc>
      </w:tr>
      <w:tr w:rsidR="00A559F9" w:rsidRPr="0055369C" w:rsidTr="004E60D9">
        <w:tc>
          <w:tcPr>
            <w:tcW w:w="1129" w:type="dxa"/>
          </w:tcPr>
          <w:p w:rsidR="00A559F9" w:rsidRPr="0055369C" w:rsidRDefault="00A559F9" w:rsidP="00A559F9">
            <w:pPr>
              <w:suppressAutoHyphens w:val="0"/>
              <w:spacing w:after="160" w:line="259" w:lineRule="auto"/>
              <w:jc w:val="center"/>
              <w:rPr>
                <w:rFonts w:ascii="Times New Roman" w:hAnsi="Times New Roman"/>
                <w:b/>
                <w:color w:val="000000"/>
                <w:sz w:val="20"/>
                <w:szCs w:val="20"/>
                <w:u w:val="single"/>
              </w:rPr>
            </w:pPr>
            <w:r w:rsidRPr="0055369C">
              <w:rPr>
                <w:rFonts w:ascii="Times New Roman" w:hAnsi="Times New Roman"/>
                <w:b/>
                <w:color w:val="000000"/>
                <w:sz w:val="20"/>
                <w:szCs w:val="20"/>
                <w:u w:val="single"/>
              </w:rPr>
              <w:br/>
              <w:t>2B</w:t>
            </w:r>
          </w:p>
        </w:tc>
        <w:tc>
          <w:tcPr>
            <w:tcW w:w="8230" w:type="dxa"/>
          </w:tcPr>
          <w:p w:rsidR="00A559F9" w:rsidRPr="0055369C" w:rsidRDefault="00A559F9" w:rsidP="00A559F9">
            <w:pPr>
              <w:suppressAutoHyphens w:val="0"/>
              <w:spacing w:after="160" w:line="259" w:lineRule="auto"/>
              <w:rPr>
                <w:rFonts w:ascii="Times New Roman" w:hAnsi="Times New Roman"/>
                <w:color w:val="000000"/>
                <w:sz w:val="20"/>
                <w:szCs w:val="20"/>
                <w:u w:val="single"/>
              </w:rPr>
            </w:pPr>
            <w:r w:rsidRPr="0055369C">
              <w:rPr>
                <w:rFonts w:ascii="Times New Roman" w:hAnsi="Times New Roman"/>
                <w:color w:val="000000"/>
                <w:sz w:val="20"/>
                <w:szCs w:val="20"/>
                <w:u w:val="single"/>
              </w:rPr>
              <w:br/>
              <w:t>Explosive substances, mixtures and articles in Category 2 which have been assigned to Division 1.4 and a compatibility group other than S, and which:</w:t>
            </w:r>
          </w:p>
          <w:p w:rsidR="00A559F9" w:rsidRPr="0055369C" w:rsidRDefault="00A559F9" w:rsidP="00A559F9">
            <w:pPr>
              <w:numPr>
                <w:ilvl w:val="0"/>
                <w:numId w:val="27"/>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 xml:space="preserve">exhibit no high hazard event in Test Series 6(a) or 6(b) (Section 16 of the </w:t>
            </w:r>
            <w:r w:rsidRPr="0055369C">
              <w:rPr>
                <w:rFonts w:ascii="Times New Roman" w:hAnsi="Times New Roman"/>
                <w:i/>
                <w:color w:val="000000"/>
                <w:sz w:val="20"/>
                <w:szCs w:val="20"/>
                <w:u w:val="single"/>
              </w:rPr>
              <w:t>UN Recommendations on the Transport of Dangerous Goods, Manual of Tests and Criteria</w:t>
            </w:r>
            <w:r w:rsidRPr="0055369C">
              <w:rPr>
                <w:rFonts w:ascii="Times New Roman" w:hAnsi="Times New Roman"/>
                <w:color w:val="000000"/>
                <w:sz w:val="20"/>
                <w:szCs w:val="20"/>
                <w:u w:val="single"/>
              </w:rPr>
              <w:t>); and</w:t>
            </w:r>
          </w:p>
          <w:p w:rsidR="00A559F9" w:rsidRPr="0055369C" w:rsidRDefault="00A559F9" w:rsidP="00A559F9">
            <w:pPr>
              <w:numPr>
                <w:ilvl w:val="0"/>
                <w:numId w:val="27"/>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do not require the following to mitigate a high hazard event:</w:t>
            </w:r>
          </w:p>
          <w:p w:rsidR="00A559F9" w:rsidRPr="0055369C" w:rsidRDefault="00A559F9" w:rsidP="00A559F9">
            <w:pPr>
              <w:numPr>
                <w:ilvl w:val="0"/>
                <w:numId w:val="25"/>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 xml:space="preserve">additional attenuating features at any level above the primary packaging; or </w:t>
            </w:r>
          </w:p>
          <w:p w:rsidR="00A559F9" w:rsidRPr="0055369C" w:rsidRDefault="00A559F9" w:rsidP="00A559F9">
            <w:pPr>
              <w:numPr>
                <w:ilvl w:val="0"/>
                <w:numId w:val="25"/>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any packaging, in the case of a packaging-independent explosive article.</w:t>
            </w:r>
            <w:r w:rsidRPr="0055369C">
              <w:rPr>
                <w:rFonts w:ascii="Times New Roman" w:hAnsi="Times New Roman"/>
                <w:color w:val="000000"/>
                <w:sz w:val="20"/>
                <w:szCs w:val="20"/>
                <w:u w:val="single"/>
              </w:rPr>
              <w:br/>
            </w:r>
          </w:p>
        </w:tc>
      </w:tr>
      <w:tr w:rsidR="00A559F9" w:rsidRPr="0055369C" w:rsidTr="004E60D9">
        <w:tc>
          <w:tcPr>
            <w:tcW w:w="1129" w:type="dxa"/>
          </w:tcPr>
          <w:p w:rsidR="00A559F9" w:rsidRPr="0055369C" w:rsidRDefault="00A559F9" w:rsidP="00A559F9">
            <w:pPr>
              <w:suppressAutoHyphens w:val="0"/>
              <w:spacing w:after="160" w:line="259" w:lineRule="auto"/>
              <w:jc w:val="center"/>
              <w:rPr>
                <w:rFonts w:ascii="Times New Roman" w:hAnsi="Times New Roman"/>
                <w:b/>
                <w:color w:val="000000"/>
                <w:sz w:val="20"/>
                <w:szCs w:val="20"/>
                <w:u w:val="single"/>
              </w:rPr>
            </w:pPr>
            <w:r w:rsidRPr="0055369C">
              <w:rPr>
                <w:rFonts w:ascii="Times New Roman" w:hAnsi="Times New Roman"/>
                <w:b/>
                <w:color w:val="000000"/>
                <w:sz w:val="20"/>
                <w:szCs w:val="20"/>
                <w:u w:val="single"/>
              </w:rPr>
              <w:br/>
              <w:t>2C</w:t>
            </w:r>
          </w:p>
        </w:tc>
        <w:tc>
          <w:tcPr>
            <w:tcW w:w="8230" w:type="dxa"/>
          </w:tcPr>
          <w:p w:rsidR="00A559F9" w:rsidRPr="0055369C" w:rsidRDefault="00A559F9" w:rsidP="00A559F9">
            <w:pPr>
              <w:suppressAutoHyphens w:val="0"/>
              <w:spacing w:after="160" w:line="259" w:lineRule="auto"/>
              <w:rPr>
                <w:rFonts w:ascii="Times New Roman" w:hAnsi="Times New Roman"/>
                <w:color w:val="000000"/>
                <w:sz w:val="20"/>
                <w:szCs w:val="20"/>
                <w:u w:val="single"/>
              </w:rPr>
            </w:pPr>
            <w:r w:rsidRPr="0055369C">
              <w:rPr>
                <w:rFonts w:ascii="Times New Roman" w:hAnsi="Times New Roman"/>
                <w:color w:val="000000"/>
                <w:sz w:val="20"/>
                <w:szCs w:val="20"/>
                <w:u w:val="single"/>
              </w:rPr>
              <w:br/>
              <w:t>Explosive substances, mixtures and articles in Category 2 which have been assigned to Division 1.4 Compatibility Group S, and which:</w:t>
            </w:r>
          </w:p>
          <w:p w:rsidR="00A559F9" w:rsidRPr="0055369C" w:rsidRDefault="00A559F9" w:rsidP="00A559F9">
            <w:pPr>
              <w:numPr>
                <w:ilvl w:val="0"/>
                <w:numId w:val="28"/>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exhibit no high hazard event in Test Series 6(a) or 6(b),</w:t>
            </w:r>
            <w:r w:rsidRPr="0055369C">
              <w:rPr>
                <w:rFonts w:ascii="Times New Roman" w:hAnsi="Times New Roman"/>
                <w:sz w:val="20"/>
                <w:szCs w:val="20"/>
                <w:lang w:val="sv-SE"/>
              </w:rPr>
              <w:t xml:space="preserve"> </w:t>
            </w:r>
            <w:r w:rsidRPr="0055369C">
              <w:rPr>
                <w:rFonts w:ascii="Times New Roman" w:hAnsi="Times New Roman"/>
                <w:color w:val="000000"/>
                <w:sz w:val="20"/>
                <w:szCs w:val="20"/>
                <w:u w:val="single"/>
              </w:rPr>
              <w:t xml:space="preserve">or in the absence of these test results, similar results in Test 6(d) (Section 16 of the </w:t>
            </w:r>
            <w:r w:rsidRPr="0055369C">
              <w:rPr>
                <w:rFonts w:ascii="Times New Roman" w:hAnsi="Times New Roman"/>
                <w:i/>
                <w:color w:val="000000"/>
                <w:sz w:val="20"/>
                <w:szCs w:val="20"/>
                <w:u w:val="single"/>
              </w:rPr>
              <w:t>UN Recommendations on the Transport of Dangerous Goods, Manual of Tests and Criteria</w:t>
            </w:r>
            <w:r w:rsidRPr="0055369C">
              <w:rPr>
                <w:rFonts w:ascii="Times New Roman" w:hAnsi="Times New Roman"/>
                <w:color w:val="000000"/>
                <w:sz w:val="20"/>
                <w:szCs w:val="20"/>
                <w:u w:val="single"/>
              </w:rPr>
              <w:t xml:space="preserve">); </w:t>
            </w:r>
          </w:p>
          <w:p w:rsidR="00A559F9" w:rsidRPr="0055369C" w:rsidRDefault="00A559F9" w:rsidP="00A559F9">
            <w:pPr>
              <w:numPr>
                <w:ilvl w:val="0"/>
                <w:numId w:val="28"/>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do not require the following to mitigate a high hazard event:</w:t>
            </w:r>
          </w:p>
          <w:p w:rsidR="00A559F9" w:rsidRPr="0055369C" w:rsidRDefault="00A559F9" w:rsidP="00A559F9">
            <w:pPr>
              <w:numPr>
                <w:ilvl w:val="0"/>
                <w:numId w:val="25"/>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 xml:space="preserve">additional attenuating features at any level above the primary packaging; or </w:t>
            </w:r>
          </w:p>
          <w:p w:rsidR="00A559F9" w:rsidRPr="0055369C" w:rsidRDefault="00A559F9" w:rsidP="00A559F9">
            <w:pPr>
              <w:numPr>
                <w:ilvl w:val="0"/>
                <w:numId w:val="25"/>
              </w:numPr>
              <w:suppressAutoHyphens w:val="0"/>
              <w:spacing w:after="160" w:line="259"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any packaging, in the case of a packaging-independent explosive article; and</w:t>
            </w:r>
          </w:p>
          <w:p w:rsidR="00A559F9" w:rsidRPr="0055369C" w:rsidRDefault="00A559F9" w:rsidP="00A559F9">
            <w:pPr>
              <w:numPr>
                <w:ilvl w:val="0"/>
                <w:numId w:val="28"/>
              </w:numPr>
              <w:suppressAutoHyphens w:val="0"/>
              <w:spacing w:after="160" w:line="259"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do not detonate as a complete system when functioned as intended.</w:t>
            </w:r>
          </w:p>
        </w:tc>
      </w:tr>
    </w:tbl>
    <w:p w:rsidR="0055369C" w:rsidRDefault="00A559F9" w:rsidP="0055369C">
      <w:pPr>
        <w:pStyle w:val="SingleTxtG"/>
        <w:spacing w:before="120"/>
        <w:rPr>
          <w:rFonts w:eastAsia="Calibri"/>
          <w:i/>
          <w:iCs/>
          <w:u w:val="single"/>
        </w:rPr>
      </w:pPr>
      <w:r w:rsidRPr="0055369C">
        <w:rPr>
          <w:rFonts w:eastAsia="Calibri"/>
          <w:i/>
          <w:iCs/>
          <w:u w:val="single"/>
        </w:rPr>
        <w:t>Note: Certain explosives in Category 2 are sometimes evaluated for possible assignment to Sub-categories 2B and 2C before proceeding to classification in Sub-category 2A.</w:t>
      </w:r>
    </w:p>
    <w:p w:rsidR="00A559F9" w:rsidRPr="0055369C" w:rsidRDefault="00A559F9" w:rsidP="0055369C">
      <w:pPr>
        <w:pStyle w:val="SingleTxtG"/>
        <w:spacing w:before="120"/>
        <w:rPr>
          <w:rFonts w:eastAsia="Calibri"/>
          <w:u w:val="single"/>
        </w:rPr>
      </w:pPr>
      <w:r w:rsidRPr="0055369C">
        <w:rPr>
          <w:rFonts w:eastAsia="Calibri"/>
          <w:u w:val="single"/>
        </w:rPr>
        <w:t xml:space="preserve">2.1.2.3.2.1 </w:t>
      </w:r>
      <w:r w:rsidRPr="0055369C">
        <w:rPr>
          <w:rFonts w:eastAsia="Calibri"/>
          <w:u w:val="single"/>
        </w:rPr>
        <w:tab/>
        <w:t>A high hazard event is exhibited when performing Test Series 6(a) or 6(b), according to UN Recommendations on the Transport of Dangerous Goods, Manual of Tests and Criteria by</w:t>
      </w:r>
    </w:p>
    <w:p w:rsidR="00A559F9" w:rsidRPr="0055369C" w:rsidRDefault="00A559F9" w:rsidP="0055369C">
      <w:pPr>
        <w:pStyle w:val="SingleTxtG"/>
        <w:ind w:left="1701"/>
        <w:rPr>
          <w:rFonts w:eastAsia="Calibri"/>
          <w:u w:val="single"/>
        </w:rPr>
      </w:pPr>
      <w:r w:rsidRPr="0055369C">
        <w:rPr>
          <w:rFonts w:eastAsia="Calibri"/>
          <w:u w:val="single"/>
        </w:rPr>
        <w:t xml:space="preserve">a) </w:t>
      </w:r>
      <w:r w:rsidRPr="0055369C">
        <w:rPr>
          <w:rFonts w:eastAsia="Calibri"/>
          <w:u w:val="single"/>
        </w:rPr>
        <w:tab/>
        <w:t xml:space="preserve">a significant change in the witness plate shape (e.g., perforation, gouge, substantial dent/bowing, etc.); or </w:t>
      </w:r>
    </w:p>
    <w:p w:rsidR="00A559F9" w:rsidRPr="0055369C" w:rsidRDefault="00A559F9" w:rsidP="0055369C">
      <w:pPr>
        <w:pStyle w:val="SingleTxtG"/>
        <w:ind w:left="1701"/>
        <w:rPr>
          <w:rFonts w:eastAsia="Calibri"/>
          <w:u w:val="single"/>
        </w:rPr>
      </w:pPr>
      <w:r w:rsidRPr="0055369C">
        <w:rPr>
          <w:rFonts w:eastAsia="Calibri"/>
          <w:u w:val="single"/>
        </w:rPr>
        <w:t xml:space="preserve">b) </w:t>
      </w:r>
      <w:r w:rsidRPr="0055369C">
        <w:rPr>
          <w:rFonts w:eastAsia="Calibri"/>
          <w:u w:val="single"/>
        </w:rPr>
        <w:tab/>
        <w:t>instantaneous scattering of most of the confining material.</w:t>
      </w:r>
    </w:p>
    <w:p w:rsidR="00A559F9" w:rsidRPr="0055369C" w:rsidRDefault="00A559F9" w:rsidP="0055369C">
      <w:pPr>
        <w:pStyle w:val="SingleTxtG"/>
        <w:rPr>
          <w:rFonts w:eastAsia="Calibri"/>
          <w:u w:val="single"/>
        </w:rPr>
      </w:pPr>
      <w:r w:rsidRPr="0055369C">
        <w:rPr>
          <w:rFonts w:eastAsia="Calibri"/>
          <w:u w:val="single"/>
        </w:rPr>
        <w:t>2.1.2.3.2.2</w:t>
      </w:r>
      <w:r w:rsidRPr="0055369C">
        <w:rPr>
          <w:rFonts w:eastAsia="Calibri"/>
          <w:u w:val="single"/>
        </w:rPr>
        <w:tab/>
        <w:t>Classification in a division or a sub-category is based on testing. However, explosives may be classified without testing, where appropriate, based on analogy to tested explosives.  The use of analogy should take into consideration whether changes to configuration may affect the hazard compared to the tested configuration.</w:t>
      </w:r>
    </w:p>
    <w:p w:rsidR="00A559F9" w:rsidRPr="0055369C" w:rsidRDefault="00A559F9" w:rsidP="0055369C">
      <w:pPr>
        <w:pStyle w:val="SingleTxtG"/>
        <w:rPr>
          <w:rFonts w:eastAsia="Calibri"/>
          <w:u w:val="single"/>
        </w:rPr>
      </w:pPr>
      <w:r w:rsidRPr="0055369C">
        <w:rPr>
          <w:rFonts w:eastAsia="Calibri"/>
          <w:u w:val="single"/>
        </w:rPr>
        <w:t>[2.1.2.3.2.3</w:t>
      </w:r>
      <w:r w:rsidRPr="0055369C">
        <w:rPr>
          <w:rFonts w:eastAsia="Calibri"/>
          <w:u w:val="single"/>
        </w:rPr>
        <w:tab/>
        <w:t>Parking lot item for niche of data inadequacies]</w:t>
      </w:r>
    </w:p>
    <w:p w:rsidR="00A559F9" w:rsidRPr="002A2A92" w:rsidRDefault="00A559F9" w:rsidP="002A2A92">
      <w:pPr>
        <w:suppressAutoHyphens w:val="0"/>
        <w:spacing w:after="160" w:line="259" w:lineRule="auto"/>
        <w:ind w:right="-468"/>
        <w:contextualSpacing/>
        <w:rPr>
          <w:rFonts w:eastAsia="Calibri"/>
          <w:color w:val="7030A0"/>
          <w:sz w:val="22"/>
          <w:szCs w:val="22"/>
        </w:rPr>
      </w:pPr>
    </w:p>
    <w:p w:rsidR="002A2A92" w:rsidRPr="002A2A92" w:rsidRDefault="0055369C" w:rsidP="0055369C">
      <w:pPr>
        <w:pStyle w:val="H23G"/>
        <w:rPr>
          <w:rFonts w:eastAsia="Calibri"/>
        </w:rPr>
      </w:pPr>
      <w:r>
        <w:rPr>
          <w:rFonts w:eastAsia="Calibri"/>
        </w:rPr>
        <w:lastRenderedPageBreak/>
        <w:tab/>
      </w:r>
      <w:r>
        <w:rPr>
          <w:rFonts w:eastAsia="Calibri"/>
        </w:rPr>
        <w:tab/>
      </w:r>
      <w:r w:rsidR="00A559F9" w:rsidRPr="002A2A92">
        <w:rPr>
          <w:rFonts w:eastAsia="Calibri"/>
        </w:rPr>
        <w:t>[2.1.3</w:t>
      </w:r>
      <w:r w:rsidR="00A559F9" w:rsidRPr="002A2A92">
        <w:rPr>
          <w:rFonts w:eastAsia="Calibri"/>
        </w:rPr>
        <w:tab/>
      </w:r>
      <w:r w:rsidR="00A559F9" w:rsidRPr="002A2A92">
        <w:rPr>
          <w:rFonts w:eastAsia="Calibri"/>
        </w:rPr>
        <w:tab/>
        <w:t>Hazard communication</w:t>
      </w:r>
      <w:r w:rsidR="002A2A92">
        <w:rPr>
          <w:rFonts w:eastAsia="Calibri"/>
        </w:rPr>
        <w:t xml:space="preserve">    </w:t>
      </w:r>
    </w:p>
    <w:p w:rsidR="00A559F9" w:rsidRPr="002A2A92" w:rsidRDefault="00A559F9" w:rsidP="0055369C">
      <w:pPr>
        <w:pStyle w:val="SingleTxtG"/>
        <w:rPr>
          <w:rFonts w:eastAsia="Calibri"/>
        </w:rPr>
      </w:pPr>
      <w:r w:rsidRPr="002A2A92">
        <w:rPr>
          <w:rFonts w:eastAsia="Calibri"/>
        </w:rPr>
        <w:t>The US may submit a separate proposal in this regard.]</w:t>
      </w:r>
    </w:p>
    <w:p w:rsidR="00A559F9" w:rsidRPr="002A2A92" w:rsidRDefault="0055369C" w:rsidP="0055369C">
      <w:pPr>
        <w:pStyle w:val="H23G"/>
        <w:rPr>
          <w:rFonts w:eastAsia="Calibri"/>
        </w:rPr>
      </w:pPr>
      <w:r>
        <w:rPr>
          <w:rFonts w:eastAsia="Calibri"/>
        </w:rPr>
        <w:tab/>
      </w:r>
      <w:r>
        <w:rPr>
          <w:rFonts w:eastAsia="Calibri"/>
        </w:rPr>
        <w:tab/>
      </w:r>
      <w:r w:rsidR="00A559F9" w:rsidRPr="002A2A92">
        <w:rPr>
          <w:rFonts w:eastAsia="Calibri"/>
        </w:rPr>
        <w:t>[2.1.4</w:t>
      </w:r>
      <w:r w:rsidR="00A559F9" w:rsidRPr="002A2A92">
        <w:rPr>
          <w:rFonts w:eastAsia="Calibri"/>
        </w:rPr>
        <w:tab/>
      </w:r>
      <w:r w:rsidR="00A559F9" w:rsidRPr="002A2A92">
        <w:rPr>
          <w:rFonts w:eastAsia="Calibri"/>
        </w:rPr>
        <w:tab/>
        <w:t>Decision Logic and guidance]</w:t>
      </w:r>
    </w:p>
    <w:p w:rsidR="00A559F9" w:rsidRPr="002A2A92" w:rsidRDefault="00A559F9" w:rsidP="0055369C">
      <w:pPr>
        <w:pStyle w:val="SingleTxtG"/>
        <w:rPr>
          <w:rFonts w:eastAsia="Calibri"/>
        </w:rPr>
      </w:pPr>
      <w:r w:rsidRPr="002A2A92">
        <w:rPr>
          <w:rFonts w:eastAsia="Calibri"/>
        </w:rPr>
        <w:t>[This section has not been drafted, but some of this information may be useful for placing in sections 2.1.1, 2.1.2 or 2.1.4.]</w:t>
      </w:r>
    </w:p>
    <w:p w:rsidR="00A559F9" w:rsidRPr="002A2A92" w:rsidRDefault="00A559F9" w:rsidP="0055369C">
      <w:pPr>
        <w:pStyle w:val="SingleTxtG"/>
        <w:rPr>
          <w:rFonts w:eastAsia="Calibri"/>
        </w:rPr>
      </w:pPr>
      <w:r w:rsidRPr="002A2A92">
        <w:rPr>
          <w:rFonts w:eastAsia="Calibri"/>
        </w:rPr>
        <w:t>[Consider the text in the “Classification Approach and Highlights” section of this informal paper for inclusion in section 2.1.4, as appropriate.]</w:t>
      </w:r>
    </w:p>
    <w:p w:rsidR="00A559F9" w:rsidRDefault="00A559F9" w:rsidP="0055369C">
      <w:pPr>
        <w:pStyle w:val="SingleTxtG"/>
        <w:rPr>
          <w:rFonts w:eastAsia="Calibri"/>
          <w:u w:val="single"/>
        </w:rPr>
      </w:pPr>
      <w:r w:rsidRPr="002A2A92">
        <w:rPr>
          <w:rFonts w:eastAsia="Calibri"/>
        </w:rPr>
        <w:t xml:space="preserve">[Note: Division classifications </w:t>
      </w:r>
      <w:r w:rsidRPr="002A2A92">
        <w:rPr>
          <w:rFonts w:eastAsia="Calibri"/>
          <w:u w:val="single"/>
        </w:rPr>
        <w:t>are valid within the environment of transport, and are also commonly used outside that environment, e.g. in storage and staging, with additional controls.]</w:t>
      </w:r>
    </w:p>
    <w:p w:rsidR="00A559F9" w:rsidRPr="0055369C" w:rsidRDefault="002A2A92" w:rsidP="0055369C">
      <w:pPr>
        <w:pStyle w:val="SingleTxtG"/>
        <w:rPr>
          <w:rFonts w:eastAsia="Calibri"/>
          <w:i/>
          <w:iCs/>
          <w:u w:val="single"/>
        </w:rPr>
      </w:pPr>
      <w:r w:rsidRPr="0055369C" w:rsidDel="002A2A92">
        <w:rPr>
          <w:rFonts w:eastAsia="Calibri"/>
          <w:i/>
          <w:iCs/>
          <w:sz w:val="22"/>
          <w:szCs w:val="22"/>
          <w:u w:val="single"/>
        </w:rPr>
        <w:t xml:space="preserve"> </w:t>
      </w:r>
      <w:r w:rsidR="00A559F9" w:rsidRPr="0055369C">
        <w:rPr>
          <w:rFonts w:eastAsia="Calibri"/>
          <w:i/>
          <w:iCs/>
          <w:u w:val="single"/>
        </w:rPr>
        <w:t>[Note: Category 1 is not always more hazardous than Category 2, but the controls resulting in a lower hazard are not fixed and the potential for reactions is greater, thus the reason that this category comes first. Explosives tend to be the most uncontrolled and potentially dangerous at the beginning of their life cycle in unpackaged, dynamic manufacturing scenarios. Formation into a package and/or explosive article provides a level of protection from outside stimuli and fixes the sensitivity and hazard magnitude to certain levels.]</w:t>
      </w:r>
    </w:p>
    <w:p w:rsidR="00A559F9" w:rsidRPr="002A2A92" w:rsidRDefault="00A702C0" w:rsidP="0055369C">
      <w:pPr>
        <w:pStyle w:val="SingleTxtG"/>
        <w:rPr>
          <w:rFonts w:eastAsia="Calibri"/>
        </w:rPr>
      </w:pPr>
      <w:r>
        <w:rPr>
          <w:rFonts w:eastAsia="Calibri"/>
        </w:rPr>
        <w:t>[</w:t>
      </w:r>
      <w:r w:rsidR="00A559F9" w:rsidRPr="002A2A92">
        <w:rPr>
          <w:rFonts w:eastAsia="Calibri"/>
        </w:rPr>
        <w:t>The following descriptions of the sub-categories may be useful in section 2.1.2 or 2.1.4:</w:t>
      </w:r>
    </w:p>
    <w:tbl>
      <w:tblPr>
        <w:tblW w:w="9632" w:type="dxa"/>
        <w:tblInd w:w="78"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77" w:type="dxa"/>
          <w:bottom w:w="80" w:type="dxa"/>
          <w:right w:w="80" w:type="dxa"/>
        </w:tblCellMar>
        <w:tblLook w:val="04A0" w:firstRow="1" w:lastRow="0" w:firstColumn="1" w:lastColumn="0" w:noHBand="0" w:noVBand="1"/>
      </w:tblPr>
      <w:tblGrid>
        <w:gridCol w:w="2636"/>
        <w:gridCol w:w="6996"/>
      </w:tblGrid>
      <w:tr w:rsidR="00A559F9" w:rsidRPr="002A2A92" w:rsidTr="004E60D9">
        <w:trPr>
          <w:trHeight w:val="403"/>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BDC0BF"/>
            <w:tcMar>
              <w:left w:w="77" w:type="dxa"/>
            </w:tcMar>
          </w:tcPr>
          <w:p w:rsidR="00A559F9" w:rsidRPr="002A2A92" w:rsidRDefault="00A559F9" w:rsidP="00A559F9">
            <w:pPr>
              <w:keepNext/>
              <w:suppressAutoHyphens w:val="0"/>
              <w:spacing w:line="240" w:lineRule="auto"/>
              <w:rPr>
                <w:rFonts w:eastAsia="Arial Unicode MS"/>
                <w:b/>
                <w:bCs/>
                <w:color w:val="000000"/>
                <w:u w:color="00000A"/>
                <w:lang w:val="en-US" w:eastAsia="zh-CN" w:bidi="hi-IN"/>
              </w:rPr>
            </w:pPr>
            <w:r w:rsidRPr="002A2A92">
              <w:rPr>
                <w:rFonts w:eastAsia="Arial Unicode MS"/>
                <w:b/>
                <w:bCs/>
                <w:color w:val="000000"/>
                <w:u w:color="00000A"/>
                <w:lang w:val="en-US" w:eastAsia="zh-CN" w:bidi="hi-IN"/>
              </w:rPr>
              <w:lastRenderedPageBreak/>
              <w:t>Description of hazard levels</w:t>
            </w:r>
          </w:p>
        </w:tc>
      </w:tr>
      <w:tr w:rsidR="00A559F9" w:rsidRPr="002A2A92" w:rsidTr="004E60D9">
        <w:trPr>
          <w:trHeight w:val="1202"/>
        </w:trPr>
        <w:tc>
          <w:tcPr>
            <w:tcW w:w="2636" w:type="dxa"/>
            <w:tcBorders>
              <w:top w:val="single" w:sz="4" w:space="0" w:color="000001"/>
              <w:left w:val="single" w:sz="2" w:space="0" w:color="000001"/>
              <w:bottom w:val="single" w:sz="2" w:space="0" w:color="000001"/>
              <w:right w:val="single" w:sz="4" w:space="0" w:color="000001"/>
            </w:tcBorders>
            <w:shd w:val="clear" w:color="auto" w:fill="E2E4E3"/>
            <w:tcMar>
              <w:left w:w="77" w:type="dxa"/>
            </w:tcMar>
          </w:tcPr>
          <w:p w:rsidR="00A559F9" w:rsidRPr="002A2A92" w:rsidRDefault="00A559F9" w:rsidP="00A559F9">
            <w:pPr>
              <w:keepNext/>
              <w:suppressAutoHyphens w:val="0"/>
              <w:spacing w:line="240" w:lineRule="auto"/>
              <w:rPr>
                <w:rFonts w:eastAsia="Arial Unicode MS"/>
                <w:b/>
                <w:bCs/>
                <w:color w:val="000000"/>
                <w:u w:color="00000A"/>
                <w:lang w:val="en-US" w:eastAsia="zh-CN" w:bidi="hi-IN"/>
              </w:rPr>
            </w:pPr>
            <w:r w:rsidRPr="002A2A92">
              <w:rPr>
                <w:rFonts w:eastAsia="Arial Unicode MS"/>
                <w:b/>
                <w:bCs/>
                <w:color w:val="000000"/>
                <w:u w:color="00000A"/>
                <w:lang w:val="en-US" w:eastAsia="zh-CN" w:bidi="hi-IN"/>
              </w:rPr>
              <w:t xml:space="preserve">Low hazard </w:t>
            </w:r>
          </w:p>
          <w:p w:rsidR="00A559F9" w:rsidRPr="002A2A92" w:rsidRDefault="00A559F9" w:rsidP="00A559F9">
            <w:pPr>
              <w:keepNext/>
              <w:suppressAutoHyphens w:val="0"/>
              <w:spacing w:line="240" w:lineRule="auto"/>
              <w:rPr>
                <w:rFonts w:eastAsia="Arial Unicode MS"/>
                <w:b/>
                <w:bCs/>
                <w:color w:val="000000"/>
                <w:u w:color="00000A"/>
                <w:lang w:val="en-US" w:eastAsia="zh-CN" w:bidi="hi-IN"/>
              </w:rPr>
            </w:pPr>
            <w:r w:rsidRPr="002A2A92">
              <w:rPr>
                <w:rFonts w:eastAsia="Arial Unicode MS"/>
                <w:b/>
                <w:bCs/>
                <w:color w:val="000000"/>
                <w:u w:color="00000A"/>
                <w:lang w:val="en-US" w:eastAsia="zh-CN" w:bidi="hi-IN"/>
              </w:rPr>
              <w:t>(Sub-Category 2C)</w:t>
            </w:r>
          </w:p>
          <w:p w:rsidR="00A559F9" w:rsidRPr="002A2A92" w:rsidRDefault="00A559F9" w:rsidP="00A559F9">
            <w:pPr>
              <w:keepNext/>
              <w:suppressAutoHyphens w:val="0"/>
              <w:spacing w:line="240" w:lineRule="auto"/>
              <w:rPr>
                <w:rFonts w:eastAsia="Arial Unicode MS"/>
                <w:b/>
                <w:bCs/>
                <w:color w:val="000000"/>
                <w:u w:color="00000A"/>
                <w:lang w:val="en-US" w:eastAsia="zh-CN" w:bidi="hi-IN"/>
              </w:rPr>
            </w:pPr>
          </w:p>
        </w:tc>
        <w:tc>
          <w:tcPr>
            <w:tcW w:w="6995" w:type="dxa"/>
            <w:tcBorders>
              <w:top w:val="single" w:sz="4" w:space="0" w:color="000001"/>
              <w:left w:val="single" w:sz="4" w:space="0" w:color="000001"/>
              <w:bottom w:val="single" w:sz="2" w:space="0" w:color="000001"/>
              <w:right w:val="single" w:sz="2" w:space="0" w:color="000001"/>
            </w:tcBorders>
            <w:shd w:val="clear" w:color="auto" w:fill="auto"/>
            <w:tcMar>
              <w:left w:w="75" w:type="dxa"/>
            </w:tcMar>
          </w:tcPr>
          <w:p w:rsidR="00A559F9" w:rsidRPr="002A2A92" w:rsidRDefault="00A559F9" w:rsidP="00A559F9">
            <w:pPr>
              <w:keepNext/>
              <w:suppressAutoHyphens w:val="0"/>
              <w:spacing w:line="240" w:lineRule="auto"/>
              <w:rPr>
                <w:rFonts w:eastAsia="Arial Unicode MS"/>
                <w:color w:val="000000"/>
                <w:u w:color="00000A"/>
                <w:lang w:val="en-US" w:eastAsia="zh-CN" w:bidi="hi-IN"/>
              </w:rPr>
            </w:pPr>
            <w:r w:rsidRPr="002A2A92">
              <w:rPr>
                <w:rFonts w:eastAsia="Arial Unicode MS"/>
                <w:color w:val="000000"/>
                <w:u w:color="00000A"/>
                <w:lang w:val="en-US" w:eastAsia="zh-CN" w:bidi="hi-IN"/>
              </w:rPr>
              <w:t>“Low hazard” effects may cause damage to objects and injuries to the body when in immediate proximity and the explosive functions accidentally. Injuries would not normally result in permanent impairment, though more serious injuries or death may occur under unfavorable conditions.</w:t>
            </w:r>
          </w:p>
        </w:tc>
      </w:tr>
      <w:tr w:rsidR="00A559F9" w:rsidRPr="002A2A92" w:rsidTr="004E60D9">
        <w:trPr>
          <w:trHeight w:val="959"/>
        </w:trPr>
        <w:tc>
          <w:tcPr>
            <w:tcW w:w="2636" w:type="dxa"/>
            <w:tcBorders>
              <w:top w:val="single" w:sz="2" w:space="0" w:color="000001"/>
              <w:left w:val="single" w:sz="2" w:space="0" w:color="000001"/>
              <w:bottom w:val="single" w:sz="2" w:space="0" w:color="000001"/>
              <w:right w:val="single" w:sz="4" w:space="0" w:color="000001"/>
            </w:tcBorders>
            <w:shd w:val="clear" w:color="auto" w:fill="E2E4E3"/>
            <w:tcMar>
              <w:left w:w="77" w:type="dxa"/>
            </w:tcMar>
          </w:tcPr>
          <w:p w:rsidR="00A559F9" w:rsidRPr="002A2A92" w:rsidRDefault="00A559F9" w:rsidP="00A559F9">
            <w:pPr>
              <w:keepNext/>
              <w:suppressAutoHyphens w:val="0"/>
              <w:spacing w:line="240" w:lineRule="auto"/>
              <w:rPr>
                <w:rFonts w:eastAsia="Arial Unicode MS"/>
                <w:b/>
                <w:bCs/>
                <w:color w:val="000000"/>
                <w:u w:color="00000A"/>
                <w:lang w:val="en-US" w:eastAsia="zh-CN" w:bidi="hi-IN"/>
              </w:rPr>
            </w:pPr>
            <w:r w:rsidRPr="002A2A92">
              <w:rPr>
                <w:rFonts w:eastAsia="Arial Unicode MS"/>
                <w:b/>
                <w:bCs/>
                <w:color w:val="000000"/>
                <w:u w:color="00000A"/>
                <w:lang w:val="en-US" w:eastAsia="zh-CN" w:bidi="hi-IN"/>
              </w:rPr>
              <w:t xml:space="preserve">Medium hazard </w:t>
            </w:r>
          </w:p>
          <w:p w:rsidR="00A559F9" w:rsidRPr="002A2A92" w:rsidRDefault="00A559F9" w:rsidP="00A559F9">
            <w:pPr>
              <w:keepNext/>
              <w:suppressAutoHyphens w:val="0"/>
              <w:spacing w:line="240" w:lineRule="auto"/>
              <w:rPr>
                <w:rFonts w:eastAsia="Arial Unicode MS"/>
                <w:b/>
                <w:bCs/>
                <w:color w:val="000000"/>
                <w:u w:color="00000A"/>
                <w:lang w:val="en-US" w:eastAsia="zh-CN" w:bidi="hi-IN"/>
              </w:rPr>
            </w:pPr>
            <w:r w:rsidRPr="002A2A92">
              <w:rPr>
                <w:rFonts w:eastAsia="Arial Unicode MS"/>
                <w:b/>
                <w:bCs/>
                <w:color w:val="000000"/>
                <w:u w:color="00000A"/>
                <w:lang w:val="en-US" w:eastAsia="zh-CN" w:bidi="hi-IN"/>
              </w:rPr>
              <w:t>(Sub-Category 2B)</w:t>
            </w:r>
          </w:p>
          <w:p w:rsidR="00A559F9" w:rsidRPr="002A2A92" w:rsidRDefault="00A559F9" w:rsidP="00A559F9">
            <w:pPr>
              <w:keepNext/>
              <w:suppressAutoHyphens w:val="0"/>
              <w:spacing w:line="240" w:lineRule="auto"/>
              <w:rPr>
                <w:rFonts w:eastAsia="Arial Unicode MS"/>
                <w:b/>
                <w:bCs/>
                <w:color w:val="000000"/>
                <w:u w:color="00000A"/>
                <w:lang w:val="en-US" w:eastAsia="zh-CN" w:bidi="hi-IN"/>
              </w:rPr>
            </w:pPr>
          </w:p>
        </w:tc>
        <w:tc>
          <w:tcPr>
            <w:tcW w:w="6995" w:type="dxa"/>
            <w:tcBorders>
              <w:top w:val="single" w:sz="2" w:space="0" w:color="000001"/>
              <w:left w:val="single" w:sz="4" w:space="0" w:color="000001"/>
              <w:bottom w:val="single" w:sz="2" w:space="0" w:color="000001"/>
              <w:right w:val="single" w:sz="2" w:space="0" w:color="000001"/>
            </w:tcBorders>
            <w:shd w:val="clear" w:color="auto" w:fill="EEEEEE"/>
            <w:tcMar>
              <w:left w:w="75" w:type="dxa"/>
            </w:tcMar>
          </w:tcPr>
          <w:p w:rsidR="00A559F9" w:rsidRPr="002A2A92" w:rsidRDefault="00A559F9" w:rsidP="00A559F9">
            <w:pPr>
              <w:keepNext/>
              <w:suppressAutoHyphens w:val="0"/>
              <w:spacing w:line="240" w:lineRule="auto"/>
              <w:rPr>
                <w:rFonts w:eastAsia="Arial Unicode MS"/>
                <w:color w:val="000000"/>
                <w:u w:color="00000A"/>
                <w:lang w:val="en-US" w:eastAsia="zh-CN" w:bidi="hi-IN"/>
              </w:rPr>
            </w:pPr>
            <w:r w:rsidRPr="002A2A92">
              <w:rPr>
                <w:rFonts w:eastAsia="Arial Unicode MS"/>
                <w:color w:val="000000"/>
                <w:u w:color="00000A"/>
                <w:lang w:val="en-US" w:eastAsia="zh-CN" w:bidi="hi-IN"/>
              </w:rPr>
              <w:t>“Medium hazard” effects may cause serious damage to objects including serious harm to the body when nearby and the explosive functions accidentally. Injuries are likely to be of a permanent nature, and may include death under unfavorable conditions.</w:t>
            </w:r>
          </w:p>
        </w:tc>
      </w:tr>
      <w:tr w:rsidR="00A559F9" w:rsidRPr="002A2A92" w:rsidTr="004E60D9">
        <w:trPr>
          <w:trHeight w:val="719"/>
        </w:trPr>
        <w:tc>
          <w:tcPr>
            <w:tcW w:w="2636" w:type="dxa"/>
            <w:tcBorders>
              <w:top w:val="single" w:sz="2" w:space="0" w:color="000001"/>
              <w:left w:val="single" w:sz="2" w:space="0" w:color="000001"/>
              <w:bottom w:val="single" w:sz="2" w:space="0" w:color="000001"/>
              <w:right w:val="single" w:sz="4" w:space="0" w:color="000001"/>
            </w:tcBorders>
            <w:shd w:val="clear" w:color="auto" w:fill="E2E4E3"/>
            <w:tcMar>
              <w:left w:w="77" w:type="dxa"/>
            </w:tcMar>
          </w:tcPr>
          <w:p w:rsidR="00A559F9" w:rsidRPr="002A2A92" w:rsidRDefault="00A559F9" w:rsidP="00A559F9">
            <w:pPr>
              <w:keepNext/>
              <w:suppressAutoHyphens w:val="0"/>
              <w:spacing w:line="240" w:lineRule="auto"/>
              <w:rPr>
                <w:rFonts w:eastAsia="Arial Unicode MS"/>
                <w:b/>
                <w:bCs/>
                <w:color w:val="000000"/>
                <w:u w:color="00000A"/>
                <w:lang w:val="en-US" w:eastAsia="zh-CN" w:bidi="hi-IN"/>
              </w:rPr>
            </w:pPr>
            <w:r w:rsidRPr="002A2A92">
              <w:rPr>
                <w:rFonts w:eastAsia="Arial Unicode MS"/>
                <w:b/>
                <w:bCs/>
                <w:color w:val="000000"/>
                <w:u w:color="00000A"/>
                <w:lang w:val="en-US" w:eastAsia="zh-CN" w:bidi="hi-IN"/>
              </w:rPr>
              <w:t xml:space="preserve">High hazard </w:t>
            </w:r>
          </w:p>
          <w:p w:rsidR="00A559F9" w:rsidRPr="002A2A92" w:rsidRDefault="00A559F9" w:rsidP="00A559F9">
            <w:pPr>
              <w:keepNext/>
              <w:suppressAutoHyphens w:val="0"/>
              <w:spacing w:line="240" w:lineRule="auto"/>
              <w:rPr>
                <w:rFonts w:eastAsia="Arial Unicode MS"/>
                <w:b/>
                <w:bCs/>
                <w:color w:val="000000"/>
                <w:u w:color="00000A"/>
                <w:lang w:val="en-US" w:eastAsia="zh-CN" w:bidi="hi-IN"/>
              </w:rPr>
            </w:pPr>
            <w:r w:rsidRPr="002A2A92">
              <w:rPr>
                <w:rFonts w:eastAsia="Arial Unicode MS"/>
                <w:b/>
                <w:bCs/>
                <w:color w:val="000000"/>
                <w:u w:color="00000A"/>
                <w:lang w:val="en-US" w:eastAsia="zh-CN" w:bidi="hi-IN"/>
              </w:rPr>
              <w:t>(Sub-Category 2A)</w:t>
            </w:r>
          </w:p>
          <w:p w:rsidR="00A559F9" w:rsidRPr="002A2A92" w:rsidRDefault="00A559F9" w:rsidP="00A559F9">
            <w:pPr>
              <w:keepNext/>
              <w:suppressAutoHyphens w:val="0"/>
              <w:spacing w:line="240" w:lineRule="auto"/>
              <w:rPr>
                <w:rFonts w:eastAsia="Arial Unicode MS"/>
                <w:b/>
                <w:bCs/>
                <w:color w:val="000000"/>
                <w:u w:color="00000A"/>
                <w:lang w:val="en-US" w:eastAsia="zh-CN" w:bidi="hi-IN"/>
              </w:rPr>
            </w:pPr>
          </w:p>
        </w:tc>
        <w:tc>
          <w:tcPr>
            <w:tcW w:w="6995" w:type="dxa"/>
            <w:tcBorders>
              <w:top w:val="single" w:sz="2" w:space="0" w:color="000001"/>
              <w:left w:val="single" w:sz="4" w:space="0" w:color="000001"/>
              <w:bottom w:val="single" w:sz="2" w:space="0" w:color="000001"/>
              <w:right w:val="single" w:sz="2" w:space="0" w:color="000001"/>
            </w:tcBorders>
            <w:shd w:val="clear" w:color="auto" w:fill="auto"/>
            <w:tcMar>
              <w:left w:w="75" w:type="dxa"/>
            </w:tcMar>
          </w:tcPr>
          <w:p w:rsidR="00A559F9" w:rsidRPr="002A2A92" w:rsidRDefault="00A559F9" w:rsidP="00A559F9">
            <w:pPr>
              <w:keepNext/>
              <w:suppressAutoHyphens w:val="0"/>
              <w:spacing w:line="240" w:lineRule="auto"/>
              <w:rPr>
                <w:rFonts w:eastAsia="Arial Unicode MS"/>
                <w:color w:val="000000"/>
                <w:u w:color="00000A"/>
                <w:lang w:val="en-US" w:eastAsia="zh-CN" w:bidi="hi-IN"/>
              </w:rPr>
            </w:pPr>
            <w:r w:rsidRPr="002A2A92">
              <w:rPr>
                <w:rFonts w:eastAsia="Arial Unicode MS"/>
                <w:color w:val="000000"/>
                <w:u w:color="00000A"/>
                <w:lang w:val="en-US" w:eastAsia="zh-CN" w:bidi="hi-IN"/>
              </w:rPr>
              <w:t>“High hazard” effects may cause complete destruction of objects or death when in the vicinity and the explosive functions accidentally.</w:t>
            </w:r>
          </w:p>
        </w:tc>
      </w:tr>
    </w:tbl>
    <w:p w:rsidR="00A559F9" w:rsidRDefault="00A559F9" w:rsidP="00A559F9">
      <w:pPr>
        <w:keepNext/>
        <w:suppressAutoHyphens w:val="0"/>
        <w:spacing w:line="240" w:lineRule="auto"/>
        <w:rPr>
          <w:rFonts w:eastAsia="Arial Unicode MS"/>
          <w:color w:val="000000"/>
          <w:sz w:val="22"/>
          <w:szCs w:val="22"/>
          <w:u w:color="00000A"/>
          <w:lang w:val="en-US" w:eastAsia="zh-CN" w:bidi="hi-IN"/>
        </w:rPr>
      </w:pPr>
    </w:p>
    <w:p w:rsidR="0055369C" w:rsidRPr="0055369C" w:rsidRDefault="0055369C" w:rsidP="00A559F9">
      <w:pPr>
        <w:keepNext/>
        <w:suppressAutoHyphens w:val="0"/>
        <w:spacing w:line="240" w:lineRule="auto"/>
        <w:rPr>
          <w:rFonts w:eastAsia="Arial Unicode MS"/>
          <w:color w:val="000000"/>
          <w:sz w:val="26"/>
          <w:szCs w:val="26"/>
          <w:u w:color="00000A"/>
          <w:lang w:val="en-US" w:eastAsia="zh-CN" w:bidi="hi-IN"/>
        </w:rPr>
      </w:pPr>
      <w:r>
        <w:rPr>
          <w:rFonts w:eastAsia="Arial Unicode MS"/>
          <w:color w:val="000000"/>
          <w:sz w:val="26"/>
          <w:szCs w:val="26"/>
          <w:u w:color="00000A"/>
          <w:lang w:val="en-US" w:eastAsia="zh-CN" w:bidi="hi-IN"/>
        </w:rPr>
        <w:t>]</w:t>
      </w:r>
    </w:p>
    <w:p w:rsidR="00A559F9" w:rsidRPr="002A2A92" w:rsidRDefault="00A559F9" w:rsidP="0055369C">
      <w:pPr>
        <w:pStyle w:val="SingleTxtG"/>
        <w:jc w:val="center"/>
        <w:rPr>
          <w:rFonts w:eastAsia="Calibri"/>
          <w:color w:val="000000"/>
          <w:sz w:val="22"/>
          <w:szCs w:val="22"/>
        </w:rPr>
      </w:pPr>
      <w:r w:rsidRPr="002A2A92">
        <w:rPr>
          <w:rFonts w:eastAsia="Calibri"/>
        </w:rPr>
        <w:lastRenderedPageBreak/>
        <w:t xml:space="preserve">[The following flow charts are from December 2018 and are included for reference only. They require updates to match the classification scheme above. </w:t>
      </w:r>
      <w:r w:rsidRPr="002A2A92">
        <w:rPr>
          <w:rFonts w:eastAsia="Calibri"/>
          <w:noProof/>
          <w:sz w:val="22"/>
          <w:szCs w:val="22"/>
          <w:lang w:val="en-US"/>
        </w:rPr>
        <w:drawing>
          <wp:inline distT="0" distB="0" distL="0" distR="0" wp14:anchorId="358A6D24" wp14:editId="1A89BED2">
            <wp:extent cx="4457700" cy="674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7700" cy="6743700"/>
                    </a:xfrm>
                    <a:prstGeom prst="rect">
                      <a:avLst/>
                    </a:prstGeom>
                  </pic:spPr>
                </pic:pic>
              </a:graphicData>
            </a:graphic>
          </wp:inline>
        </w:drawing>
      </w:r>
    </w:p>
    <w:p w:rsidR="00A559F9" w:rsidRPr="002A2A92" w:rsidRDefault="00A559F9" w:rsidP="00A559F9">
      <w:pPr>
        <w:suppressAutoHyphens w:val="0"/>
        <w:spacing w:after="160" w:line="259" w:lineRule="auto"/>
        <w:ind w:left="-360" w:right="-468"/>
        <w:rPr>
          <w:rFonts w:eastAsia="Calibri"/>
          <w:color w:val="FF0000"/>
          <w:sz w:val="22"/>
          <w:szCs w:val="22"/>
        </w:rPr>
      </w:pPr>
    </w:p>
    <w:p w:rsidR="00A559F9" w:rsidRPr="002A2A92" w:rsidRDefault="00A559F9" w:rsidP="00A559F9">
      <w:pPr>
        <w:suppressAutoHyphens w:val="0"/>
        <w:spacing w:line="240" w:lineRule="auto"/>
        <w:rPr>
          <w:rFonts w:eastAsia="Calibri"/>
          <w:color w:val="000000"/>
          <w:sz w:val="22"/>
          <w:szCs w:val="22"/>
        </w:rPr>
      </w:pPr>
      <w:r w:rsidRPr="002A2A92">
        <w:rPr>
          <w:rFonts w:eastAsia="Calibri"/>
          <w:color w:val="000000"/>
          <w:sz w:val="22"/>
          <w:szCs w:val="22"/>
        </w:rPr>
        <w:br w:type="page"/>
      </w:r>
    </w:p>
    <w:p w:rsidR="00A559F9" w:rsidRPr="002A2A92" w:rsidRDefault="00A559F9" w:rsidP="0055369C">
      <w:pPr>
        <w:suppressAutoHyphens w:val="0"/>
        <w:spacing w:after="160" w:line="259" w:lineRule="auto"/>
        <w:ind w:left="-360" w:right="-468"/>
        <w:jc w:val="center"/>
        <w:rPr>
          <w:rFonts w:eastAsia="Calibri"/>
          <w:color w:val="FF0000"/>
          <w:sz w:val="22"/>
          <w:szCs w:val="22"/>
        </w:rPr>
      </w:pPr>
      <w:r w:rsidRPr="002A2A92">
        <w:rPr>
          <w:rFonts w:eastAsia="Calibri"/>
          <w:noProof/>
          <w:sz w:val="22"/>
          <w:szCs w:val="22"/>
          <w:lang w:val="en-US"/>
        </w:rPr>
        <w:lastRenderedPageBreak/>
        <w:drawing>
          <wp:inline distT="0" distB="0" distL="0" distR="0" wp14:anchorId="316A2F5E" wp14:editId="51A80203">
            <wp:extent cx="4486275" cy="6819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6275" cy="6819900"/>
                    </a:xfrm>
                    <a:prstGeom prst="rect">
                      <a:avLst/>
                    </a:prstGeom>
                  </pic:spPr>
                </pic:pic>
              </a:graphicData>
            </a:graphic>
          </wp:inline>
        </w:drawing>
      </w:r>
    </w:p>
    <w:p w:rsidR="00A559F9" w:rsidRPr="002A2A92" w:rsidRDefault="00A559F9" w:rsidP="00A559F9">
      <w:pPr>
        <w:suppressAutoHyphens w:val="0"/>
        <w:spacing w:after="160" w:line="259" w:lineRule="auto"/>
        <w:ind w:left="-360" w:right="-468"/>
        <w:rPr>
          <w:rFonts w:eastAsia="Calibri"/>
          <w:color w:val="000000"/>
          <w:sz w:val="22"/>
          <w:szCs w:val="22"/>
        </w:rPr>
      </w:pPr>
      <w:r w:rsidRPr="002A2A92">
        <w:rPr>
          <w:rFonts w:eastAsia="Calibri"/>
          <w:color w:val="000000"/>
          <w:sz w:val="22"/>
          <w:szCs w:val="22"/>
        </w:rPr>
        <w:t>]</w:t>
      </w:r>
    </w:p>
    <w:p w:rsidR="00A559F9" w:rsidRPr="002A2A92" w:rsidRDefault="0055369C" w:rsidP="0055369C">
      <w:pPr>
        <w:spacing w:before="240"/>
        <w:jc w:val="center"/>
        <w:rPr>
          <w:rFonts w:eastAsia="Calibri"/>
          <w:color w:val="000000"/>
          <w:sz w:val="22"/>
          <w:szCs w:val="22"/>
        </w:rPr>
      </w:pPr>
      <w:r>
        <w:rPr>
          <w:rFonts w:eastAsia="Calibri"/>
          <w:u w:val="single"/>
        </w:rPr>
        <w:tab/>
      </w:r>
      <w:r>
        <w:rPr>
          <w:rFonts w:eastAsia="Calibri"/>
          <w:u w:val="single"/>
        </w:rPr>
        <w:tab/>
      </w:r>
      <w:r>
        <w:rPr>
          <w:rFonts w:eastAsia="Calibri"/>
          <w:u w:val="single"/>
        </w:rPr>
        <w:tab/>
      </w:r>
    </w:p>
    <w:sectPr w:rsidR="00A559F9" w:rsidRPr="002A2A92" w:rsidSect="0049771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09B" w:rsidRDefault="0041709B"/>
  </w:endnote>
  <w:endnote w:type="continuationSeparator" w:id="0">
    <w:p w:rsidR="0041709B" w:rsidRDefault="0041709B"/>
  </w:endnote>
  <w:endnote w:type="continuationNotice" w:id="1">
    <w:p w:rsidR="0041709B" w:rsidRDefault="00417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FE" w:rsidRPr="000216CC" w:rsidRDefault="00CD38F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0C3AA4">
      <w:rPr>
        <w:b/>
        <w:noProof/>
        <w:sz w:val="18"/>
      </w:rPr>
      <w:t>12</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FE" w:rsidRPr="000216CC" w:rsidRDefault="00CD38F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0C3AA4">
      <w:rPr>
        <w:b/>
        <w:noProof/>
        <w:sz w:val="18"/>
      </w:rPr>
      <w:t>11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FE" w:rsidRDefault="00CD38FE"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09B" w:rsidRPr="000B175B" w:rsidRDefault="0041709B" w:rsidP="000B175B">
      <w:pPr>
        <w:tabs>
          <w:tab w:val="right" w:pos="2155"/>
        </w:tabs>
        <w:spacing w:after="80"/>
        <w:ind w:left="680"/>
        <w:rPr>
          <w:u w:val="single"/>
        </w:rPr>
      </w:pPr>
      <w:r>
        <w:rPr>
          <w:u w:val="single"/>
        </w:rPr>
        <w:tab/>
      </w:r>
    </w:p>
  </w:footnote>
  <w:footnote w:type="continuationSeparator" w:id="0">
    <w:p w:rsidR="0041709B" w:rsidRPr="00FC68B7" w:rsidRDefault="0041709B" w:rsidP="00FC68B7">
      <w:pPr>
        <w:tabs>
          <w:tab w:val="left" w:pos="2155"/>
        </w:tabs>
        <w:spacing w:after="80"/>
        <w:ind w:left="680"/>
        <w:rPr>
          <w:u w:val="single"/>
        </w:rPr>
      </w:pPr>
      <w:r>
        <w:rPr>
          <w:u w:val="single"/>
        </w:rPr>
        <w:tab/>
      </w:r>
    </w:p>
  </w:footnote>
  <w:footnote w:type="continuationNotice" w:id="1">
    <w:p w:rsidR="0041709B" w:rsidRDefault="0041709B"/>
  </w:footnote>
  <w:footnote w:id="2">
    <w:p w:rsidR="003107D0" w:rsidRPr="003107D0" w:rsidRDefault="003107D0" w:rsidP="003107D0">
      <w:pPr>
        <w:pStyle w:val="FootnoteText"/>
        <w:tabs>
          <w:tab w:val="left" w:pos="1418"/>
        </w:tabs>
        <w:ind w:firstLine="0"/>
        <w:rPr>
          <w:lang w:val="fr-CH"/>
        </w:rPr>
      </w:pPr>
      <w:r>
        <w:rPr>
          <w:rStyle w:val="FootnoteReference"/>
        </w:rPr>
        <w:footnoteRef/>
      </w:r>
      <w:r>
        <w:t xml:space="preserve"> </w:t>
      </w:r>
      <w:r>
        <w:tab/>
      </w:r>
      <w:r>
        <w:rPr>
          <w:lang w:val="en-US"/>
        </w:rPr>
        <w:t>International Group of Experts on the Explosion Risks of Unstable Substances (IGUS), Explosives, Propellants, and Pyrotechnics working group (EPP)</w:t>
      </w:r>
    </w:p>
  </w:footnote>
  <w:footnote w:id="3">
    <w:p w:rsidR="003107D0" w:rsidRPr="003107D0" w:rsidRDefault="003107D0" w:rsidP="003107D0">
      <w:pPr>
        <w:pStyle w:val="FootnoteText"/>
        <w:tabs>
          <w:tab w:val="left" w:pos="1418"/>
        </w:tabs>
        <w:ind w:firstLine="0"/>
        <w:rPr>
          <w:lang w:val="fr-CH"/>
        </w:rPr>
      </w:pPr>
      <w:r>
        <w:rPr>
          <w:rStyle w:val="FootnoteReference"/>
        </w:rPr>
        <w:footnoteRef/>
      </w:r>
      <w:r>
        <w:t xml:space="preserve"> </w:t>
      </w:r>
      <w:r>
        <w:tab/>
      </w:r>
      <w:r w:rsidRPr="00584CF8">
        <w:rPr>
          <w:lang w:val="en-US"/>
        </w:rPr>
        <w:t>Chief Inspectors of Explosives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FE" w:rsidRPr="00BD7EBA" w:rsidRDefault="00D42C29" w:rsidP="001E5919">
    <w:pPr>
      <w:pStyle w:val="Header"/>
      <w:rPr>
        <w:lang w:val="fr-FR"/>
      </w:rPr>
    </w:pPr>
    <w:r>
      <w:rPr>
        <w:lang w:val="fr-FR"/>
      </w:rPr>
      <w:t>UN/SCETDG/55</w:t>
    </w:r>
    <w:r w:rsidR="003107D0">
      <w:rPr>
        <w:lang w:val="fr-FR"/>
      </w:rPr>
      <w:t>/INF.</w:t>
    </w:r>
    <w:r w:rsidR="00C829D0">
      <w:rPr>
        <w:lang w:val="fr-FR"/>
      </w:rPr>
      <w:t>19</w:t>
    </w:r>
  </w:p>
  <w:p w:rsidR="00CD38FE" w:rsidRPr="001E5919" w:rsidRDefault="00D42C29" w:rsidP="001E5919">
    <w:pPr>
      <w:pStyle w:val="Header"/>
      <w:rPr>
        <w:lang w:val="fr-FR"/>
      </w:rPr>
    </w:pPr>
    <w:r>
      <w:rPr>
        <w:lang w:val="fr-FR"/>
      </w:rPr>
      <w:t>UN/SCEGHS/37</w:t>
    </w:r>
    <w:r w:rsidR="003107D0">
      <w:rPr>
        <w:lang w:val="fr-FR"/>
      </w:rPr>
      <w:t>/INF.</w:t>
    </w:r>
    <w:r w:rsidR="00C829D0">
      <w:rPr>
        <w:lang w:val="fr-FR"/>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FE" w:rsidRPr="001E5919" w:rsidRDefault="00C23E4F" w:rsidP="001E5919">
    <w:pPr>
      <w:pStyle w:val="Header"/>
      <w:jc w:val="right"/>
      <w:rPr>
        <w:lang w:val="fr-FR"/>
      </w:rPr>
    </w:pPr>
    <w:r>
      <w:rPr>
        <w:lang w:val="fr-FR"/>
      </w:rPr>
      <w:t>UN/SCETDG/</w:t>
    </w:r>
    <w:r w:rsidR="00D42C29">
      <w:rPr>
        <w:lang w:val="fr-FR"/>
      </w:rPr>
      <w:t>55</w:t>
    </w:r>
    <w:r>
      <w:rPr>
        <w:lang w:val="fr-FR"/>
      </w:rPr>
      <w:t>/INF.</w:t>
    </w:r>
    <w:r w:rsidR="00C829D0">
      <w:rPr>
        <w:lang w:val="fr-FR"/>
      </w:rPr>
      <w:t>19</w:t>
    </w:r>
    <w:r>
      <w:rPr>
        <w:lang w:val="fr-FR"/>
      </w:rPr>
      <w:br/>
      <w:t>UN/SCEGHS/</w:t>
    </w:r>
    <w:r w:rsidR="00D42C29">
      <w:rPr>
        <w:lang w:val="fr-FR"/>
      </w:rPr>
      <w:t>37</w:t>
    </w:r>
    <w:r>
      <w:rPr>
        <w:lang w:val="fr-FR"/>
      </w:rPr>
      <w:t>/INF.</w:t>
    </w:r>
    <w:r w:rsidR="00C829D0">
      <w:rPr>
        <w:lang w:val="fr-FR"/>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8FE" w:rsidRPr="00542C8D" w:rsidRDefault="00CD38FE"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48302BD5"/>
    <w:multiLevelType w:val="hybridMultilevel"/>
    <w:tmpl w:val="CAC2074E"/>
    <w:lvl w:ilvl="0" w:tplc="C36A52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5EB20A52"/>
    <w:multiLevelType w:val="hybridMultilevel"/>
    <w:tmpl w:val="61C42000"/>
    <w:lvl w:ilvl="0" w:tplc="3BA81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C5F70"/>
    <w:multiLevelType w:val="hybridMultilevel"/>
    <w:tmpl w:val="F52AF1BE"/>
    <w:lvl w:ilvl="0" w:tplc="E4CAD0AC">
      <w:start w:val="2"/>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71396EDD"/>
    <w:multiLevelType w:val="hybridMultilevel"/>
    <w:tmpl w:val="DF7E5EFE"/>
    <w:lvl w:ilvl="0" w:tplc="E132DF2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2"/>
  </w:num>
  <w:num w:numId="13">
    <w:abstractNumId w:val="11"/>
  </w:num>
  <w:num w:numId="14">
    <w:abstractNumId w:val="23"/>
  </w:num>
  <w:num w:numId="15">
    <w:abstractNumId w:val="27"/>
  </w:num>
  <w:num w:numId="16">
    <w:abstractNumId w:val="18"/>
  </w:num>
  <w:num w:numId="17">
    <w:abstractNumId w:val="14"/>
  </w:num>
  <w:num w:numId="18">
    <w:abstractNumId w:val="10"/>
  </w:num>
  <w:num w:numId="19">
    <w:abstractNumId w:val="16"/>
  </w:num>
  <w:num w:numId="20">
    <w:abstractNumId w:val="22"/>
  </w:num>
  <w:num w:numId="21">
    <w:abstractNumId w:val="26"/>
  </w:num>
  <w:num w:numId="22">
    <w:abstractNumId w:val="13"/>
  </w:num>
  <w:num w:numId="23">
    <w:abstractNumId w:val="15"/>
  </w:num>
  <w:num w:numId="24">
    <w:abstractNumId w:val="19"/>
  </w:num>
  <w:num w:numId="25">
    <w:abstractNumId w:val="24"/>
  </w:num>
  <w:num w:numId="26">
    <w:abstractNumId w:val="25"/>
  </w:num>
  <w:num w:numId="27">
    <w:abstractNumId w:val="20"/>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375D"/>
    <w:rsid w:val="00036B2F"/>
    <w:rsid w:val="00041AEA"/>
    <w:rsid w:val="00043180"/>
    <w:rsid w:val="000504CE"/>
    <w:rsid w:val="00050922"/>
    <w:rsid w:val="00050F6B"/>
    <w:rsid w:val="00053492"/>
    <w:rsid w:val="000559D0"/>
    <w:rsid w:val="0005710C"/>
    <w:rsid w:val="00057EF7"/>
    <w:rsid w:val="00063DAC"/>
    <w:rsid w:val="00064402"/>
    <w:rsid w:val="00067E6D"/>
    <w:rsid w:val="00072C8C"/>
    <w:rsid w:val="00073129"/>
    <w:rsid w:val="00075F99"/>
    <w:rsid w:val="00076A0A"/>
    <w:rsid w:val="00080B38"/>
    <w:rsid w:val="00082CE1"/>
    <w:rsid w:val="00083598"/>
    <w:rsid w:val="00084632"/>
    <w:rsid w:val="00086918"/>
    <w:rsid w:val="00091046"/>
    <w:rsid w:val="00091419"/>
    <w:rsid w:val="00091CB3"/>
    <w:rsid w:val="000931C0"/>
    <w:rsid w:val="000A1FD1"/>
    <w:rsid w:val="000A2236"/>
    <w:rsid w:val="000A35F2"/>
    <w:rsid w:val="000A3A48"/>
    <w:rsid w:val="000A4C38"/>
    <w:rsid w:val="000B0954"/>
    <w:rsid w:val="000B175B"/>
    <w:rsid w:val="000B3A0F"/>
    <w:rsid w:val="000B4919"/>
    <w:rsid w:val="000B7AF2"/>
    <w:rsid w:val="000C1ED8"/>
    <w:rsid w:val="000C3AA4"/>
    <w:rsid w:val="000C5D4B"/>
    <w:rsid w:val="000C717F"/>
    <w:rsid w:val="000D0B8F"/>
    <w:rsid w:val="000D481F"/>
    <w:rsid w:val="000D6D97"/>
    <w:rsid w:val="000D7830"/>
    <w:rsid w:val="000E0415"/>
    <w:rsid w:val="000E5E99"/>
    <w:rsid w:val="000F52D6"/>
    <w:rsid w:val="000F6A20"/>
    <w:rsid w:val="001035E2"/>
    <w:rsid w:val="00103B54"/>
    <w:rsid w:val="0010461A"/>
    <w:rsid w:val="001054A3"/>
    <w:rsid w:val="00110B8A"/>
    <w:rsid w:val="001149AA"/>
    <w:rsid w:val="00114FB8"/>
    <w:rsid w:val="00115303"/>
    <w:rsid w:val="00117787"/>
    <w:rsid w:val="00117D0D"/>
    <w:rsid w:val="00117FD5"/>
    <w:rsid w:val="00121EB7"/>
    <w:rsid w:val="0012241F"/>
    <w:rsid w:val="00124421"/>
    <w:rsid w:val="00130FA6"/>
    <w:rsid w:val="00131B10"/>
    <w:rsid w:val="00131D42"/>
    <w:rsid w:val="00131F47"/>
    <w:rsid w:val="00133C50"/>
    <w:rsid w:val="001377BD"/>
    <w:rsid w:val="001406F4"/>
    <w:rsid w:val="001470D6"/>
    <w:rsid w:val="001621AD"/>
    <w:rsid w:val="001633FB"/>
    <w:rsid w:val="00163A1B"/>
    <w:rsid w:val="00165735"/>
    <w:rsid w:val="00167786"/>
    <w:rsid w:val="00171A6A"/>
    <w:rsid w:val="00181019"/>
    <w:rsid w:val="001835BF"/>
    <w:rsid w:val="0018439F"/>
    <w:rsid w:val="00184B86"/>
    <w:rsid w:val="0019637E"/>
    <w:rsid w:val="001A02A4"/>
    <w:rsid w:val="001B0361"/>
    <w:rsid w:val="001B0A9E"/>
    <w:rsid w:val="001B35EE"/>
    <w:rsid w:val="001B4B04"/>
    <w:rsid w:val="001B6B72"/>
    <w:rsid w:val="001C429D"/>
    <w:rsid w:val="001C6663"/>
    <w:rsid w:val="001C7895"/>
    <w:rsid w:val="001D0B0A"/>
    <w:rsid w:val="001D26DF"/>
    <w:rsid w:val="001D2FDC"/>
    <w:rsid w:val="001D3123"/>
    <w:rsid w:val="001D3A88"/>
    <w:rsid w:val="001D4B2D"/>
    <w:rsid w:val="001D4E70"/>
    <w:rsid w:val="001D5B61"/>
    <w:rsid w:val="001D7926"/>
    <w:rsid w:val="001E2FAA"/>
    <w:rsid w:val="001E5919"/>
    <w:rsid w:val="001E797C"/>
    <w:rsid w:val="001F79DC"/>
    <w:rsid w:val="00211B12"/>
    <w:rsid w:val="00211E0B"/>
    <w:rsid w:val="0021481D"/>
    <w:rsid w:val="002207A7"/>
    <w:rsid w:val="00221589"/>
    <w:rsid w:val="002216FB"/>
    <w:rsid w:val="00221AC2"/>
    <w:rsid w:val="00223F20"/>
    <w:rsid w:val="00224CD9"/>
    <w:rsid w:val="002309A7"/>
    <w:rsid w:val="00235381"/>
    <w:rsid w:val="00237785"/>
    <w:rsid w:val="00241178"/>
    <w:rsid w:val="00241466"/>
    <w:rsid w:val="002440E7"/>
    <w:rsid w:val="00247570"/>
    <w:rsid w:val="00257C1E"/>
    <w:rsid w:val="00261B71"/>
    <w:rsid w:val="00262099"/>
    <w:rsid w:val="002621F5"/>
    <w:rsid w:val="00264A62"/>
    <w:rsid w:val="002708B5"/>
    <w:rsid w:val="002725CA"/>
    <w:rsid w:val="00273A92"/>
    <w:rsid w:val="00277896"/>
    <w:rsid w:val="00280EB7"/>
    <w:rsid w:val="00285E22"/>
    <w:rsid w:val="00296EF4"/>
    <w:rsid w:val="002976CF"/>
    <w:rsid w:val="002A0BD2"/>
    <w:rsid w:val="002A17CD"/>
    <w:rsid w:val="002A2A92"/>
    <w:rsid w:val="002A2CF9"/>
    <w:rsid w:val="002A5B17"/>
    <w:rsid w:val="002A76D3"/>
    <w:rsid w:val="002B067A"/>
    <w:rsid w:val="002B1514"/>
    <w:rsid w:val="002B1737"/>
    <w:rsid w:val="002B1CDA"/>
    <w:rsid w:val="002C709F"/>
    <w:rsid w:val="002C7F25"/>
    <w:rsid w:val="002D3912"/>
    <w:rsid w:val="002D5A85"/>
    <w:rsid w:val="002D5C7D"/>
    <w:rsid w:val="002E35BB"/>
    <w:rsid w:val="002E4639"/>
    <w:rsid w:val="002E4D44"/>
    <w:rsid w:val="002F1915"/>
    <w:rsid w:val="002F68FD"/>
    <w:rsid w:val="003003A7"/>
    <w:rsid w:val="00305E30"/>
    <w:rsid w:val="003107D0"/>
    <w:rsid w:val="003107FA"/>
    <w:rsid w:val="00315D73"/>
    <w:rsid w:val="00316FF9"/>
    <w:rsid w:val="00321716"/>
    <w:rsid w:val="003229D8"/>
    <w:rsid w:val="00327D0A"/>
    <w:rsid w:val="00340BB2"/>
    <w:rsid w:val="003517C3"/>
    <w:rsid w:val="00355502"/>
    <w:rsid w:val="00356BC7"/>
    <w:rsid w:val="00357A20"/>
    <w:rsid w:val="003623D1"/>
    <w:rsid w:val="0036244F"/>
    <w:rsid w:val="00372F06"/>
    <w:rsid w:val="00391647"/>
    <w:rsid w:val="0039277A"/>
    <w:rsid w:val="00393127"/>
    <w:rsid w:val="00396F6A"/>
    <w:rsid w:val="003972E0"/>
    <w:rsid w:val="003A1EC2"/>
    <w:rsid w:val="003A52D7"/>
    <w:rsid w:val="003A59C7"/>
    <w:rsid w:val="003A5A16"/>
    <w:rsid w:val="003B5B38"/>
    <w:rsid w:val="003B7077"/>
    <w:rsid w:val="003C0657"/>
    <w:rsid w:val="003C18C9"/>
    <w:rsid w:val="003C2819"/>
    <w:rsid w:val="003C2CC4"/>
    <w:rsid w:val="003C655D"/>
    <w:rsid w:val="003D12C4"/>
    <w:rsid w:val="003D4B23"/>
    <w:rsid w:val="003E1174"/>
    <w:rsid w:val="003F23A4"/>
    <w:rsid w:val="003F5900"/>
    <w:rsid w:val="003F5B52"/>
    <w:rsid w:val="003F7CEA"/>
    <w:rsid w:val="00403EC6"/>
    <w:rsid w:val="00406CD4"/>
    <w:rsid w:val="004106D6"/>
    <w:rsid w:val="0041709B"/>
    <w:rsid w:val="004171AB"/>
    <w:rsid w:val="00430086"/>
    <w:rsid w:val="00430918"/>
    <w:rsid w:val="004325CB"/>
    <w:rsid w:val="00433D8F"/>
    <w:rsid w:val="00437F3F"/>
    <w:rsid w:val="00446DE4"/>
    <w:rsid w:val="00450E4B"/>
    <w:rsid w:val="00452D10"/>
    <w:rsid w:val="00454036"/>
    <w:rsid w:val="004562AA"/>
    <w:rsid w:val="00460B22"/>
    <w:rsid w:val="00461615"/>
    <w:rsid w:val="0046443A"/>
    <w:rsid w:val="004653B3"/>
    <w:rsid w:val="004654C4"/>
    <w:rsid w:val="0046668F"/>
    <w:rsid w:val="0046773D"/>
    <w:rsid w:val="0046788D"/>
    <w:rsid w:val="0048304D"/>
    <w:rsid w:val="00484A9B"/>
    <w:rsid w:val="00492AF9"/>
    <w:rsid w:val="00494C77"/>
    <w:rsid w:val="00497711"/>
    <w:rsid w:val="004A7AD5"/>
    <w:rsid w:val="004B2C9D"/>
    <w:rsid w:val="004B4D0A"/>
    <w:rsid w:val="004B5939"/>
    <w:rsid w:val="004B73D6"/>
    <w:rsid w:val="004C39D0"/>
    <w:rsid w:val="004C43DB"/>
    <w:rsid w:val="004C4F1A"/>
    <w:rsid w:val="004C6D6D"/>
    <w:rsid w:val="004D0012"/>
    <w:rsid w:val="004D0753"/>
    <w:rsid w:val="004E0C5D"/>
    <w:rsid w:val="004E3603"/>
    <w:rsid w:val="004F4240"/>
    <w:rsid w:val="004F77CD"/>
    <w:rsid w:val="00507CF1"/>
    <w:rsid w:val="005112EC"/>
    <w:rsid w:val="00515057"/>
    <w:rsid w:val="005209EA"/>
    <w:rsid w:val="00522177"/>
    <w:rsid w:val="00527910"/>
    <w:rsid w:val="00534655"/>
    <w:rsid w:val="00536DFA"/>
    <w:rsid w:val="005420F2"/>
    <w:rsid w:val="00542505"/>
    <w:rsid w:val="00542C8D"/>
    <w:rsid w:val="005449E7"/>
    <w:rsid w:val="005475D4"/>
    <w:rsid w:val="0055369C"/>
    <w:rsid w:val="00555CDB"/>
    <w:rsid w:val="00561B6D"/>
    <w:rsid w:val="00562D45"/>
    <w:rsid w:val="00564305"/>
    <w:rsid w:val="0056615B"/>
    <w:rsid w:val="00567DFB"/>
    <w:rsid w:val="00571DAA"/>
    <w:rsid w:val="0058129D"/>
    <w:rsid w:val="00584357"/>
    <w:rsid w:val="00590144"/>
    <w:rsid w:val="0059189B"/>
    <w:rsid w:val="00594A9A"/>
    <w:rsid w:val="0059682C"/>
    <w:rsid w:val="00597217"/>
    <w:rsid w:val="005A2489"/>
    <w:rsid w:val="005A64DD"/>
    <w:rsid w:val="005B09F0"/>
    <w:rsid w:val="005B0CED"/>
    <w:rsid w:val="005B3DB3"/>
    <w:rsid w:val="005B4B57"/>
    <w:rsid w:val="005B528A"/>
    <w:rsid w:val="005C3E89"/>
    <w:rsid w:val="005C4CB5"/>
    <w:rsid w:val="005D0C6C"/>
    <w:rsid w:val="005D1BB4"/>
    <w:rsid w:val="005D68BD"/>
    <w:rsid w:val="005D6EC5"/>
    <w:rsid w:val="005E2318"/>
    <w:rsid w:val="005E5946"/>
    <w:rsid w:val="005E6758"/>
    <w:rsid w:val="005F3A39"/>
    <w:rsid w:val="005F5C2F"/>
    <w:rsid w:val="005F7BB1"/>
    <w:rsid w:val="00602490"/>
    <w:rsid w:val="00603E3C"/>
    <w:rsid w:val="0061166C"/>
    <w:rsid w:val="00611FC4"/>
    <w:rsid w:val="00612812"/>
    <w:rsid w:val="006135B2"/>
    <w:rsid w:val="006176FB"/>
    <w:rsid w:val="00626B06"/>
    <w:rsid w:val="006279AC"/>
    <w:rsid w:val="0063419C"/>
    <w:rsid w:val="00635381"/>
    <w:rsid w:val="00636986"/>
    <w:rsid w:val="00636BD7"/>
    <w:rsid w:val="00637542"/>
    <w:rsid w:val="00640B26"/>
    <w:rsid w:val="00641194"/>
    <w:rsid w:val="00645A0B"/>
    <w:rsid w:val="006500BA"/>
    <w:rsid w:val="006506DB"/>
    <w:rsid w:val="00662121"/>
    <w:rsid w:val="00662E09"/>
    <w:rsid w:val="00670CF0"/>
    <w:rsid w:val="00675F87"/>
    <w:rsid w:val="0068281C"/>
    <w:rsid w:val="00690CD6"/>
    <w:rsid w:val="00693556"/>
    <w:rsid w:val="00695F8E"/>
    <w:rsid w:val="006A3932"/>
    <w:rsid w:val="006A5EF6"/>
    <w:rsid w:val="006A63E3"/>
    <w:rsid w:val="006A7392"/>
    <w:rsid w:val="006B1C55"/>
    <w:rsid w:val="006B4518"/>
    <w:rsid w:val="006C07B6"/>
    <w:rsid w:val="006C0B23"/>
    <w:rsid w:val="006C0D34"/>
    <w:rsid w:val="006C251B"/>
    <w:rsid w:val="006C2F7E"/>
    <w:rsid w:val="006D3560"/>
    <w:rsid w:val="006E3B65"/>
    <w:rsid w:val="006E564B"/>
    <w:rsid w:val="007025C0"/>
    <w:rsid w:val="0070691D"/>
    <w:rsid w:val="00707F04"/>
    <w:rsid w:val="00711637"/>
    <w:rsid w:val="007119A1"/>
    <w:rsid w:val="00714F4F"/>
    <w:rsid w:val="00720E23"/>
    <w:rsid w:val="0072632A"/>
    <w:rsid w:val="00736A6E"/>
    <w:rsid w:val="00736E6A"/>
    <w:rsid w:val="00737407"/>
    <w:rsid w:val="00741F59"/>
    <w:rsid w:val="00743ED5"/>
    <w:rsid w:val="0074697D"/>
    <w:rsid w:val="007555BF"/>
    <w:rsid w:val="00755A0C"/>
    <w:rsid w:val="00755EBE"/>
    <w:rsid w:val="00760C16"/>
    <w:rsid w:val="00761619"/>
    <w:rsid w:val="0076177C"/>
    <w:rsid w:val="00763C33"/>
    <w:rsid w:val="00766322"/>
    <w:rsid w:val="00767B23"/>
    <w:rsid w:val="00770BCD"/>
    <w:rsid w:val="00771904"/>
    <w:rsid w:val="00773353"/>
    <w:rsid w:val="00774129"/>
    <w:rsid w:val="00774E8F"/>
    <w:rsid w:val="00774EAA"/>
    <w:rsid w:val="0078123B"/>
    <w:rsid w:val="00786434"/>
    <w:rsid w:val="00790791"/>
    <w:rsid w:val="00796F36"/>
    <w:rsid w:val="007A2CDB"/>
    <w:rsid w:val="007A407C"/>
    <w:rsid w:val="007A4453"/>
    <w:rsid w:val="007A62EC"/>
    <w:rsid w:val="007A6D76"/>
    <w:rsid w:val="007B1A7E"/>
    <w:rsid w:val="007B2BA8"/>
    <w:rsid w:val="007B6BA5"/>
    <w:rsid w:val="007C2C0D"/>
    <w:rsid w:val="007C3162"/>
    <w:rsid w:val="007C3390"/>
    <w:rsid w:val="007C4F4B"/>
    <w:rsid w:val="007C644D"/>
    <w:rsid w:val="007D449A"/>
    <w:rsid w:val="007D52C2"/>
    <w:rsid w:val="007D5EA2"/>
    <w:rsid w:val="007D7BC6"/>
    <w:rsid w:val="007E22EF"/>
    <w:rsid w:val="007E2499"/>
    <w:rsid w:val="007E4BD3"/>
    <w:rsid w:val="007E5D7C"/>
    <w:rsid w:val="007F2A54"/>
    <w:rsid w:val="007F5104"/>
    <w:rsid w:val="007F6611"/>
    <w:rsid w:val="00800024"/>
    <w:rsid w:val="008037A2"/>
    <w:rsid w:val="008109D5"/>
    <w:rsid w:val="00811FE7"/>
    <w:rsid w:val="00816370"/>
    <w:rsid w:val="00816582"/>
    <w:rsid w:val="008175E9"/>
    <w:rsid w:val="00820A2D"/>
    <w:rsid w:val="008242D7"/>
    <w:rsid w:val="00825B97"/>
    <w:rsid w:val="00826410"/>
    <w:rsid w:val="00826C09"/>
    <w:rsid w:val="0083043E"/>
    <w:rsid w:val="0083069A"/>
    <w:rsid w:val="00832A1D"/>
    <w:rsid w:val="00834479"/>
    <w:rsid w:val="0083773B"/>
    <w:rsid w:val="00841557"/>
    <w:rsid w:val="00843AB2"/>
    <w:rsid w:val="00846809"/>
    <w:rsid w:val="008532BF"/>
    <w:rsid w:val="0086107D"/>
    <w:rsid w:val="00864251"/>
    <w:rsid w:val="00871FD5"/>
    <w:rsid w:val="0087351D"/>
    <w:rsid w:val="00881213"/>
    <w:rsid w:val="00896A7F"/>
    <w:rsid w:val="008979B1"/>
    <w:rsid w:val="008A0B75"/>
    <w:rsid w:val="008A1542"/>
    <w:rsid w:val="008A1BFD"/>
    <w:rsid w:val="008A6B25"/>
    <w:rsid w:val="008A6C4F"/>
    <w:rsid w:val="008A7679"/>
    <w:rsid w:val="008A7AB3"/>
    <w:rsid w:val="008B079F"/>
    <w:rsid w:val="008B65FB"/>
    <w:rsid w:val="008C3B3C"/>
    <w:rsid w:val="008C3E84"/>
    <w:rsid w:val="008C4283"/>
    <w:rsid w:val="008C74C3"/>
    <w:rsid w:val="008C7A05"/>
    <w:rsid w:val="008C7BF7"/>
    <w:rsid w:val="008D134F"/>
    <w:rsid w:val="008D3C75"/>
    <w:rsid w:val="008D5D05"/>
    <w:rsid w:val="008D6942"/>
    <w:rsid w:val="008E0E46"/>
    <w:rsid w:val="008E1DAE"/>
    <w:rsid w:val="008E295A"/>
    <w:rsid w:val="008E4FE4"/>
    <w:rsid w:val="008F0214"/>
    <w:rsid w:val="008F2D9A"/>
    <w:rsid w:val="008F44B8"/>
    <w:rsid w:val="008F504A"/>
    <w:rsid w:val="00901178"/>
    <w:rsid w:val="00904EBC"/>
    <w:rsid w:val="0091645B"/>
    <w:rsid w:val="00923019"/>
    <w:rsid w:val="00924B63"/>
    <w:rsid w:val="00933FAB"/>
    <w:rsid w:val="009363B6"/>
    <w:rsid w:val="00940F46"/>
    <w:rsid w:val="00941954"/>
    <w:rsid w:val="00941ECC"/>
    <w:rsid w:val="00945A5D"/>
    <w:rsid w:val="00946A0D"/>
    <w:rsid w:val="00950B2C"/>
    <w:rsid w:val="00955109"/>
    <w:rsid w:val="009615D9"/>
    <w:rsid w:val="00962DBC"/>
    <w:rsid w:val="00963B67"/>
    <w:rsid w:val="00963CBA"/>
    <w:rsid w:val="00967E24"/>
    <w:rsid w:val="009701ED"/>
    <w:rsid w:val="0097431F"/>
    <w:rsid w:val="0097639C"/>
    <w:rsid w:val="00982A54"/>
    <w:rsid w:val="00984471"/>
    <w:rsid w:val="00985F37"/>
    <w:rsid w:val="009879EA"/>
    <w:rsid w:val="009908A5"/>
    <w:rsid w:val="0099124E"/>
    <w:rsid w:val="00991261"/>
    <w:rsid w:val="009953D5"/>
    <w:rsid w:val="009A1D29"/>
    <w:rsid w:val="009B5F0D"/>
    <w:rsid w:val="009C6394"/>
    <w:rsid w:val="009C70A9"/>
    <w:rsid w:val="009D0E2A"/>
    <w:rsid w:val="009D0F0E"/>
    <w:rsid w:val="009D1AAE"/>
    <w:rsid w:val="009D634E"/>
    <w:rsid w:val="009E1560"/>
    <w:rsid w:val="009F0F06"/>
    <w:rsid w:val="009F3A47"/>
    <w:rsid w:val="009F4FC5"/>
    <w:rsid w:val="009F6CB7"/>
    <w:rsid w:val="00A01C8B"/>
    <w:rsid w:val="00A1427D"/>
    <w:rsid w:val="00A168BF"/>
    <w:rsid w:val="00A235F1"/>
    <w:rsid w:val="00A34B00"/>
    <w:rsid w:val="00A3777A"/>
    <w:rsid w:val="00A50077"/>
    <w:rsid w:val="00A538E5"/>
    <w:rsid w:val="00A5422A"/>
    <w:rsid w:val="00A54CA8"/>
    <w:rsid w:val="00A559F9"/>
    <w:rsid w:val="00A60196"/>
    <w:rsid w:val="00A6199C"/>
    <w:rsid w:val="00A622AF"/>
    <w:rsid w:val="00A642FE"/>
    <w:rsid w:val="00A65F4A"/>
    <w:rsid w:val="00A66636"/>
    <w:rsid w:val="00A702C0"/>
    <w:rsid w:val="00A72F22"/>
    <w:rsid w:val="00A744D7"/>
    <w:rsid w:val="00A748A6"/>
    <w:rsid w:val="00A74A46"/>
    <w:rsid w:val="00A757DF"/>
    <w:rsid w:val="00A75EC9"/>
    <w:rsid w:val="00A810D4"/>
    <w:rsid w:val="00A83451"/>
    <w:rsid w:val="00A83538"/>
    <w:rsid w:val="00A8523D"/>
    <w:rsid w:val="00A879A4"/>
    <w:rsid w:val="00A9244A"/>
    <w:rsid w:val="00A94447"/>
    <w:rsid w:val="00AA1D9A"/>
    <w:rsid w:val="00AA32EB"/>
    <w:rsid w:val="00AB382F"/>
    <w:rsid w:val="00AB4CF1"/>
    <w:rsid w:val="00AB6D87"/>
    <w:rsid w:val="00AC0069"/>
    <w:rsid w:val="00AC5A0C"/>
    <w:rsid w:val="00AD34EE"/>
    <w:rsid w:val="00AD7C88"/>
    <w:rsid w:val="00AE30F7"/>
    <w:rsid w:val="00AE45DE"/>
    <w:rsid w:val="00AF0878"/>
    <w:rsid w:val="00AF2F9D"/>
    <w:rsid w:val="00AF6710"/>
    <w:rsid w:val="00B013E6"/>
    <w:rsid w:val="00B04D66"/>
    <w:rsid w:val="00B10C19"/>
    <w:rsid w:val="00B1157C"/>
    <w:rsid w:val="00B1501F"/>
    <w:rsid w:val="00B21142"/>
    <w:rsid w:val="00B26710"/>
    <w:rsid w:val="00B26B3C"/>
    <w:rsid w:val="00B30179"/>
    <w:rsid w:val="00B31A1B"/>
    <w:rsid w:val="00B3317B"/>
    <w:rsid w:val="00B35584"/>
    <w:rsid w:val="00B41384"/>
    <w:rsid w:val="00B4398E"/>
    <w:rsid w:val="00B5392B"/>
    <w:rsid w:val="00B569BE"/>
    <w:rsid w:val="00B61827"/>
    <w:rsid w:val="00B71E2B"/>
    <w:rsid w:val="00B73973"/>
    <w:rsid w:val="00B73DA8"/>
    <w:rsid w:val="00B74F7C"/>
    <w:rsid w:val="00B75E05"/>
    <w:rsid w:val="00B81E12"/>
    <w:rsid w:val="00B8478E"/>
    <w:rsid w:val="00B84AAC"/>
    <w:rsid w:val="00B90F54"/>
    <w:rsid w:val="00B91CC3"/>
    <w:rsid w:val="00B92A0C"/>
    <w:rsid w:val="00B93068"/>
    <w:rsid w:val="00B9560E"/>
    <w:rsid w:val="00BA23A4"/>
    <w:rsid w:val="00BA413B"/>
    <w:rsid w:val="00BA7462"/>
    <w:rsid w:val="00BB1452"/>
    <w:rsid w:val="00BB176D"/>
    <w:rsid w:val="00BB3B28"/>
    <w:rsid w:val="00BC46B3"/>
    <w:rsid w:val="00BC74E9"/>
    <w:rsid w:val="00BD7EBA"/>
    <w:rsid w:val="00BE1FF8"/>
    <w:rsid w:val="00BE47B0"/>
    <w:rsid w:val="00BE50CA"/>
    <w:rsid w:val="00BE618E"/>
    <w:rsid w:val="00C0263F"/>
    <w:rsid w:val="00C03B44"/>
    <w:rsid w:val="00C060D3"/>
    <w:rsid w:val="00C10B00"/>
    <w:rsid w:val="00C13A85"/>
    <w:rsid w:val="00C20CF6"/>
    <w:rsid w:val="00C218A4"/>
    <w:rsid w:val="00C23E4F"/>
    <w:rsid w:val="00C36725"/>
    <w:rsid w:val="00C36D37"/>
    <w:rsid w:val="00C463DD"/>
    <w:rsid w:val="00C46D5B"/>
    <w:rsid w:val="00C5283C"/>
    <w:rsid w:val="00C537D5"/>
    <w:rsid w:val="00C55288"/>
    <w:rsid w:val="00C62186"/>
    <w:rsid w:val="00C62F76"/>
    <w:rsid w:val="00C64AB0"/>
    <w:rsid w:val="00C66D78"/>
    <w:rsid w:val="00C71A92"/>
    <w:rsid w:val="00C745C3"/>
    <w:rsid w:val="00C81212"/>
    <w:rsid w:val="00C829D0"/>
    <w:rsid w:val="00C846A6"/>
    <w:rsid w:val="00C84FF1"/>
    <w:rsid w:val="00C87231"/>
    <w:rsid w:val="00C91180"/>
    <w:rsid w:val="00C93C11"/>
    <w:rsid w:val="00C971F6"/>
    <w:rsid w:val="00CA049C"/>
    <w:rsid w:val="00CA2BD4"/>
    <w:rsid w:val="00CA381C"/>
    <w:rsid w:val="00CA74D3"/>
    <w:rsid w:val="00CB2158"/>
    <w:rsid w:val="00CB6380"/>
    <w:rsid w:val="00CC4CA6"/>
    <w:rsid w:val="00CD0009"/>
    <w:rsid w:val="00CD30EE"/>
    <w:rsid w:val="00CD3225"/>
    <w:rsid w:val="00CD38FE"/>
    <w:rsid w:val="00CE0D77"/>
    <w:rsid w:val="00CE4083"/>
    <w:rsid w:val="00CE46BA"/>
    <w:rsid w:val="00CE4A8F"/>
    <w:rsid w:val="00CE4A94"/>
    <w:rsid w:val="00CE6E1B"/>
    <w:rsid w:val="00CE74ED"/>
    <w:rsid w:val="00CE7626"/>
    <w:rsid w:val="00CF2F01"/>
    <w:rsid w:val="00CF4597"/>
    <w:rsid w:val="00CF6F32"/>
    <w:rsid w:val="00CF778D"/>
    <w:rsid w:val="00D0631B"/>
    <w:rsid w:val="00D06C3A"/>
    <w:rsid w:val="00D124FE"/>
    <w:rsid w:val="00D164BA"/>
    <w:rsid w:val="00D2031B"/>
    <w:rsid w:val="00D25958"/>
    <w:rsid w:val="00D25E8C"/>
    <w:rsid w:val="00D25FE2"/>
    <w:rsid w:val="00D27461"/>
    <w:rsid w:val="00D27E89"/>
    <w:rsid w:val="00D352FD"/>
    <w:rsid w:val="00D366A7"/>
    <w:rsid w:val="00D37E80"/>
    <w:rsid w:val="00D42C29"/>
    <w:rsid w:val="00D43252"/>
    <w:rsid w:val="00D46231"/>
    <w:rsid w:val="00D477C4"/>
    <w:rsid w:val="00D50BE1"/>
    <w:rsid w:val="00D52CD5"/>
    <w:rsid w:val="00D5409C"/>
    <w:rsid w:val="00D55A6B"/>
    <w:rsid w:val="00D57C13"/>
    <w:rsid w:val="00D57FD9"/>
    <w:rsid w:val="00D610C1"/>
    <w:rsid w:val="00D658FA"/>
    <w:rsid w:val="00D730E3"/>
    <w:rsid w:val="00D753D8"/>
    <w:rsid w:val="00D843A7"/>
    <w:rsid w:val="00D9274F"/>
    <w:rsid w:val="00D96248"/>
    <w:rsid w:val="00D96CC5"/>
    <w:rsid w:val="00D978C6"/>
    <w:rsid w:val="00D97B77"/>
    <w:rsid w:val="00DA1878"/>
    <w:rsid w:val="00DA6620"/>
    <w:rsid w:val="00DA67AD"/>
    <w:rsid w:val="00DB72BC"/>
    <w:rsid w:val="00DC487B"/>
    <w:rsid w:val="00DD1F74"/>
    <w:rsid w:val="00DD42A0"/>
    <w:rsid w:val="00DE11A6"/>
    <w:rsid w:val="00DE236F"/>
    <w:rsid w:val="00DE3ECB"/>
    <w:rsid w:val="00DE4785"/>
    <w:rsid w:val="00DE7267"/>
    <w:rsid w:val="00DF0A4D"/>
    <w:rsid w:val="00DF3039"/>
    <w:rsid w:val="00DF3A04"/>
    <w:rsid w:val="00DF4518"/>
    <w:rsid w:val="00DF7225"/>
    <w:rsid w:val="00E12018"/>
    <w:rsid w:val="00E130AB"/>
    <w:rsid w:val="00E1679E"/>
    <w:rsid w:val="00E239A0"/>
    <w:rsid w:val="00E34E58"/>
    <w:rsid w:val="00E36838"/>
    <w:rsid w:val="00E36C10"/>
    <w:rsid w:val="00E40B76"/>
    <w:rsid w:val="00E412EA"/>
    <w:rsid w:val="00E42461"/>
    <w:rsid w:val="00E4443D"/>
    <w:rsid w:val="00E52EB0"/>
    <w:rsid w:val="00E54352"/>
    <w:rsid w:val="00E54BD4"/>
    <w:rsid w:val="00E555F5"/>
    <w:rsid w:val="00E5644E"/>
    <w:rsid w:val="00E5691C"/>
    <w:rsid w:val="00E631BA"/>
    <w:rsid w:val="00E63DE8"/>
    <w:rsid w:val="00E65A76"/>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0C83"/>
    <w:rsid w:val="00ED3508"/>
    <w:rsid w:val="00ED3F6F"/>
    <w:rsid w:val="00ED7A2A"/>
    <w:rsid w:val="00EE4D59"/>
    <w:rsid w:val="00EE73C3"/>
    <w:rsid w:val="00EF1D7F"/>
    <w:rsid w:val="00EF4AAC"/>
    <w:rsid w:val="00EF5402"/>
    <w:rsid w:val="00EF71D8"/>
    <w:rsid w:val="00EF7E10"/>
    <w:rsid w:val="00F017EF"/>
    <w:rsid w:val="00F01C57"/>
    <w:rsid w:val="00F03FA2"/>
    <w:rsid w:val="00F05283"/>
    <w:rsid w:val="00F07537"/>
    <w:rsid w:val="00F07E12"/>
    <w:rsid w:val="00F1200D"/>
    <w:rsid w:val="00F22B03"/>
    <w:rsid w:val="00F261E5"/>
    <w:rsid w:val="00F30A8A"/>
    <w:rsid w:val="00F34267"/>
    <w:rsid w:val="00F34282"/>
    <w:rsid w:val="00F3574D"/>
    <w:rsid w:val="00F40295"/>
    <w:rsid w:val="00F40E75"/>
    <w:rsid w:val="00F412D3"/>
    <w:rsid w:val="00F444E3"/>
    <w:rsid w:val="00F5087E"/>
    <w:rsid w:val="00F51BAB"/>
    <w:rsid w:val="00F535BE"/>
    <w:rsid w:val="00F54674"/>
    <w:rsid w:val="00F554A1"/>
    <w:rsid w:val="00F64C95"/>
    <w:rsid w:val="00F75E96"/>
    <w:rsid w:val="00F82AD7"/>
    <w:rsid w:val="00FA00A0"/>
    <w:rsid w:val="00FA3FB7"/>
    <w:rsid w:val="00FB5A37"/>
    <w:rsid w:val="00FB7793"/>
    <w:rsid w:val="00FC18AA"/>
    <w:rsid w:val="00FC215C"/>
    <w:rsid w:val="00FC3D3C"/>
    <w:rsid w:val="00FC68B7"/>
    <w:rsid w:val="00FD3C5D"/>
    <w:rsid w:val="00FD3E70"/>
    <w:rsid w:val="00FD6B2B"/>
    <w:rsid w:val="00FE3EEA"/>
    <w:rsid w:val="00FE54C1"/>
    <w:rsid w:val="00FE681E"/>
    <w:rsid w:val="00FF03BB"/>
    <w:rsid w:val="00FF071A"/>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33D23"/>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table" w:customStyle="1" w:styleId="TableGrid10">
    <w:name w:val="Table Grid1"/>
    <w:basedOn w:val="TableNormal"/>
    <w:next w:val="TableGrid"/>
    <w:uiPriority w:val="39"/>
    <w:rsid w:val="00A559F9"/>
    <w:rPr>
      <w:rFonts w:ascii="Calibri" w:eastAsia="Calibri"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4942">
      <w:bodyDiv w:val="1"/>
      <w:marLeft w:val="0"/>
      <w:marRight w:val="0"/>
      <w:marTop w:val="0"/>
      <w:marBottom w:val="0"/>
      <w:divBdr>
        <w:top w:val="none" w:sz="0" w:space="0" w:color="auto"/>
        <w:left w:val="none" w:sz="0" w:space="0" w:color="auto"/>
        <w:bottom w:val="none" w:sz="0" w:space="0" w:color="auto"/>
        <w:right w:val="none" w:sz="0" w:space="0" w:color="auto"/>
      </w:divBdr>
    </w:div>
    <w:div w:id="375814571">
      <w:bodyDiv w:val="1"/>
      <w:marLeft w:val="0"/>
      <w:marRight w:val="0"/>
      <w:marTop w:val="0"/>
      <w:marBottom w:val="0"/>
      <w:divBdr>
        <w:top w:val="none" w:sz="0" w:space="0" w:color="auto"/>
        <w:left w:val="none" w:sz="0" w:space="0" w:color="auto"/>
        <w:bottom w:val="none" w:sz="0" w:space="0" w:color="auto"/>
        <w:right w:val="none" w:sz="0" w:space="0" w:color="auto"/>
      </w:divBdr>
    </w:div>
    <w:div w:id="901327226">
      <w:bodyDiv w:val="1"/>
      <w:marLeft w:val="0"/>
      <w:marRight w:val="0"/>
      <w:marTop w:val="0"/>
      <w:marBottom w:val="0"/>
      <w:divBdr>
        <w:top w:val="none" w:sz="0" w:space="0" w:color="auto"/>
        <w:left w:val="none" w:sz="0" w:space="0" w:color="auto"/>
        <w:bottom w:val="none" w:sz="0" w:space="0" w:color="auto"/>
        <w:right w:val="none" w:sz="0" w:space="0" w:color="auto"/>
      </w:divBdr>
      <w:divsChild>
        <w:div w:id="357050098">
          <w:marLeft w:val="1166"/>
          <w:marRight w:val="0"/>
          <w:marTop w:val="115"/>
          <w:marBottom w:val="0"/>
          <w:divBdr>
            <w:top w:val="none" w:sz="0" w:space="0" w:color="auto"/>
            <w:left w:val="none" w:sz="0" w:space="0" w:color="auto"/>
            <w:bottom w:val="none" w:sz="0" w:space="0" w:color="auto"/>
            <w:right w:val="none" w:sz="0" w:space="0" w:color="auto"/>
          </w:divBdr>
        </w:div>
      </w:divsChild>
    </w:div>
    <w:div w:id="925112052">
      <w:bodyDiv w:val="1"/>
      <w:marLeft w:val="0"/>
      <w:marRight w:val="0"/>
      <w:marTop w:val="0"/>
      <w:marBottom w:val="0"/>
      <w:divBdr>
        <w:top w:val="none" w:sz="0" w:space="0" w:color="auto"/>
        <w:left w:val="none" w:sz="0" w:space="0" w:color="auto"/>
        <w:bottom w:val="none" w:sz="0" w:space="0" w:color="auto"/>
        <w:right w:val="none" w:sz="0" w:space="0" w:color="auto"/>
      </w:divBdr>
    </w:div>
    <w:div w:id="1153568720">
      <w:bodyDiv w:val="1"/>
      <w:marLeft w:val="0"/>
      <w:marRight w:val="0"/>
      <w:marTop w:val="0"/>
      <w:marBottom w:val="0"/>
      <w:divBdr>
        <w:top w:val="none" w:sz="0" w:space="0" w:color="auto"/>
        <w:left w:val="none" w:sz="0" w:space="0" w:color="auto"/>
        <w:bottom w:val="none" w:sz="0" w:space="0" w:color="auto"/>
        <w:right w:val="none" w:sz="0" w:space="0" w:color="auto"/>
      </w:divBdr>
    </w:div>
    <w:div w:id="1280144783">
      <w:bodyDiv w:val="1"/>
      <w:marLeft w:val="0"/>
      <w:marRight w:val="0"/>
      <w:marTop w:val="0"/>
      <w:marBottom w:val="0"/>
      <w:divBdr>
        <w:top w:val="none" w:sz="0" w:space="0" w:color="auto"/>
        <w:left w:val="none" w:sz="0" w:space="0" w:color="auto"/>
        <w:bottom w:val="none" w:sz="0" w:space="0" w:color="auto"/>
        <w:right w:val="none" w:sz="0" w:space="0" w:color="auto"/>
      </w:divBdr>
    </w:div>
    <w:div w:id="1298412841">
      <w:bodyDiv w:val="1"/>
      <w:marLeft w:val="0"/>
      <w:marRight w:val="0"/>
      <w:marTop w:val="0"/>
      <w:marBottom w:val="0"/>
      <w:divBdr>
        <w:top w:val="none" w:sz="0" w:space="0" w:color="auto"/>
        <w:left w:val="none" w:sz="0" w:space="0" w:color="auto"/>
        <w:bottom w:val="none" w:sz="0" w:space="0" w:color="auto"/>
        <w:right w:val="none" w:sz="0" w:space="0" w:color="auto"/>
      </w:divBdr>
    </w:div>
    <w:div w:id="1329212369">
      <w:bodyDiv w:val="1"/>
      <w:marLeft w:val="0"/>
      <w:marRight w:val="0"/>
      <w:marTop w:val="0"/>
      <w:marBottom w:val="0"/>
      <w:divBdr>
        <w:top w:val="none" w:sz="0" w:space="0" w:color="auto"/>
        <w:left w:val="none" w:sz="0" w:space="0" w:color="auto"/>
        <w:bottom w:val="none" w:sz="0" w:space="0" w:color="auto"/>
        <w:right w:val="none" w:sz="0" w:space="0" w:color="auto"/>
      </w:divBdr>
      <w:divsChild>
        <w:div w:id="1874145289">
          <w:marLeft w:val="1166"/>
          <w:marRight w:val="0"/>
          <w:marTop w:val="115"/>
          <w:marBottom w:val="0"/>
          <w:divBdr>
            <w:top w:val="none" w:sz="0" w:space="0" w:color="auto"/>
            <w:left w:val="none" w:sz="0" w:space="0" w:color="auto"/>
            <w:bottom w:val="none" w:sz="0" w:space="0" w:color="auto"/>
            <w:right w:val="none" w:sz="0" w:space="0" w:color="auto"/>
          </w:divBdr>
        </w:div>
      </w:divsChild>
    </w:div>
    <w:div w:id="1371688864">
      <w:bodyDiv w:val="1"/>
      <w:marLeft w:val="0"/>
      <w:marRight w:val="0"/>
      <w:marTop w:val="0"/>
      <w:marBottom w:val="0"/>
      <w:divBdr>
        <w:top w:val="none" w:sz="0" w:space="0" w:color="auto"/>
        <w:left w:val="none" w:sz="0" w:space="0" w:color="auto"/>
        <w:bottom w:val="none" w:sz="0" w:space="0" w:color="auto"/>
        <w:right w:val="none" w:sz="0" w:space="0" w:color="auto"/>
      </w:divBdr>
      <w:divsChild>
        <w:div w:id="177356795">
          <w:marLeft w:val="0"/>
          <w:marRight w:val="0"/>
          <w:marTop w:val="0"/>
          <w:marBottom w:val="0"/>
          <w:divBdr>
            <w:top w:val="none" w:sz="0" w:space="0" w:color="auto"/>
            <w:left w:val="none" w:sz="0" w:space="0" w:color="auto"/>
            <w:bottom w:val="none" w:sz="0" w:space="0" w:color="auto"/>
            <w:right w:val="none" w:sz="0" w:space="0" w:color="auto"/>
          </w:divBdr>
        </w:div>
        <w:div w:id="311100378">
          <w:marLeft w:val="0"/>
          <w:marRight w:val="0"/>
          <w:marTop w:val="0"/>
          <w:marBottom w:val="0"/>
          <w:divBdr>
            <w:top w:val="none" w:sz="0" w:space="0" w:color="auto"/>
            <w:left w:val="none" w:sz="0" w:space="0" w:color="auto"/>
            <w:bottom w:val="none" w:sz="0" w:space="0" w:color="auto"/>
            <w:right w:val="none" w:sz="0" w:space="0" w:color="auto"/>
          </w:divBdr>
        </w:div>
        <w:div w:id="994140966">
          <w:marLeft w:val="0"/>
          <w:marRight w:val="0"/>
          <w:marTop w:val="0"/>
          <w:marBottom w:val="0"/>
          <w:divBdr>
            <w:top w:val="none" w:sz="0" w:space="0" w:color="auto"/>
            <w:left w:val="none" w:sz="0" w:space="0" w:color="auto"/>
            <w:bottom w:val="none" w:sz="0" w:space="0" w:color="auto"/>
            <w:right w:val="none" w:sz="0" w:space="0" w:color="auto"/>
          </w:divBdr>
        </w:div>
        <w:div w:id="1370644269">
          <w:marLeft w:val="0"/>
          <w:marRight w:val="0"/>
          <w:marTop w:val="0"/>
          <w:marBottom w:val="0"/>
          <w:divBdr>
            <w:top w:val="none" w:sz="0" w:space="0" w:color="auto"/>
            <w:left w:val="none" w:sz="0" w:space="0" w:color="auto"/>
            <w:bottom w:val="none" w:sz="0" w:space="0" w:color="auto"/>
            <w:right w:val="none" w:sz="0" w:space="0" w:color="auto"/>
          </w:divBdr>
        </w:div>
        <w:div w:id="1676880515">
          <w:marLeft w:val="0"/>
          <w:marRight w:val="0"/>
          <w:marTop w:val="0"/>
          <w:marBottom w:val="0"/>
          <w:divBdr>
            <w:top w:val="none" w:sz="0" w:space="0" w:color="auto"/>
            <w:left w:val="none" w:sz="0" w:space="0" w:color="auto"/>
            <w:bottom w:val="none" w:sz="0" w:space="0" w:color="auto"/>
            <w:right w:val="none" w:sz="0" w:space="0" w:color="auto"/>
          </w:divBdr>
        </w:div>
      </w:divsChild>
    </w:div>
    <w:div w:id="1492676041">
      <w:bodyDiv w:val="1"/>
      <w:marLeft w:val="0"/>
      <w:marRight w:val="0"/>
      <w:marTop w:val="0"/>
      <w:marBottom w:val="0"/>
      <w:divBdr>
        <w:top w:val="none" w:sz="0" w:space="0" w:color="auto"/>
        <w:left w:val="none" w:sz="0" w:space="0" w:color="auto"/>
        <w:bottom w:val="none" w:sz="0" w:space="0" w:color="auto"/>
        <w:right w:val="none" w:sz="0" w:space="0" w:color="auto"/>
      </w:divBdr>
    </w:div>
    <w:div w:id="1885288530">
      <w:bodyDiv w:val="1"/>
      <w:marLeft w:val="0"/>
      <w:marRight w:val="0"/>
      <w:marTop w:val="0"/>
      <w:marBottom w:val="0"/>
      <w:divBdr>
        <w:top w:val="none" w:sz="0" w:space="0" w:color="auto"/>
        <w:left w:val="none" w:sz="0" w:space="0" w:color="auto"/>
        <w:bottom w:val="none" w:sz="0" w:space="0" w:color="auto"/>
        <w:right w:val="none" w:sz="0" w:space="0" w:color="auto"/>
      </w:divBdr>
    </w:div>
    <w:div w:id="21218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0786-91AF-44A5-A8F1-1C336078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39</TotalTime>
  <Pages>13</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6</cp:revision>
  <cp:lastPrinted>2019-06-11T09:02:00Z</cp:lastPrinted>
  <dcterms:created xsi:type="dcterms:W3CDTF">2019-06-11T08:18:00Z</dcterms:created>
  <dcterms:modified xsi:type="dcterms:W3CDTF">2019-06-11T10:00:00Z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