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769B18DC" w14:textId="77777777" w:rsidTr="000216CC">
        <w:trPr>
          <w:trHeight w:val="851"/>
        </w:trPr>
        <w:tc>
          <w:tcPr>
            <w:tcW w:w="1259" w:type="dxa"/>
            <w:tcBorders>
              <w:top w:val="nil"/>
              <w:left w:val="nil"/>
              <w:bottom w:val="single" w:sz="4" w:space="0" w:color="auto"/>
              <w:right w:val="nil"/>
            </w:tcBorders>
            <w:shd w:val="clear" w:color="auto" w:fill="auto"/>
          </w:tcPr>
          <w:p w14:paraId="60497B8E" w14:textId="77777777" w:rsidR="00446DE4" w:rsidRPr="003E06B6"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7E15D78A"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6FACAFC" w14:textId="4E4ACC51" w:rsidR="00FC215C" w:rsidRPr="00CE1C34" w:rsidRDefault="00FC215C" w:rsidP="00FC215C">
            <w:pPr>
              <w:jc w:val="right"/>
              <w:rPr>
                <w:b/>
                <w:sz w:val="40"/>
                <w:szCs w:val="40"/>
                <w:lang w:val="fr-CH"/>
              </w:rPr>
            </w:pPr>
            <w:r w:rsidRPr="00CE1C34">
              <w:rPr>
                <w:b/>
                <w:sz w:val="40"/>
                <w:szCs w:val="40"/>
                <w:lang w:val="fr-CH"/>
              </w:rPr>
              <w:t>UN/SCETDG/</w:t>
            </w:r>
            <w:r w:rsidR="00E2792B" w:rsidRPr="00CE1C34">
              <w:rPr>
                <w:b/>
                <w:sz w:val="40"/>
                <w:szCs w:val="40"/>
                <w:lang w:val="fr-CH"/>
              </w:rPr>
              <w:t>5</w:t>
            </w:r>
            <w:r w:rsidR="003E06B6" w:rsidRPr="00CE1C34">
              <w:rPr>
                <w:b/>
                <w:sz w:val="40"/>
                <w:szCs w:val="40"/>
                <w:lang w:val="fr-CH"/>
              </w:rPr>
              <w:t>5</w:t>
            </w:r>
            <w:r w:rsidR="00385E9F" w:rsidRPr="00CE1C34">
              <w:rPr>
                <w:b/>
                <w:sz w:val="40"/>
                <w:szCs w:val="40"/>
                <w:lang w:val="fr-CH"/>
              </w:rPr>
              <w:t>/INF.</w:t>
            </w:r>
            <w:r w:rsidR="00CE1C34" w:rsidRPr="00CE1C34">
              <w:rPr>
                <w:b/>
                <w:sz w:val="40"/>
                <w:szCs w:val="40"/>
                <w:lang w:val="fr-CH"/>
              </w:rPr>
              <w:t>1</w:t>
            </w:r>
            <w:r w:rsidR="00FA0B12">
              <w:rPr>
                <w:b/>
                <w:sz w:val="40"/>
                <w:szCs w:val="40"/>
                <w:lang w:val="fr-CH"/>
              </w:rPr>
              <w:t>7</w:t>
            </w:r>
          </w:p>
          <w:p w14:paraId="7E49F724" w14:textId="77777777" w:rsidR="000216CC" w:rsidRPr="00CE1C3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9645"/>
      </w:tblGrid>
      <w:tr w:rsidR="00146D50" w:rsidRPr="001039FD" w14:paraId="4D943D41" w14:textId="77777777" w:rsidTr="00165735">
        <w:tc>
          <w:tcPr>
            <w:tcW w:w="9645" w:type="dxa"/>
            <w:tcMar>
              <w:top w:w="142" w:type="dxa"/>
              <w:left w:w="108" w:type="dxa"/>
              <w:bottom w:w="142" w:type="dxa"/>
              <w:right w:w="108" w:type="dxa"/>
            </w:tcMar>
          </w:tcPr>
          <w:tbl>
            <w:tblPr>
              <w:tblW w:w="9645" w:type="dxa"/>
              <w:tblInd w:w="108" w:type="dxa"/>
              <w:tblLayout w:type="fixed"/>
              <w:tblLook w:val="04A0" w:firstRow="1" w:lastRow="0" w:firstColumn="1" w:lastColumn="0" w:noHBand="0" w:noVBand="1"/>
            </w:tblPr>
            <w:tblGrid>
              <w:gridCol w:w="4652"/>
              <w:gridCol w:w="4993"/>
            </w:tblGrid>
            <w:tr w:rsidR="00146D50" w:rsidRPr="008D5CD3" w14:paraId="0D44F8CE" w14:textId="77777777" w:rsidTr="00221EA8">
              <w:tc>
                <w:tcPr>
                  <w:tcW w:w="9645" w:type="dxa"/>
                  <w:gridSpan w:val="2"/>
                  <w:tcMar>
                    <w:top w:w="142" w:type="dxa"/>
                    <w:left w:w="108" w:type="dxa"/>
                    <w:bottom w:w="142" w:type="dxa"/>
                    <w:right w:w="108" w:type="dxa"/>
                  </w:tcMar>
                </w:tcPr>
                <w:p w14:paraId="54F31A4E" w14:textId="13E93044" w:rsidR="00146D50" w:rsidRPr="008D5CD3" w:rsidRDefault="00146D50" w:rsidP="003825CA">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CE1C34">
                    <w:rPr>
                      <w:b/>
                    </w:rPr>
                    <w:t>7 June</w:t>
                  </w:r>
                  <w:r w:rsidRPr="00CE1C34">
                    <w:rPr>
                      <w:b/>
                    </w:rPr>
                    <w:t xml:space="preserve"> 2019</w:t>
                  </w:r>
                </w:p>
              </w:tc>
            </w:tr>
            <w:tr w:rsidR="00146D50" w:rsidRPr="001039FD" w14:paraId="535E2820" w14:textId="77777777" w:rsidTr="00221EA8">
              <w:trPr>
                <w:gridAfter w:val="1"/>
                <w:wAfter w:w="4993" w:type="dxa"/>
              </w:trPr>
              <w:tc>
                <w:tcPr>
                  <w:tcW w:w="4652" w:type="dxa"/>
                  <w:tcMar>
                    <w:top w:w="57" w:type="dxa"/>
                    <w:left w:w="108" w:type="dxa"/>
                    <w:bottom w:w="0" w:type="dxa"/>
                    <w:right w:w="108" w:type="dxa"/>
                  </w:tcMar>
                  <w:vAlign w:val="center"/>
                </w:tcPr>
                <w:p w14:paraId="2A09C1D7" w14:textId="77777777" w:rsidR="00146D50" w:rsidRPr="001039FD" w:rsidRDefault="00146D50" w:rsidP="00146D50">
                  <w:pPr>
                    <w:spacing w:before="120" w:after="120"/>
                    <w:rPr>
                      <w:b/>
                    </w:rPr>
                  </w:pPr>
                  <w:r w:rsidRPr="001039FD">
                    <w:rPr>
                      <w:b/>
                    </w:rPr>
                    <w:t xml:space="preserve">Sub-Committee of Experts on the Transport of Dangerous Goods </w:t>
                  </w:r>
                </w:p>
              </w:tc>
            </w:tr>
            <w:tr w:rsidR="00146D50" w:rsidRPr="00E601C0" w14:paraId="60F66ED4" w14:textId="77777777" w:rsidTr="00221EA8">
              <w:trPr>
                <w:gridAfter w:val="1"/>
                <w:wAfter w:w="4993" w:type="dxa"/>
              </w:trPr>
              <w:tc>
                <w:tcPr>
                  <w:tcW w:w="4652" w:type="dxa"/>
                  <w:tcMar>
                    <w:top w:w="57" w:type="dxa"/>
                    <w:left w:w="108" w:type="dxa"/>
                    <w:bottom w:w="0" w:type="dxa"/>
                    <w:right w:w="108" w:type="dxa"/>
                  </w:tcMar>
                </w:tcPr>
                <w:p w14:paraId="5E36375A" w14:textId="77777777" w:rsidR="00146D50" w:rsidRPr="00E601C0" w:rsidRDefault="00146D50" w:rsidP="00146D50">
                  <w:pPr>
                    <w:ind w:left="34" w:hanging="34"/>
                    <w:rPr>
                      <w:b/>
                    </w:rPr>
                  </w:pPr>
                  <w:r w:rsidRPr="00E601C0">
                    <w:rPr>
                      <w:b/>
                    </w:rPr>
                    <w:t>F</w:t>
                  </w:r>
                  <w:r>
                    <w:rPr>
                      <w:b/>
                    </w:rPr>
                    <w:t>ifty-fifth</w:t>
                  </w:r>
                  <w:r w:rsidRPr="00E601C0">
                    <w:rPr>
                      <w:b/>
                    </w:rPr>
                    <w:t xml:space="preserve"> session</w:t>
                  </w:r>
                </w:p>
              </w:tc>
            </w:tr>
            <w:tr w:rsidR="00146D50" w:rsidRPr="001039FD" w14:paraId="54295A8F" w14:textId="77777777" w:rsidTr="00221EA8">
              <w:trPr>
                <w:gridAfter w:val="1"/>
                <w:wAfter w:w="4993" w:type="dxa"/>
              </w:trPr>
              <w:tc>
                <w:tcPr>
                  <w:tcW w:w="4652" w:type="dxa"/>
                  <w:tcMar>
                    <w:top w:w="28" w:type="dxa"/>
                    <w:left w:w="108" w:type="dxa"/>
                    <w:bottom w:w="0" w:type="dxa"/>
                    <w:right w:w="108" w:type="dxa"/>
                  </w:tcMar>
                </w:tcPr>
                <w:p w14:paraId="6906B3DF" w14:textId="77777777" w:rsidR="00146D50" w:rsidRPr="00061070" w:rsidRDefault="00146D50" w:rsidP="00146D50">
                  <w:pPr>
                    <w:tabs>
                      <w:tab w:val="left" w:pos="0"/>
                      <w:tab w:val="left" w:pos="6361"/>
                      <w:tab w:val="left" w:pos="6939"/>
                    </w:tabs>
                    <w:ind w:left="34" w:hanging="34"/>
                    <w:outlineLvl w:val="0"/>
                    <w:rPr>
                      <w:bCs/>
                    </w:rPr>
                  </w:pPr>
                  <w:r w:rsidRPr="00061070">
                    <w:rPr>
                      <w:bCs/>
                    </w:rPr>
                    <w:t xml:space="preserve">Geneva, </w:t>
                  </w:r>
                  <w:r>
                    <w:t>1-5 July 2019</w:t>
                  </w:r>
                </w:p>
                <w:p w14:paraId="412F71B1" w14:textId="2288B589" w:rsidR="00146D50" w:rsidRPr="001039FD" w:rsidRDefault="00146D50" w:rsidP="00146D50">
                  <w:pPr>
                    <w:rPr>
                      <w:b/>
                      <w:bCs/>
                    </w:rPr>
                  </w:pPr>
                  <w:r w:rsidRPr="008C68B9">
                    <w:t>Item 6 (</w:t>
                  </w:r>
                  <w:r w:rsidR="00FA0B12" w:rsidRPr="008C68B9">
                    <w:t>e</w:t>
                  </w:r>
                  <w:r w:rsidRPr="008C68B9">
                    <w:t>) of the provisional agenda</w:t>
                  </w:r>
                  <w:r w:rsidRPr="008C68B9">
                    <w:br/>
                  </w:r>
                  <w:r w:rsidRPr="00136C59">
                    <w:rPr>
                      <w:b/>
                      <w:bCs/>
                    </w:rPr>
                    <w:t xml:space="preserve">Miscellaneous proposals for amendments to the Model Regulations on the Transport of Dangerous Goods: </w:t>
                  </w:r>
                  <w:r w:rsidR="00FA0B12" w:rsidRPr="00136C59">
                    <w:rPr>
                      <w:b/>
                      <w:bCs/>
                    </w:rPr>
                    <w:t>other miscellaneous proposals</w:t>
                  </w:r>
                </w:p>
              </w:tc>
            </w:tr>
          </w:tbl>
          <w:p w14:paraId="5183EFD2" w14:textId="77777777" w:rsidR="00146D50" w:rsidRPr="001039FD" w:rsidRDefault="00146D50" w:rsidP="00104283">
            <w:pPr>
              <w:tabs>
                <w:tab w:val="right" w:pos="9214"/>
              </w:tabs>
            </w:pPr>
          </w:p>
        </w:tc>
      </w:tr>
    </w:tbl>
    <w:p w14:paraId="064A20BB" w14:textId="77777777" w:rsidR="00FA0B12" w:rsidRPr="00F67F58" w:rsidRDefault="00FA0B12" w:rsidP="00FA0B12">
      <w:pPr>
        <w:pStyle w:val="HChG"/>
        <w:rPr>
          <w:lang w:val="fr-CH"/>
        </w:rPr>
      </w:pPr>
      <w:r w:rsidRPr="00FB31F8">
        <w:tab/>
      </w:r>
      <w:r w:rsidRPr="00FB31F8">
        <w:tab/>
      </w:r>
      <w:proofErr w:type="spellStart"/>
      <w:r w:rsidRPr="00F67F58">
        <w:rPr>
          <w:lang w:val="fr-CH"/>
        </w:rPr>
        <w:t>Comments</w:t>
      </w:r>
      <w:proofErr w:type="spellEnd"/>
      <w:r w:rsidRPr="00F67F58">
        <w:rPr>
          <w:lang w:val="fr-CH"/>
        </w:rPr>
        <w:t xml:space="preserve"> on document </w:t>
      </w:r>
      <w:r w:rsidRPr="00F67F58">
        <w:rPr>
          <w:szCs w:val="28"/>
        </w:rPr>
        <w:t>ST</w:t>
      </w:r>
      <w:r>
        <w:t>/SG/AC.10/C.3/2019/22</w:t>
      </w:r>
    </w:p>
    <w:p w14:paraId="64D66432" w14:textId="4D58D1B4" w:rsidR="00FA0B12" w:rsidRPr="00FB31F8" w:rsidRDefault="00FA0B12" w:rsidP="00FA0B12">
      <w:pPr>
        <w:pStyle w:val="H1G"/>
      </w:pPr>
      <w:r w:rsidRPr="00F67F58">
        <w:rPr>
          <w:lang w:val="fr-CH"/>
        </w:rPr>
        <w:tab/>
      </w:r>
      <w:r w:rsidRPr="00F67F58">
        <w:rPr>
          <w:lang w:val="fr-CH"/>
        </w:rPr>
        <w:tab/>
      </w:r>
      <w:r w:rsidRPr="00FB31F8">
        <w:t>Transmitted by the expert from Switzerland</w:t>
      </w:r>
    </w:p>
    <w:tbl>
      <w:tblPr>
        <w:tblStyle w:val="TableGrid"/>
        <w:tblW w:w="0" w:type="auto"/>
        <w:jc w:val="center"/>
        <w:tblLook w:val="01E0" w:firstRow="1" w:lastRow="1" w:firstColumn="1" w:lastColumn="1" w:noHBand="0" w:noVBand="0"/>
      </w:tblPr>
      <w:tblGrid>
        <w:gridCol w:w="8551"/>
      </w:tblGrid>
      <w:tr w:rsidR="00FA0B12" w:rsidRPr="00FB31F8" w14:paraId="0C15D593" w14:textId="77777777" w:rsidTr="008C68B9">
        <w:trPr>
          <w:jc w:val="center"/>
        </w:trPr>
        <w:tc>
          <w:tcPr>
            <w:tcW w:w="8551" w:type="dxa"/>
            <w:tcBorders>
              <w:bottom w:val="nil"/>
            </w:tcBorders>
          </w:tcPr>
          <w:p w14:paraId="0FCED032" w14:textId="25C026FF" w:rsidR="00FA0B12" w:rsidRPr="00FB31F8" w:rsidRDefault="008C68B9" w:rsidP="008C68B9">
            <w:pPr>
              <w:tabs>
                <w:tab w:val="left" w:pos="255"/>
              </w:tabs>
              <w:suppressAutoHyphens w:val="0"/>
              <w:spacing w:before="240" w:after="120"/>
              <w:ind w:left="-26"/>
              <w:rPr>
                <w:sz w:val="24"/>
              </w:rPr>
            </w:pPr>
            <w:r>
              <w:rPr>
                <w:i/>
                <w:sz w:val="24"/>
              </w:rPr>
              <w:tab/>
            </w:r>
            <w:r w:rsidR="00FA0B12" w:rsidRPr="00FB31F8">
              <w:rPr>
                <w:i/>
                <w:sz w:val="24"/>
              </w:rPr>
              <w:t>Summary</w:t>
            </w:r>
          </w:p>
        </w:tc>
      </w:tr>
      <w:tr w:rsidR="00FA0B12" w:rsidRPr="00FB31F8" w14:paraId="2565B18F" w14:textId="77777777" w:rsidTr="008C68B9">
        <w:trPr>
          <w:jc w:val="center"/>
        </w:trPr>
        <w:tc>
          <w:tcPr>
            <w:tcW w:w="8551" w:type="dxa"/>
            <w:tcBorders>
              <w:top w:val="nil"/>
              <w:bottom w:val="nil"/>
            </w:tcBorders>
            <w:shd w:val="clear" w:color="auto" w:fill="auto"/>
          </w:tcPr>
          <w:p w14:paraId="3CAF1FDA" w14:textId="7F08D603" w:rsidR="00FA0B12" w:rsidRPr="00FB31F8" w:rsidRDefault="008C68B9" w:rsidP="008C68B9">
            <w:pPr>
              <w:pStyle w:val="SingleTxtG"/>
              <w:tabs>
                <w:tab w:val="left" w:pos="280"/>
              </w:tabs>
              <w:spacing w:before="120" w:after="60"/>
              <w:ind w:left="-26"/>
              <w:rPr>
                <w:bCs/>
              </w:rPr>
            </w:pPr>
            <w:r>
              <w:rPr>
                <w:b/>
                <w:szCs w:val="22"/>
              </w:rPr>
              <w:tab/>
            </w:r>
            <w:r w:rsidR="00FA0B12" w:rsidRPr="00FB31F8">
              <w:rPr>
                <w:b/>
                <w:szCs w:val="22"/>
              </w:rPr>
              <w:t>Executive summary</w:t>
            </w:r>
            <w:r w:rsidR="00FA0B12" w:rsidRPr="00FB31F8">
              <w:rPr>
                <w:szCs w:val="22"/>
              </w:rPr>
              <w:t>:</w:t>
            </w:r>
            <w:r w:rsidR="00FA0B12" w:rsidRPr="00FB31F8">
              <w:rPr>
                <w:szCs w:val="22"/>
              </w:rPr>
              <w:tab/>
            </w:r>
            <w:r w:rsidR="00FA0B12">
              <w:rPr>
                <w:szCs w:val="22"/>
              </w:rPr>
              <w:t xml:space="preserve">Some comments and changes mainly but not only for the French </w:t>
            </w:r>
            <w:r>
              <w:rPr>
                <w:szCs w:val="22"/>
              </w:rPr>
              <w:tab/>
            </w:r>
            <w:r>
              <w:rPr>
                <w:szCs w:val="22"/>
              </w:rPr>
              <w:tab/>
            </w:r>
            <w:r>
              <w:rPr>
                <w:szCs w:val="22"/>
              </w:rPr>
              <w:tab/>
            </w:r>
            <w:r>
              <w:rPr>
                <w:szCs w:val="22"/>
              </w:rPr>
              <w:tab/>
            </w:r>
            <w:r>
              <w:rPr>
                <w:szCs w:val="22"/>
              </w:rPr>
              <w:tab/>
            </w:r>
            <w:r w:rsidR="00FA0B12">
              <w:rPr>
                <w:szCs w:val="22"/>
              </w:rPr>
              <w:t>version of the document are presented.</w:t>
            </w:r>
          </w:p>
        </w:tc>
      </w:tr>
      <w:tr w:rsidR="00FA0B12" w:rsidRPr="00FB31F8" w14:paraId="08A029BF" w14:textId="77777777" w:rsidTr="008C68B9">
        <w:trPr>
          <w:jc w:val="center"/>
        </w:trPr>
        <w:tc>
          <w:tcPr>
            <w:tcW w:w="8551" w:type="dxa"/>
            <w:tcBorders>
              <w:top w:val="nil"/>
              <w:bottom w:val="nil"/>
            </w:tcBorders>
            <w:shd w:val="clear" w:color="auto" w:fill="auto"/>
          </w:tcPr>
          <w:p w14:paraId="495979BD" w14:textId="3DDA7A53" w:rsidR="00FA0B12" w:rsidRPr="00FB31F8" w:rsidRDefault="00FA0B12" w:rsidP="008C68B9">
            <w:pPr>
              <w:pStyle w:val="SingleTxtG"/>
              <w:ind w:left="-26"/>
              <w:rPr>
                <w:color w:val="6699FF"/>
                <w:szCs w:val="22"/>
              </w:rPr>
            </w:pPr>
          </w:p>
        </w:tc>
      </w:tr>
      <w:tr w:rsidR="00FA0B12" w:rsidRPr="00FB31F8" w14:paraId="350BDA59" w14:textId="77777777" w:rsidTr="008C68B9">
        <w:trPr>
          <w:trHeight w:val="63"/>
          <w:jc w:val="center"/>
        </w:trPr>
        <w:tc>
          <w:tcPr>
            <w:tcW w:w="8551" w:type="dxa"/>
            <w:tcBorders>
              <w:top w:val="nil"/>
            </w:tcBorders>
          </w:tcPr>
          <w:p w14:paraId="036E2EF3" w14:textId="77777777" w:rsidR="00FA0B12" w:rsidRPr="00FB31F8" w:rsidRDefault="00FA0B12" w:rsidP="008C68B9">
            <w:pPr>
              <w:suppressAutoHyphens w:val="0"/>
              <w:ind w:left="-26"/>
            </w:pPr>
          </w:p>
        </w:tc>
      </w:tr>
    </w:tbl>
    <w:p w14:paraId="22C45968" w14:textId="77777777" w:rsidR="00FA0B12" w:rsidRPr="00FB31F8" w:rsidRDefault="00FA0B12" w:rsidP="00FA0B12">
      <w:pPr>
        <w:pStyle w:val="HChG"/>
      </w:pPr>
      <w:r w:rsidRPr="00FB31F8">
        <w:tab/>
      </w:r>
      <w:r w:rsidRPr="00FB31F8">
        <w:tab/>
        <w:t>Introduction</w:t>
      </w:r>
    </w:p>
    <w:p w14:paraId="61A6B2C9" w14:textId="77777777" w:rsidR="00FA0B12" w:rsidRPr="00FB31F8" w:rsidRDefault="00FA0B12" w:rsidP="00FA0B12">
      <w:pPr>
        <w:pStyle w:val="SingleTxtG"/>
      </w:pPr>
      <w:r w:rsidRPr="00FB31F8">
        <w:t>1.</w:t>
      </w:r>
      <w:r w:rsidRPr="00FB31F8">
        <w:tab/>
      </w:r>
      <w:r>
        <w:t xml:space="preserve">We appreciate the efforts undertaken by </w:t>
      </w:r>
      <w:proofErr w:type="spellStart"/>
      <w:r>
        <w:t>Roumania</w:t>
      </w:r>
      <w:proofErr w:type="spellEnd"/>
      <w:r>
        <w:t xml:space="preserve"> in trying to clarify the remaining points of the Regulations about the concepts of risk and hazard. Hereafter we bring our comments on their document.</w:t>
      </w:r>
    </w:p>
    <w:p w14:paraId="5325B836" w14:textId="77777777" w:rsidR="00FA0B12" w:rsidRPr="00FB31F8" w:rsidRDefault="00FA0B12" w:rsidP="00FA0B12">
      <w:pPr>
        <w:pStyle w:val="HChG"/>
      </w:pPr>
      <w:r w:rsidRPr="00FB31F8">
        <w:tab/>
      </w:r>
      <w:r w:rsidRPr="00FB31F8">
        <w:tab/>
        <w:t>Proposal</w:t>
      </w:r>
    </w:p>
    <w:p w14:paraId="6918DEBC" w14:textId="77777777" w:rsidR="00FA0B12" w:rsidRDefault="00FA0B12" w:rsidP="00FA0B12">
      <w:pPr>
        <w:pStyle w:val="SingleTxtG"/>
      </w:pPr>
      <w:r>
        <w:t>2</w:t>
      </w:r>
      <w:r w:rsidRPr="00FB31F8">
        <w:t>.</w:t>
      </w:r>
      <w:r w:rsidRPr="00FB31F8">
        <w:tab/>
      </w:r>
    </w:p>
    <w:tbl>
      <w:tblPr>
        <w:tblStyle w:val="TableGrid"/>
        <w:tblW w:w="8505" w:type="dxa"/>
        <w:tblInd w:w="562" w:type="dxa"/>
        <w:tblLayout w:type="fixed"/>
        <w:tblLook w:val="04A0" w:firstRow="1" w:lastRow="0" w:firstColumn="1" w:lastColumn="0" w:noHBand="0" w:noVBand="1"/>
      </w:tblPr>
      <w:tblGrid>
        <w:gridCol w:w="1276"/>
        <w:gridCol w:w="2355"/>
        <w:gridCol w:w="4874"/>
      </w:tblGrid>
      <w:tr w:rsidR="00FA0B12" w:rsidRPr="00577995" w14:paraId="71248C8B" w14:textId="77777777" w:rsidTr="00A03CDF">
        <w:tc>
          <w:tcPr>
            <w:tcW w:w="1276" w:type="dxa"/>
            <w:tcBorders>
              <w:bottom w:val="nil"/>
              <w:right w:val="nil"/>
            </w:tcBorders>
          </w:tcPr>
          <w:p w14:paraId="7A25BA72" w14:textId="77777777" w:rsidR="00FA0B12" w:rsidRPr="00577995" w:rsidRDefault="00FA0B12" w:rsidP="008C68B9">
            <w:pPr>
              <w:pStyle w:val="SingleTxtG"/>
              <w:tabs>
                <w:tab w:val="left" w:pos="568"/>
              </w:tabs>
              <w:spacing w:after="60"/>
              <w:ind w:left="0" w:right="0"/>
              <w:jc w:val="left"/>
            </w:pPr>
            <w:r w:rsidRPr="00577995">
              <w:t>1.5.1.1</w:t>
            </w:r>
          </w:p>
        </w:tc>
        <w:tc>
          <w:tcPr>
            <w:tcW w:w="7229" w:type="dxa"/>
            <w:gridSpan w:val="2"/>
            <w:tcBorders>
              <w:left w:val="nil"/>
              <w:bottom w:val="nil"/>
            </w:tcBorders>
          </w:tcPr>
          <w:p w14:paraId="146E93B0" w14:textId="77777777" w:rsidR="00FA0B12" w:rsidRPr="00573602" w:rsidRDefault="00FA0B12" w:rsidP="008C68B9">
            <w:pPr>
              <w:pStyle w:val="SingleTxtG"/>
              <w:spacing w:after="60"/>
              <w:ind w:left="0" w:right="0"/>
              <w:jc w:val="left"/>
            </w:pPr>
            <w:r w:rsidRPr="00577995">
              <w:t>Replace "risk" by "hazard".</w:t>
            </w:r>
          </w:p>
        </w:tc>
      </w:tr>
      <w:tr w:rsidR="00FA0B12" w:rsidRPr="00577995" w14:paraId="74BE607E" w14:textId="77777777" w:rsidTr="00A03CDF">
        <w:tc>
          <w:tcPr>
            <w:tcW w:w="8505" w:type="dxa"/>
            <w:gridSpan w:val="3"/>
            <w:tcBorders>
              <w:top w:val="nil"/>
              <w:bottom w:val="single" w:sz="4" w:space="0" w:color="auto"/>
            </w:tcBorders>
          </w:tcPr>
          <w:p w14:paraId="2230A6E3" w14:textId="77777777" w:rsidR="00FA0B12" w:rsidRPr="00573602" w:rsidRDefault="00FA0B12" w:rsidP="008C68B9">
            <w:pPr>
              <w:pStyle w:val="SingleTxtG"/>
              <w:spacing w:after="60"/>
              <w:ind w:left="0" w:right="0"/>
              <w:jc w:val="left"/>
            </w:pPr>
            <w:r w:rsidRPr="00573602">
              <w:t>The document defines the hazard as follows:</w:t>
            </w:r>
          </w:p>
          <w:p w14:paraId="3F7F05A4" w14:textId="31922BC4" w:rsidR="00FA0B12" w:rsidRPr="00573602" w:rsidRDefault="00FA0B12" w:rsidP="008C68B9">
            <w:pPr>
              <w:pStyle w:val="SingleTxtG"/>
              <w:spacing w:after="60"/>
              <w:ind w:left="0" w:right="0"/>
              <w:jc w:val="left"/>
            </w:pPr>
            <w:r w:rsidRPr="00573602">
              <w:rPr>
                <w:i/>
                <w:iCs/>
                <w:u w:val="single"/>
              </w:rPr>
              <w:t>“hazard” generally being the inherent properties of a substance or article that has the potential to do harm to persons, property or the environment</w:t>
            </w:r>
            <w:r w:rsidRPr="00573602">
              <w:rPr>
                <w:i/>
                <w:iCs/>
              </w:rPr>
              <w:t xml:space="preserve"> </w:t>
            </w:r>
            <w:proofErr w:type="gramStart"/>
            <w:r w:rsidRPr="00573602">
              <w:t>The</w:t>
            </w:r>
            <w:proofErr w:type="gramEnd"/>
            <w:r w:rsidRPr="00573602">
              <w:t xml:space="preserve"> hazard is not the result of an activity nor depends of a facility and is not an inherent property of the activity or facility.</w:t>
            </w:r>
          </w:p>
          <w:p w14:paraId="070840BE" w14:textId="4FA5C815" w:rsidR="00FA0B12" w:rsidRPr="00573602" w:rsidRDefault="00FA0B12" w:rsidP="008C68B9">
            <w:pPr>
              <w:pStyle w:val="SingleTxtG"/>
              <w:spacing w:after="60"/>
              <w:ind w:left="0" w:right="0"/>
              <w:jc w:val="left"/>
            </w:pPr>
            <w:r w:rsidRPr="00573602">
              <w:t>Thus, there is no reason to replace “risk” by “hazard” in the sentence.</w:t>
            </w:r>
          </w:p>
          <w:p w14:paraId="62A87C88" w14:textId="77777777" w:rsidR="00FA0B12" w:rsidRPr="00573602" w:rsidRDefault="00FA0B12" w:rsidP="008C68B9">
            <w:pPr>
              <w:pStyle w:val="SingleTxtG"/>
              <w:spacing w:after="60"/>
              <w:ind w:left="0" w:right="0"/>
              <w:jc w:val="left"/>
            </w:pPr>
            <w:proofErr w:type="gramStart"/>
            <w:r w:rsidRPr="00573602">
              <w:t>So</w:t>
            </w:r>
            <w:proofErr w:type="gramEnd"/>
            <w:r w:rsidRPr="00573602">
              <w:t xml:space="preserve"> the word “risk” in relation to the “activity” or facilities should remain.</w:t>
            </w:r>
          </w:p>
        </w:tc>
      </w:tr>
      <w:tr w:rsidR="00FA0B12" w:rsidRPr="00577995" w14:paraId="49F34C09" w14:textId="77777777" w:rsidTr="00A03CDF">
        <w:trPr>
          <w:trHeight w:val="420"/>
        </w:trPr>
        <w:tc>
          <w:tcPr>
            <w:tcW w:w="1276" w:type="dxa"/>
            <w:tcBorders>
              <w:bottom w:val="nil"/>
              <w:right w:val="nil"/>
            </w:tcBorders>
          </w:tcPr>
          <w:p w14:paraId="4688C1FA" w14:textId="2507FFC6" w:rsidR="00FA0B12" w:rsidRPr="00577995" w:rsidRDefault="00FA0B12" w:rsidP="00C23EC5">
            <w:pPr>
              <w:pStyle w:val="SingleTxtG"/>
              <w:keepNext/>
              <w:keepLines/>
              <w:spacing w:after="0"/>
              <w:ind w:left="0" w:right="0"/>
              <w:jc w:val="left"/>
            </w:pPr>
            <w:r w:rsidRPr="00577995">
              <w:lastRenderedPageBreak/>
              <w:t>2.6.3.2</w:t>
            </w:r>
            <w:r w:rsidR="00C23EC5">
              <w:t>.3.4</w:t>
            </w:r>
          </w:p>
        </w:tc>
        <w:tc>
          <w:tcPr>
            <w:tcW w:w="7229" w:type="dxa"/>
            <w:gridSpan w:val="2"/>
            <w:tcBorders>
              <w:left w:val="nil"/>
              <w:bottom w:val="nil"/>
            </w:tcBorders>
          </w:tcPr>
          <w:p w14:paraId="07866592" w14:textId="698B9463" w:rsidR="00FA0B12" w:rsidRPr="00573602" w:rsidRDefault="00C23EC5" w:rsidP="00C23EC5">
            <w:pPr>
              <w:pStyle w:val="SingleTxtG"/>
              <w:keepNext/>
              <w:keepLines/>
              <w:spacing w:after="0"/>
              <w:ind w:left="0" w:right="0"/>
              <w:jc w:val="left"/>
            </w:pPr>
            <w:r>
              <w:tab/>
            </w:r>
            <w:r w:rsidR="00FA0B12" w:rsidRPr="00577995">
              <w:t>Replace "risk" by "hazard".</w:t>
            </w:r>
          </w:p>
        </w:tc>
      </w:tr>
      <w:tr w:rsidR="00FA0B12" w:rsidRPr="00577995" w14:paraId="591BDD03" w14:textId="77777777" w:rsidTr="00A03CDF">
        <w:tc>
          <w:tcPr>
            <w:tcW w:w="8505" w:type="dxa"/>
            <w:gridSpan w:val="3"/>
            <w:tcBorders>
              <w:top w:val="nil"/>
            </w:tcBorders>
          </w:tcPr>
          <w:p w14:paraId="15B8BF60" w14:textId="25F9AB37" w:rsidR="00FA0B12" w:rsidRPr="00573602" w:rsidRDefault="00FA0B12" w:rsidP="008C68B9">
            <w:pPr>
              <w:pStyle w:val="SingleTxtG"/>
              <w:keepNext/>
              <w:keepLines/>
              <w:spacing w:after="60"/>
              <w:ind w:left="0" w:right="0"/>
              <w:jc w:val="left"/>
            </w:pPr>
            <w:r w:rsidRPr="00573602">
              <w:t>As clearly stated in 2.6.3.2.2.1 (b) the classification in Division 6.2 is greatly dependent on the expert judgement, based on individual circumstances of the source human or animal.</w:t>
            </w:r>
          </w:p>
          <w:p w14:paraId="6B929200" w14:textId="77777777" w:rsidR="00FA0B12" w:rsidRPr="00573602" w:rsidRDefault="00FA0B12" w:rsidP="008C68B9">
            <w:pPr>
              <w:pStyle w:val="SingleTxtG"/>
              <w:keepNext/>
              <w:keepLines/>
              <w:spacing w:after="60"/>
              <w:ind w:left="0" w:right="0"/>
              <w:jc w:val="left"/>
            </w:pPr>
            <w:r w:rsidRPr="00573602">
              <w:t>2.6.3.2.2.1 says the following:</w:t>
            </w:r>
          </w:p>
          <w:p w14:paraId="70F7F8D1" w14:textId="77777777" w:rsidR="00FA0B12" w:rsidRPr="00573602" w:rsidRDefault="00FA0B12" w:rsidP="008C68B9">
            <w:pPr>
              <w:pStyle w:val="SingleTxtG"/>
              <w:keepNext/>
              <w:keepLines/>
              <w:spacing w:after="60"/>
              <w:ind w:left="0" w:right="0"/>
              <w:jc w:val="left"/>
            </w:pPr>
            <w:r w:rsidRPr="00573602">
              <w:t>Assignment to UN 2814 or UN 2900 shall be based on the known medical history and symptoms of the source human or animal, endemic local conditions, or professional judgement concerning individual circumstances of the source human or animal.</w:t>
            </w:r>
          </w:p>
          <w:p w14:paraId="74115CA3" w14:textId="77777777" w:rsidR="00FA0B12" w:rsidRPr="00573602" w:rsidRDefault="00FA0B12" w:rsidP="008C68B9">
            <w:pPr>
              <w:pStyle w:val="SingleTxtG"/>
              <w:keepNext/>
              <w:keepLines/>
              <w:spacing w:after="60"/>
              <w:ind w:left="0" w:right="0"/>
              <w:jc w:val="left"/>
            </w:pPr>
            <w:proofErr w:type="gramStart"/>
            <w:r w:rsidRPr="00573602">
              <w:t>So</w:t>
            </w:r>
            <w:proofErr w:type="gramEnd"/>
            <w:r w:rsidRPr="00573602">
              <w:t xml:space="preserve"> what the professional judgement evaluates in case of environmental samples is not the danger of infection of a specific substance but the risk of infection due to the presence of the infectious substance. The word “risk” should remain in this case.</w:t>
            </w:r>
          </w:p>
        </w:tc>
      </w:tr>
      <w:tr w:rsidR="00FA0B12" w:rsidRPr="00577995" w14:paraId="5B5633F1" w14:textId="77777777" w:rsidTr="00A03CDF">
        <w:tc>
          <w:tcPr>
            <w:tcW w:w="1276" w:type="dxa"/>
            <w:tcBorders>
              <w:bottom w:val="single" w:sz="4" w:space="0" w:color="auto"/>
            </w:tcBorders>
          </w:tcPr>
          <w:p w14:paraId="1CFAA96A" w14:textId="77777777" w:rsidR="00FA0B12" w:rsidRPr="00577995" w:rsidRDefault="00FA0B12" w:rsidP="008C68B9">
            <w:pPr>
              <w:pStyle w:val="SingleTxtG"/>
              <w:ind w:left="0" w:right="0"/>
              <w:jc w:val="left"/>
            </w:pPr>
            <w:r w:rsidRPr="00577995">
              <w:t>2.6.3.2.3.8</w:t>
            </w:r>
          </w:p>
        </w:tc>
        <w:tc>
          <w:tcPr>
            <w:tcW w:w="2355" w:type="dxa"/>
            <w:tcBorders>
              <w:bottom w:val="single" w:sz="4" w:space="0" w:color="auto"/>
            </w:tcBorders>
          </w:tcPr>
          <w:p w14:paraId="5741FB82" w14:textId="77777777" w:rsidR="00FA0B12" w:rsidRPr="00956135" w:rsidRDefault="00FA0B12" w:rsidP="008C68B9">
            <w:pPr>
              <w:pStyle w:val="SingleTxtG"/>
              <w:spacing w:after="0"/>
              <w:ind w:left="0" w:right="0"/>
              <w:jc w:val="left"/>
              <w:rPr>
                <w:lang w:val="fr-FR"/>
              </w:rPr>
            </w:pPr>
            <w:r w:rsidRPr="00A37926">
              <w:rPr>
                <w:lang w:val="fr-FR"/>
              </w:rPr>
              <w:t xml:space="preserve">Remplacer </w:t>
            </w:r>
            <w:r>
              <w:rPr>
                <w:lang w:val="fr-FR"/>
              </w:rPr>
              <w:t>« </w:t>
            </w:r>
            <w:r w:rsidRPr="00A37926">
              <w:rPr>
                <w:lang w:val="fr-FR"/>
              </w:rPr>
              <w:t>un risque minimal</w:t>
            </w:r>
            <w:r>
              <w:rPr>
                <w:lang w:val="fr-FR"/>
              </w:rPr>
              <w:t> »</w:t>
            </w:r>
            <w:r w:rsidRPr="00A37926">
              <w:rPr>
                <w:lang w:val="fr-FR"/>
              </w:rPr>
              <w:t xml:space="preserve"> par </w:t>
            </w:r>
            <w:r>
              <w:rPr>
                <w:lang w:val="fr-FR"/>
              </w:rPr>
              <w:t>« </w:t>
            </w:r>
            <w:r w:rsidRPr="00A37926">
              <w:rPr>
                <w:lang w:val="fr-FR"/>
              </w:rPr>
              <w:t>une probabilité minimale</w:t>
            </w:r>
            <w:r>
              <w:rPr>
                <w:lang w:val="fr-FR"/>
              </w:rPr>
              <w:t> »</w:t>
            </w:r>
            <w:r w:rsidRPr="00A37926">
              <w:rPr>
                <w:lang w:val="fr-FR"/>
              </w:rPr>
              <w:t>.</w:t>
            </w:r>
          </w:p>
        </w:tc>
        <w:tc>
          <w:tcPr>
            <w:tcW w:w="4874" w:type="dxa"/>
            <w:tcBorders>
              <w:bottom w:val="single" w:sz="4" w:space="0" w:color="auto"/>
            </w:tcBorders>
          </w:tcPr>
          <w:p w14:paraId="195A8651" w14:textId="77777777" w:rsidR="00FA0B12" w:rsidRPr="00573602" w:rsidRDefault="00FA0B12" w:rsidP="008C68B9">
            <w:pPr>
              <w:pStyle w:val="SingleTxtG"/>
              <w:ind w:left="0" w:right="0"/>
              <w:jc w:val="left"/>
            </w:pPr>
            <w:r>
              <w:t>We</w:t>
            </w:r>
            <w:r w:rsidRPr="00573602">
              <w:t xml:space="preserve"> don’t see the need to change for Division 6.2 the term “</w:t>
            </w:r>
            <w:proofErr w:type="spellStart"/>
            <w:r w:rsidRPr="00573602">
              <w:t>risque</w:t>
            </w:r>
            <w:proofErr w:type="spellEnd"/>
            <w:r w:rsidRPr="00573602">
              <w:t>” for the reasons explained in 2.6.3.2.3.4 for Division 6.2 it is the “risk” which is important to evaluate.</w:t>
            </w:r>
          </w:p>
          <w:p w14:paraId="40DF8DF8" w14:textId="77777777" w:rsidR="00FA0B12" w:rsidRPr="00573602" w:rsidRDefault="00FA0B12" w:rsidP="008C68B9">
            <w:pPr>
              <w:pStyle w:val="SingleTxtG"/>
              <w:ind w:left="0" w:right="0"/>
              <w:jc w:val="left"/>
            </w:pPr>
            <w:r w:rsidRPr="00573602">
              <w:t>“</w:t>
            </w:r>
            <w:proofErr w:type="spellStart"/>
            <w:r w:rsidRPr="00573602">
              <w:t>risque</w:t>
            </w:r>
            <w:proofErr w:type="spellEnd"/>
            <w:r w:rsidRPr="00573602">
              <w:t>” should remain.</w:t>
            </w:r>
          </w:p>
        </w:tc>
      </w:tr>
      <w:tr w:rsidR="00FA0B12" w:rsidRPr="00031CD8" w14:paraId="463B428A" w14:textId="77777777" w:rsidTr="00A03CDF">
        <w:tc>
          <w:tcPr>
            <w:tcW w:w="1276" w:type="dxa"/>
            <w:tcBorders>
              <w:bottom w:val="nil"/>
              <w:right w:val="nil"/>
            </w:tcBorders>
          </w:tcPr>
          <w:p w14:paraId="15137E05" w14:textId="77777777" w:rsidR="00FA0B12" w:rsidRDefault="00FA0B12" w:rsidP="008C68B9">
            <w:pPr>
              <w:pStyle w:val="SingleTxtG"/>
              <w:ind w:left="0" w:right="0"/>
              <w:jc w:val="left"/>
            </w:pPr>
            <w:r w:rsidRPr="00577995">
              <w:t>3.5.3.2</w:t>
            </w:r>
          </w:p>
          <w:p w14:paraId="27D634A6" w14:textId="77777777" w:rsidR="00FA0B12" w:rsidRPr="00577995" w:rsidRDefault="00FA0B12" w:rsidP="008C68B9">
            <w:pPr>
              <w:pStyle w:val="SingleTxtG"/>
              <w:ind w:left="0" w:right="0"/>
              <w:jc w:val="left"/>
            </w:pPr>
          </w:p>
        </w:tc>
        <w:tc>
          <w:tcPr>
            <w:tcW w:w="7229" w:type="dxa"/>
            <w:gridSpan w:val="2"/>
            <w:tcBorders>
              <w:left w:val="nil"/>
              <w:bottom w:val="nil"/>
            </w:tcBorders>
          </w:tcPr>
          <w:p w14:paraId="5FAE8BEF" w14:textId="6DEBC0E5" w:rsidR="00FA0B12" w:rsidRPr="00031CD8" w:rsidRDefault="00FA0B12" w:rsidP="008C68B9">
            <w:pPr>
              <w:pStyle w:val="SingleTxtG"/>
              <w:ind w:left="0" w:right="0"/>
              <w:jc w:val="left"/>
              <w:rPr>
                <w:lang w:val="fr-CH"/>
              </w:rPr>
            </w:pPr>
            <w:r w:rsidRPr="00A37926">
              <w:rPr>
                <w:lang w:val="fr-FR"/>
              </w:rPr>
              <w:t xml:space="preserve">Remplacer </w:t>
            </w:r>
            <w:r>
              <w:rPr>
                <w:lang w:val="fr-FR"/>
              </w:rPr>
              <w:t>« </w:t>
            </w:r>
            <w:r w:rsidRPr="00A37926">
              <w:rPr>
                <w:lang w:val="fr-FR"/>
              </w:rPr>
              <w:t xml:space="preserve">les résultats </w:t>
            </w:r>
            <w:proofErr w:type="gramStart"/>
            <w:r w:rsidRPr="00A37926">
              <w:rPr>
                <w:lang w:val="fr-FR"/>
              </w:rPr>
              <w:t>risquent</w:t>
            </w:r>
            <w:proofErr w:type="gramEnd"/>
            <w:r w:rsidRPr="00A37926">
              <w:rPr>
                <w:lang w:val="fr-FR"/>
              </w:rPr>
              <w:t xml:space="preserve"> de s</w:t>
            </w:r>
            <w:r>
              <w:rPr>
                <w:lang w:val="fr-FR"/>
              </w:rPr>
              <w:t>’</w:t>
            </w:r>
            <w:r w:rsidRPr="00A37926">
              <w:rPr>
                <w:lang w:val="fr-FR"/>
              </w:rPr>
              <w:t>en trouver faussés</w:t>
            </w:r>
            <w:r>
              <w:rPr>
                <w:lang w:val="fr-FR"/>
              </w:rPr>
              <w:t> »</w:t>
            </w:r>
            <w:r w:rsidRPr="00A37926">
              <w:rPr>
                <w:lang w:val="fr-FR"/>
              </w:rPr>
              <w:t xml:space="preserve"> par </w:t>
            </w:r>
            <w:r>
              <w:rPr>
                <w:lang w:val="fr-FR"/>
              </w:rPr>
              <w:t>« </w:t>
            </w:r>
            <w:r w:rsidRPr="00A37926">
              <w:rPr>
                <w:lang w:val="fr-FR"/>
              </w:rPr>
              <w:t>cela invaliderait les résultats des épreuves</w:t>
            </w:r>
            <w:r>
              <w:rPr>
                <w:lang w:val="fr-FR"/>
              </w:rPr>
              <w:t> »</w:t>
            </w:r>
            <w:r w:rsidRPr="00A37926">
              <w:rPr>
                <w:lang w:val="fr-FR"/>
              </w:rPr>
              <w:t>.</w:t>
            </w:r>
            <w:bookmarkStart w:id="0" w:name="_GoBack"/>
            <w:bookmarkEnd w:id="0"/>
          </w:p>
        </w:tc>
      </w:tr>
      <w:tr w:rsidR="00FA0B12" w:rsidRPr="00577995" w14:paraId="03F7DF3E" w14:textId="77777777" w:rsidTr="00A03CDF">
        <w:trPr>
          <w:trHeight w:val="1665"/>
        </w:trPr>
        <w:tc>
          <w:tcPr>
            <w:tcW w:w="8505" w:type="dxa"/>
            <w:gridSpan w:val="3"/>
            <w:tcBorders>
              <w:top w:val="nil"/>
            </w:tcBorders>
          </w:tcPr>
          <w:p w14:paraId="6A74857E" w14:textId="762A31CC" w:rsidR="00FA0B12" w:rsidRPr="00573602" w:rsidRDefault="00FA0B12" w:rsidP="008C68B9">
            <w:pPr>
              <w:pStyle w:val="SingleTxtG"/>
              <w:ind w:left="0" w:right="0"/>
              <w:jc w:val="left"/>
            </w:pPr>
            <w:r w:rsidRPr="00573602">
              <w:t>The verb “</w:t>
            </w:r>
            <w:proofErr w:type="spellStart"/>
            <w:r w:rsidRPr="00573602">
              <w:t>risquent</w:t>
            </w:r>
            <w:proofErr w:type="spellEnd"/>
            <w:r w:rsidRPr="00573602">
              <w:t xml:space="preserve"> de </w:t>
            </w:r>
            <w:proofErr w:type="spellStart"/>
            <w:r w:rsidRPr="00573602">
              <w:t>s’en</w:t>
            </w:r>
            <w:proofErr w:type="spellEnd"/>
            <w:r w:rsidRPr="00573602">
              <w:t xml:space="preserve"> </w:t>
            </w:r>
            <w:proofErr w:type="spellStart"/>
            <w:r w:rsidRPr="00573602">
              <w:t>trouver</w:t>
            </w:r>
            <w:proofErr w:type="spellEnd"/>
            <w:r w:rsidRPr="00573602">
              <w:t xml:space="preserve"> </w:t>
            </w:r>
            <w:proofErr w:type="spellStart"/>
            <w:r w:rsidRPr="00573602">
              <w:t>faussé</w:t>
            </w:r>
            <w:proofErr w:type="spellEnd"/>
            <w:r w:rsidRPr="00573602">
              <w:t xml:space="preserve">” permits to evaluate the risk without performing the tests that demonstrate that the results are different. </w:t>
            </w:r>
            <w:r w:rsidRPr="00573602">
              <w:rPr>
                <w:lang w:val="fr-CH"/>
              </w:rPr>
              <w:t xml:space="preserve">The replacement by “sauf si cela invaliderait </w:t>
            </w:r>
            <w:proofErr w:type="gramStart"/>
            <w:r w:rsidRPr="00573602">
              <w:rPr>
                <w:lang w:val="fr-CH"/>
              </w:rPr>
              <w:t>les résultat</w:t>
            </w:r>
            <w:proofErr w:type="gramEnd"/>
            <w:r w:rsidRPr="00573602">
              <w:rPr>
                <w:lang w:val="fr-CH"/>
              </w:rPr>
              <w:t xml:space="preserve"> des épreuves” </w:t>
            </w:r>
            <w:proofErr w:type="spellStart"/>
            <w:r w:rsidRPr="00573602">
              <w:rPr>
                <w:lang w:val="fr-CH"/>
              </w:rPr>
              <w:t>is</w:t>
            </w:r>
            <w:proofErr w:type="spellEnd"/>
            <w:r w:rsidRPr="00573602">
              <w:rPr>
                <w:lang w:val="fr-CH"/>
              </w:rPr>
              <w:t xml:space="preserve"> </w:t>
            </w:r>
            <w:proofErr w:type="spellStart"/>
            <w:r w:rsidRPr="00573602">
              <w:rPr>
                <w:lang w:val="fr-CH"/>
              </w:rPr>
              <w:t>grammatically</w:t>
            </w:r>
            <w:proofErr w:type="spellEnd"/>
            <w:r w:rsidRPr="00573602">
              <w:rPr>
                <w:lang w:val="fr-CH"/>
              </w:rPr>
              <w:t xml:space="preserve"> false. It </w:t>
            </w:r>
            <w:proofErr w:type="spellStart"/>
            <w:r w:rsidRPr="00573602">
              <w:rPr>
                <w:lang w:val="fr-CH"/>
              </w:rPr>
              <w:t>should</w:t>
            </w:r>
            <w:proofErr w:type="spellEnd"/>
            <w:r w:rsidRPr="00573602">
              <w:rPr>
                <w:lang w:val="fr-CH"/>
              </w:rPr>
              <w:t xml:space="preserve"> </w:t>
            </w:r>
            <w:proofErr w:type="spellStart"/>
            <w:r w:rsidRPr="00573602">
              <w:rPr>
                <w:lang w:val="fr-CH"/>
              </w:rPr>
              <w:t>be</w:t>
            </w:r>
            <w:proofErr w:type="spellEnd"/>
            <w:r w:rsidRPr="00573602">
              <w:rPr>
                <w:lang w:val="fr-CH"/>
              </w:rPr>
              <w:t xml:space="preserve"> “sauf si cela invalid</w:t>
            </w:r>
            <w:r w:rsidRPr="00573602">
              <w:rPr>
                <w:b/>
                <w:u w:val="single"/>
                <w:lang w:val="fr-CH"/>
              </w:rPr>
              <w:t>ait</w:t>
            </w:r>
            <w:r w:rsidRPr="00573602">
              <w:rPr>
                <w:lang w:val="fr-CH"/>
              </w:rPr>
              <w:t xml:space="preserve"> les résultats des épreuves”. </w:t>
            </w:r>
            <w:r w:rsidRPr="00573602">
              <w:t>In French thanks the verb “</w:t>
            </w:r>
            <w:proofErr w:type="spellStart"/>
            <w:r w:rsidRPr="00573602">
              <w:t>risquent</w:t>
            </w:r>
            <w:proofErr w:type="spellEnd"/>
            <w:r w:rsidRPr="00573602">
              <w:t>” one can evaluate the risk that the test would be invalidated without performing the tests.</w:t>
            </w:r>
          </w:p>
          <w:p w14:paraId="1332190E" w14:textId="77777777" w:rsidR="00FA0B12" w:rsidRPr="00573602" w:rsidRDefault="00FA0B12" w:rsidP="008C68B9">
            <w:pPr>
              <w:pStyle w:val="SingleTxtG"/>
              <w:ind w:left="0" w:right="0"/>
              <w:jc w:val="left"/>
            </w:pPr>
            <w:r w:rsidRPr="00573602">
              <w:t>We would prefer not to change the text and maintain “</w:t>
            </w:r>
            <w:proofErr w:type="spellStart"/>
            <w:r w:rsidRPr="00573602">
              <w:t>risquent</w:t>
            </w:r>
            <w:proofErr w:type="spellEnd"/>
            <w:r w:rsidRPr="00573602">
              <w:t xml:space="preserve"> de </w:t>
            </w:r>
            <w:proofErr w:type="spellStart"/>
            <w:r w:rsidRPr="00573602">
              <w:t>s’en</w:t>
            </w:r>
            <w:proofErr w:type="spellEnd"/>
            <w:r w:rsidRPr="00573602">
              <w:t xml:space="preserve"> </w:t>
            </w:r>
            <w:proofErr w:type="spellStart"/>
            <w:r w:rsidRPr="00573602">
              <w:t>trouver</w:t>
            </w:r>
            <w:proofErr w:type="spellEnd"/>
            <w:r w:rsidRPr="00573602">
              <w:t xml:space="preserve"> </w:t>
            </w:r>
            <w:proofErr w:type="spellStart"/>
            <w:r w:rsidRPr="00573602">
              <w:t>faussés</w:t>
            </w:r>
            <w:proofErr w:type="spellEnd"/>
            <w:r w:rsidRPr="00573602">
              <w:t>”.</w:t>
            </w:r>
          </w:p>
        </w:tc>
      </w:tr>
      <w:tr w:rsidR="00FA0B12" w:rsidRPr="006471FF" w14:paraId="7E99CA84" w14:textId="77777777" w:rsidTr="00A03CDF">
        <w:trPr>
          <w:trHeight w:val="1155"/>
        </w:trPr>
        <w:tc>
          <w:tcPr>
            <w:tcW w:w="1276" w:type="dxa"/>
            <w:tcBorders>
              <w:bottom w:val="single" w:sz="4" w:space="0" w:color="auto"/>
            </w:tcBorders>
          </w:tcPr>
          <w:p w14:paraId="573C06FE" w14:textId="77777777" w:rsidR="00FA0B12" w:rsidRPr="00577995" w:rsidRDefault="00FA0B12" w:rsidP="008C68B9">
            <w:pPr>
              <w:pStyle w:val="SingleTxtG"/>
              <w:ind w:left="0" w:right="0"/>
              <w:jc w:val="left"/>
            </w:pPr>
            <w:r>
              <w:t>4</w:t>
            </w:r>
            <w:r w:rsidRPr="006542EA">
              <w:t>.1.4.1</w:t>
            </w:r>
            <w:r>
              <w:t xml:space="preserve"> P005), par. 4</w:t>
            </w:r>
          </w:p>
        </w:tc>
        <w:tc>
          <w:tcPr>
            <w:tcW w:w="2355" w:type="dxa"/>
            <w:tcBorders>
              <w:bottom w:val="single" w:sz="4" w:space="0" w:color="auto"/>
            </w:tcBorders>
          </w:tcPr>
          <w:p w14:paraId="34E52454" w14:textId="77777777" w:rsidR="00FA0B12" w:rsidRPr="00E80842" w:rsidRDefault="00FA0B12" w:rsidP="008C68B9">
            <w:pPr>
              <w:pStyle w:val="SingleTxtG"/>
              <w:spacing w:after="0"/>
              <w:ind w:left="0" w:right="0"/>
              <w:jc w:val="left"/>
              <w:rPr>
                <w:lang w:val="fr-CH"/>
              </w:rPr>
            </w:pPr>
            <w:r w:rsidRPr="00D75BD0">
              <w:rPr>
                <w:lang w:val="fr-FR"/>
              </w:rPr>
              <w:t xml:space="preserve">Remplacer </w:t>
            </w:r>
            <w:r>
              <w:rPr>
                <w:lang w:val="fr-FR"/>
              </w:rPr>
              <w:t>« </w:t>
            </w:r>
            <w:r w:rsidRPr="00D75BD0">
              <w:rPr>
                <w:lang w:val="fr-FR"/>
              </w:rPr>
              <w:t>les risques d</w:t>
            </w:r>
            <w:r>
              <w:rPr>
                <w:lang w:val="fr-FR"/>
              </w:rPr>
              <w:t>’</w:t>
            </w:r>
            <w:r w:rsidRPr="00D75BD0">
              <w:rPr>
                <w:lang w:val="fr-FR"/>
              </w:rPr>
              <w:t>avarie</w:t>
            </w:r>
            <w:r>
              <w:rPr>
                <w:lang w:val="fr-FR"/>
              </w:rPr>
              <w:t> »</w:t>
            </w:r>
            <w:r w:rsidRPr="00D75BD0">
              <w:rPr>
                <w:lang w:val="fr-FR"/>
              </w:rPr>
              <w:t xml:space="preserve"> par </w:t>
            </w:r>
            <w:r>
              <w:rPr>
                <w:lang w:val="fr-FR"/>
              </w:rPr>
              <w:t>« </w:t>
            </w:r>
            <w:r w:rsidRPr="00D75BD0">
              <w:rPr>
                <w:lang w:val="fr-FR"/>
              </w:rPr>
              <w:t>les avaries</w:t>
            </w:r>
            <w:r>
              <w:rPr>
                <w:lang w:val="fr-FR"/>
              </w:rPr>
              <w:t> »</w:t>
            </w:r>
            <w:r w:rsidRPr="00D75BD0">
              <w:rPr>
                <w:lang w:val="fr-FR"/>
              </w:rPr>
              <w:t xml:space="preserve"> et supprimer </w:t>
            </w:r>
            <w:r>
              <w:rPr>
                <w:lang w:val="fr-FR"/>
              </w:rPr>
              <w:t>« </w:t>
            </w:r>
            <w:r w:rsidRPr="00D75BD0">
              <w:rPr>
                <w:lang w:val="fr-FR"/>
              </w:rPr>
              <w:t>de</w:t>
            </w:r>
            <w:r>
              <w:rPr>
                <w:lang w:val="fr-FR"/>
              </w:rPr>
              <w:t> </w:t>
            </w:r>
            <w:r w:rsidRPr="00D75BD0">
              <w:rPr>
                <w:lang w:val="fr-FR"/>
              </w:rPr>
              <w:t>risque</w:t>
            </w:r>
            <w:r>
              <w:rPr>
                <w:lang w:val="fr-FR"/>
              </w:rPr>
              <w:t> »</w:t>
            </w:r>
            <w:r w:rsidRPr="00D75BD0">
              <w:rPr>
                <w:lang w:val="fr-FR"/>
              </w:rPr>
              <w:t>.</w:t>
            </w:r>
          </w:p>
        </w:tc>
        <w:tc>
          <w:tcPr>
            <w:tcW w:w="4874" w:type="dxa"/>
            <w:tcBorders>
              <w:bottom w:val="single" w:sz="4" w:space="0" w:color="auto"/>
            </w:tcBorders>
          </w:tcPr>
          <w:p w14:paraId="55AF6D20" w14:textId="77777777" w:rsidR="00FA0B12" w:rsidRPr="00573602" w:rsidRDefault="00FA0B12" w:rsidP="008C68B9">
            <w:pPr>
              <w:pStyle w:val="SingleTxtG"/>
              <w:ind w:left="0" w:right="0"/>
              <w:jc w:val="left"/>
              <w:rPr>
                <w:lang w:val="fr-CH"/>
              </w:rPr>
            </w:pPr>
            <w:r w:rsidRPr="00573602">
              <w:rPr>
                <w:lang w:val="fr-CH"/>
              </w:rPr>
              <w:t>4.1.4.1 P005. Par. 4</w:t>
            </w:r>
          </w:p>
          <w:p w14:paraId="45FA50D2" w14:textId="77777777" w:rsidR="00FA0B12" w:rsidRPr="00573602" w:rsidRDefault="00FA0B12" w:rsidP="008C68B9">
            <w:pPr>
              <w:pStyle w:val="SingleTxtG"/>
              <w:ind w:left="0" w:right="0"/>
              <w:jc w:val="left"/>
              <w:rPr>
                <w:lang w:val="fr-CH"/>
              </w:rPr>
            </w:pPr>
            <w:r w:rsidRPr="00573602">
              <w:rPr>
                <w:lang w:val="fr-CH"/>
              </w:rPr>
              <w:t xml:space="preserve">“prévenir les avaries aux moyens de rétention…” </w:t>
            </w:r>
            <w:proofErr w:type="spellStart"/>
            <w:r w:rsidRPr="00573602">
              <w:rPr>
                <w:lang w:val="fr-CH"/>
              </w:rPr>
              <w:t>should</w:t>
            </w:r>
            <w:proofErr w:type="spellEnd"/>
            <w:r w:rsidRPr="00573602">
              <w:rPr>
                <w:lang w:val="fr-CH"/>
              </w:rPr>
              <w:t xml:space="preserve"> </w:t>
            </w:r>
            <w:proofErr w:type="spellStart"/>
            <w:r w:rsidRPr="00573602">
              <w:rPr>
                <w:lang w:val="fr-CH"/>
              </w:rPr>
              <w:t>be</w:t>
            </w:r>
            <w:proofErr w:type="spellEnd"/>
            <w:r w:rsidRPr="00573602">
              <w:rPr>
                <w:lang w:val="fr-CH"/>
              </w:rPr>
              <w:t xml:space="preserve"> “prévenir les dommages aux moyens de </w:t>
            </w:r>
            <w:proofErr w:type="gramStart"/>
            <w:r w:rsidRPr="00573602">
              <w:rPr>
                <w:lang w:val="fr-CH"/>
              </w:rPr>
              <w:t>rétention..</w:t>
            </w:r>
            <w:proofErr w:type="gramEnd"/>
            <w:r w:rsidRPr="00573602">
              <w:rPr>
                <w:lang w:val="fr-CH"/>
              </w:rPr>
              <w:t> »</w:t>
            </w:r>
          </w:p>
          <w:p w14:paraId="2EFB6D38" w14:textId="77777777" w:rsidR="00FA0B12" w:rsidRPr="00573602" w:rsidRDefault="00FA0B12" w:rsidP="008C68B9">
            <w:pPr>
              <w:pStyle w:val="SingleTxtG"/>
              <w:ind w:left="0"/>
              <w:jc w:val="left"/>
              <w:rPr>
                <w:lang w:val="fr-CH"/>
              </w:rPr>
            </w:pPr>
          </w:p>
        </w:tc>
      </w:tr>
      <w:tr w:rsidR="00FA0B12" w:rsidRPr="003B08D2" w14:paraId="61AA1532" w14:textId="77777777" w:rsidTr="00A03CDF">
        <w:trPr>
          <w:trHeight w:val="810"/>
        </w:trPr>
        <w:tc>
          <w:tcPr>
            <w:tcW w:w="1276" w:type="dxa"/>
            <w:tcBorders>
              <w:bottom w:val="nil"/>
              <w:right w:val="nil"/>
            </w:tcBorders>
          </w:tcPr>
          <w:p w14:paraId="6CFB2D9A" w14:textId="77777777" w:rsidR="00FA0B12" w:rsidRPr="00E051F1" w:rsidRDefault="00FA0B12" w:rsidP="008C68B9">
            <w:pPr>
              <w:pStyle w:val="SingleTxtG"/>
              <w:ind w:left="0" w:right="0"/>
              <w:jc w:val="left"/>
            </w:pPr>
            <w:r w:rsidRPr="00237BF3">
              <w:t>4.1.4.1, PP52</w:t>
            </w:r>
            <w:r>
              <w:t xml:space="preserve"> and PP76</w:t>
            </w:r>
          </w:p>
        </w:tc>
        <w:tc>
          <w:tcPr>
            <w:tcW w:w="7229" w:type="dxa"/>
            <w:gridSpan w:val="2"/>
            <w:tcBorders>
              <w:left w:val="nil"/>
              <w:bottom w:val="nil"/>
            </w:tcBorders>
          </w:tcPr>
          <w:p w14:paraId="7B114C53" w14:textId="77777777" w:rsidR="00FA0B12" w:rsidRPr="00573602" w:rsidRDefault="00FA0B12" w:rsidP="008C68B9">
            <w:pPr>
              <w:pStyle w:val="SingleTxtG"/>
              <w:ind w:left="0" w:right="0"/>
              <w:jc w:val="left"/>
            </w:pPr>
            <w:r w:rsidRPr="00237BF3">
              <w:t>Replace "risk" by "hazard</w:t>
            </w:r>
          </w:p>
        </w:tc>
      </w:tr>
      <w:tr w:rsidR="00FA0B12" w:rsidRPr="003B08D2" w14:paraId="7E9AF331" w14:textId="77777777" w:rsidTr="00A03CDF">
        <w:tc>
          <w:tcPr>
            <w:tcW w:w="8505" w:type="dxa"/>
            <w:gridSpan w:val="3"/>
            <w:tcBorders>
              <w:top w:val="nil"/>
              <w:bottom w:val="single" w:sz="4" w:space="0" w:color="auto"/>
            </w:tcBorders>
          </w:tcPr>
          <w:p w14:paraId="54FC018B" w14:textId="77777777" w:rsidR="00FA0B12" w:rsidRPr="00573602" w:rsidRDefault="00FA0B12" w:rsidP="008C68B9">
            <w:pPr>
              <w:pStyle w:val="SingleTxtG"/>
              <w:ind w:left="0" w:right="0"/>
              <w:jc w:val="left"/>
            </w:pPr>
            <w:r w:rsidRPr="00573602">
              <w:t xml:space="preserve">The hazard in case of Class 1 according to the definition above is an inherent property of the substance (powder, smokeless for UN 0160 and 0161) to produce an explosion. The additional conditions laid down in PP52 don’t depend on the hazard alone but are in </w:t>
            </w:r>
            <w:proofErr w:type="gramStart"/>
            <w:r w:rsidRPr="00573602">
              <w:t>addition :</w:t>
            </w:r>
            <w:proofErr w:type="gramEnd"/>
            <w:r w:rsidRPr="00573602">
              <w:t xml:space="preserve">“by reason of increase internal pressure from internal or external causes”. </w:t>
            </w:r>
            <w:proofErr w:type="gramStart"/>
            <w:r w:rsidRPr="00573602">
              <w:t>This conditions</w:t>
            </w:r>
            <w:proofErr w:type="gramEnd"/>
            <w:r w:rsidRPr="00573602">
              <w:t xml:space="preserve"> are not inherent properties of the substances but depend on other factors which are included in the concept of “risk” as defined in the GHS: </w:t>
            </w:r>
            <w:r w:rsidRPr="00573602">
              <w:rPr>
                <w:i/>
                <w:u w:val="single"/>
                <w:lang w:eastAsia="en-GB"/>
              </w:rPr>
              <w:t>risk equates to hazard multiplied by exposure.</w:t>
            </w:r>
            <w:r w:rsidRPr="00573602">
              <w:t xml:space="preserve"> Depending on the construction of the outer metal drums the exposure to the explosion hazard </w:t>
            </w:r>
            <w:proofErr w:type="spellStart"/>
            <w:r w:rsidRPr="00573602">
              <w:t>changtes</w:t>
            </w:r>
            <w:proofErr w:type="spellEnd"/>
            <w:r w:rsidRPr="00573602">
              <w:t>. By replacing “risk” by “hazard” PP52 will require to prevent the explosion hazard of the powders. We don’t believe it is possible to construct any packaging which nullifies the hazard of explosion for the powders. The only parameters which is possible to change is the risk of exposure to the explosion.</w:t>
            </w:r>
          </w:p>
          <w:p w14:paraId="62D41E4A" w14:textId="77777777" w:rsidR="00FA0B12" w:rsidRPr="00573602" w:rsidRDefault="00FA0B12" w:rsidP="008C68B9">
            <w:pPr>
              <w:pStyle w:val="SingleTxtG"/>
              <w:ind w:left="0" w:right="0"/>
              <w:jc w:val="left"/>
            </w:pPr>
            <w:r w:rsidRPr="00573602">
              <w:t>The term “risk” should remain.</w:t>
            </w:r>
          </w:p>
        </w:tc>
      </w:tr>
      <w:tr w:rsidR="00FA0B12" w:rsidRPr="00745E95" w14:paraId="080E8EBD" w14:textId="77777777" w:rsidTr="00A03CDF">
        <w:trPr>
          <w:trHeight w:val="585"/>
        </w:trPr>
        <w:tc>
          <w:tcPr>
            <w:tcW w:w="1276" w:type="dxa"/>
            <w:tcBorders>
              <w:bottom w:val="nil"/>
              <w:right w:val="nil"/>
            </w:tcBorders>
          </w:tcPr>
          <w:p w14:paraId="197097BD" w14:textId="77777777" w:rsidR="00FA0B12" w:rsidRPr="00E051F1" w:rsidRDefault="00FA0B12" w:rsidP="008C68B9">
            <w:pPr>
              <w:pStyle w:val="SingleTxtG"/>
              <w:keepNext/>
              <w:keepLines/>
              <w:ind w:left="0" w:right="0"/>
              <w:jc w:val="left"/>
            </w:pPr>
            <w:r w:rsidRPr="00E051F1">
              <w:lastRenderedPageBreak/>
              <w:t>4.1.4.2, B7</w:t>
            </w:r>
          </w:p>
        </w:tc>
        <w:tc>
          <w:tcPr>
            <w:tcW w:w="7229" w:type="dxa"/>
            <w:gridSpan w:val="2"/>
            <w:tcBorders>
              <w:left w:val="nil"/>
              <w:bottom w:val="nil"/>
            </w:tcBorders>
          </w:tcPr>
          <w:p w14:paraId="0F79E7BC" w14:textId="77777777" w:rsidR="00FA0B12" w:rsidRPr="00E051F1" w:rsidRDefault="00FA0B12" w:rsidP="008C68B9">
            <w:pPr>
              <w:pStyle w:val="SingleTxtG"/>
              <w:keepNext/>
              <w:keepLines/>
              <w:spacing w:after="0"/>
              <w:ind w:left="0" w:right="0"/>
              <w:jc w:val="left"/>
            </w:pPr>
            <w:r w:rsidRPr="00CE7FB8">
              <w:rPr>
                <w:lang w:val="fr-FR"/>
              </w:rPr>
              <w:t xml:space="preserve">Remplacer </w:t>
            </w:r>
            <w:r>
              <w:rPr>
                <w:lang w:val="fr-FR"/>
              </w:rPr>
              <w:t>« </w:t>
            </w:r>
            <w:r w:rsidRPr="00CE7FB8">
              <w:rPr>
                <w:lang w:val="fr-FR"/>
              </w:rPr>
              <w:t>risques</w:t>
            </w:r>
            <w:r>
              <w:rPr>
                <w:lang w:val="fr-FR"/>
              </w:rPr>
              <w:t> »</w:t>
            </w:r>
            <w:r w:rsidRPr="00CE7FB8">
              <w:rPr>
                <w:lang w:val="fr-FR"/>
              </w:rPr>
              <w:t xml:space="preserve"> par </w:t>
            </w:r>
            <w:r>
              <w:rPr>
                <w:lang w:val="fr-FR"/>
              </w:rPr>
              <w:t>« </w:t>
            </w:r>
            <w:r w:rsidRPr="00CE7FB8">
              <w:rPr>
                <w:lang w:val="fr-FR"/>
              </w:rPr>
              <w:t>potentiel</w:t>
            </w:r>
            <w:r>
              <w:rPr>
                <w:lang w:val="fr-FR"/>
              </w:rPr>
              <w:t> »</w:t>
            </w:r>
            <w:r w:rsidRPr="00CE7FB8">
              <w:rPr>
                <w:lang w:val="fr-FR"/>
              </w:rPr>
              <w:t>.</w:t>
            </w:r>
          </w:p>
          <w:p w14:paraId="52BBC201" w14:textId="4BC550A0" w:rsidR="00FA0B12" w:rsidRPr="00573602" w:rsidRDefault="00FA0B12" w:rsidP="008C68B9">
            <w:pPr>
              <w:pStyle w:val="SingleTxtG"/>
              <w:keepNext/>
              <w:keepLines/>
              <w:ind w:left="0" w:right="0"/>
              <w:jc w:val="left"/>
              <w:rPr>
                <w:lang w:val="fr-CH"/>
              </w:rPr>
            </w:pPr>
          </w:p>
        </w:tc>
      </w:tr>
      <w:tr w:rsidR="00FA0B12" w:rsidRPr="00745E95" w14:paraId="5FF78241" w14:textId="77777777" w:rsidTr="00A03CDF">
        <w:trPr>
          <w:trHeight w:val="1800"/>
        </w:trPr>
        <w:tc>
          <w:tcPr>
            <w:tcW w:w="8505" w:type="dxa"/>
            <w:gridSpan w:val="3"/>
            <w:tcBorders>
              <w:top w:val="nil"/>
              <w:bottom w:val="single" w:sz="4" w:space="0" w:color="auto"/>
            </w:tcBorders>
          </w:tcPr>
          <w:p w14:paraId="31868B21" w14:textId="77777777" w:rsidR="00FA0B12" w:rsidRPr="00573602" w:rsidRDefault="00FA0B12" w:rsidP="008C68B9">
            <w:pPr>
              <w:pStyle w:val="SingleTxtG"/>
              <w:keepNext/>
              <w:keepLines/>
              <w:ind w:left="0" w:right="0"/>
              <w:jc w:val="left"/>
              <w:rPr>
                <w:lang w:val="fr-CH"/>
              </w:rPr>
            </w:pPr>
            <w:r w:rsidRPr="00573602">
              <w:t xml:space="preserve">In English it is the potential for explosion of the substance which justifies the limitation in volume. </w:t>
            </w:r>
            <w:r w:rsidRPr="00573602">
              <w:rPr>
                <w:lang w:val="fr-CH"/>
              </w:rPr>
              <w:t xml:space="preserve">In </w:t>
            </w:r>
            <w:proofErr w:type="spellStart"/>
            <w:r w:rsidRPr="00573602">
              <w:rPr>
                <w:lang w:val="fr-CH"/>
              </w:rPr>
              <w:t>order</w:t>
            </w:r>
            <w:proofErr w:type="spellEnd"/>
            <w:r w:rsidRPr="00573602">
              <w:rPr>
                <w:lang w:val="fr-CH"/>
              </w:rPr>
              <w:t xml:space="preserve"> to </w:t>
            </w:r>
            <w:proofErr w:type="spellStart"/>
            <w:r w:rsidRPr="00573602">
              <w:rPr>
                <w:lang w:val="fr-CH"/>
              </w:rPr>
              <w:t>reflect</w:t>
            </w:r>
            <w:proofErr w:type="spellEnd"/>
            <w:r w:rsidRPr="00573602">
              <w:rPr>
                <w:lang w:val="fr-CH"/>
              </w:rPr>
              <w:t xml:space="preserve"> </w:t>
            </w:r>
            <w:proofErr w:type="spellStart"/>
            <w:r w:rsidRPr="00573602">
              <w:rPr>
                <w:lang w:val="fr-CH"/>
              </w:rPr>
              <w:t>this</w:t>
            </w:r>
            <w:proofErr w:type="spellEnd"/>
            <w:r w:rsidRPr="00573602">
              <w:rPr>
                <w:lang w:val="fr-CH"/>
              </w:rPr>
              <w:t xml:space="preserve">, in French </w:t>
            </w:r>
            <w:proofErr w:type="spellStart"/>
            <w:r w:rsidRPr="00573602">
              <w:rPr>
                <w:lang w:val="fr-CH"/>
              </w:rPr>
              <w:t>we</w:t>
            </w:r>
            <w:proofErr w:type="spellEnd"/>
            <w:r w:rsidRPr="00573602">
              <w:rPr>
                <w:lang w:val="fr-CH"/>
              </w:rPr>
              <w:t xml:space="preserve"> </w:t>
            </w:r>
            <w:proofErr w:type="spellStart"/>
            <w:r w:rsidRPr="00573602">
              <w:rPr>
                <w:lang w:val="fr-CH"/>
              </w:rPr>
              <w:t>should</w:t>
            </w:r>
            <w:proofErr w:type="spellEnd"/>
            <w:r w:rsidRPr="00573602">
              <w:rPr>
                <w:lang w:val="fr-CH"/>
              </w:rPr>
              <w:t xml:space="preserve"> </w:t>
            </w:r>
            <w:proofErr w:type="spellStart"/>
            <w:proofErr w:type="gramStart"/>
            <w:r w:rsidRPr="00573602">
              <w:rPr>
                <w:lang w:val="fr-CH"/>
              </w:rPr>
              <w:t>read</w:t>
            </w:r>
            <w:proofErr w:type="spellEnd"/>
            <w:r w:rsidRPr="00573602">
              <w:rPr>
                <w:lang w:val="fr-CH"/>
              </w:rPr>
              <w:t>:</w:t>
            </w:r>
            <w:proofErr w:type="gramEnd"/>
            <w:r w:rsidRPr="00573602">
              <w:rPr>
                <w:lang w:val="fr-CH"/>
              </w:rPr>
              <w:br/>
              <w:t xml:space="preserve">« les GRV d'une contenance supérieure à 450 litres ne sont pas autorisés en raison </w:t>
            </w:r>
            <w:r w:rsidRPr="00573602">
              <w:rPr>
                <w:b/>
                <w:u w:val="single"/>
                <w:lang w:val="fr-CH"/>
              </w:rPr>
              <w:t>du</w:t>
            </w:r>
            <w:r w:rsidRPr="00573602">
              <w:rPr>
                <w:lang w:val="fr-CH"/>
              </w:rPr>
              <w:t xml:space="preserve"> </w:t>
            </w:r>
            <w:r w:rsidRPr="00573602">
              <w:rPr>
                <w:b/>
                <w:u w:val="single"/>
                <w:lang w:val="fr-CH"/>
              </w:rPr>
              <w:t>potentiel explosif de la matière</w:t>
            </w:r>
            <w:r w:rsidRPr="00573602">
              <w:rPr>
                <w:lang w:val="fr-CH"/>
              </w:rPr>
              <w:t xml:space="preserve"> en cas de transport en grandes quantités. »</w:t>
            </w:r>
          </w:p>
          <w:p w14:paraId="119439BF" w14:textId="77777777" w:rsidR="00FA0B12" w:rsidRPr="00573602" w:rsidRDefault="00FA0B12" w:rsidP="008C68B9">
            <w:pPr>
              <w:pStyle w:val="Default"/>
              <w:keepNext/>
              <w:keepLines/>
              <w:rPr>
                <w:sz w:val="20"/>
                <w:szCs w:val="20"/>
                <w:lang w:val="fr-CH"/>
              </w:rPr>
            </w:pPr>
          </w:p>
          <w:p w14:paraId="7E78162C" w14:textId="77777777" w:rsidR="00FA0B12" w:rsidRPr="00031CD8" w:rsidRDefault="00FA0B12" w:rsidP="008C68B9">
            <w:pPr>
              <w:pStyle w:val="SingleTxtG"/>
              <w:keepNext/>
              <w:keepLines/>
              <w:ind w:left="0" w:right="0"/>
              <w:jc w:val="left"/>
              <w:rPr>
                <w:lang w:val="fr-CH"/>
              </w:rPr>
            </w:pPr>
            <w:r w:rsidRPr="00573602">
              <w:rPr>
                <w:lang w:val="fr-CH"/>
              </w:rPr>
              <w:t>Replace « des risques d’explosion » by</w:t>
            </w:r>
            <w:proofErr w:type="gramStart"/>
            <w:r w:rsidRPr="00573602">
              <w:rPr>
                <w:lang w:val="fr-CH"/>
              </w:rPr>
              <w:t xml:space="preserve"> «du</w:t>
            </w:r>
            <w:proofErr w:type="gramEnd"/>
            <w:r w:rsidRPr="00573602">
              <w:rPr>
                <w:lang w:val="fr-CH"/>
              </w:rPr>
              <w:t xml:space="preserve"> potentiel explosif de la matière ».</w:t>
            </w:r>
          </w:p>
        </w:tc>
      </w:tr>
      <w:tr w:rsidR="00FA0B12" w:rsidRPr="0074309E" w14:paraId="150FC3F0" w14:textId="77777777" w:rsidTr="00A03CDF">
        <w:trPr>
          <w:trHeight w:val="540"/>
        </w:trPr>
        <w:tc>
          <w:tcPr>
            <w:tcW w:w="1276" w:type="dxa"/>
            <w:tcBorders>
              <w:bottom w:val="nil"/>
              <w:right w:val="nil"/>
            </w:tcBorders>
          </w:tcPr>
          <w:p w14:paraId="354CE396" w14:textId="77777777" w:rsidR="00FA0B12" w:rsidRPr="009907D4" w:rsidRDefault="00FA0B12" w:rsidP="008C68B9">
            <w:pPr>
              <w:pStyle w:val="SingleTxtG"/>
              <w:ind w:left="0" w:right="0"/>
              <w:jc w:val="left"/>
              <w:rPr>
                <w:lang w:val="fr-CH"/>
              </w:rPr>
            </w:pPr>
            <w:r w:rsidRPr="009907D4">
              <w:rPr>
                <w:lang w:val="fr-CH"/>
              </w:rPr>
              <w:t>4.1.5.2 (a)</w:t>
            </w:r>
          </w:p>
        </w:tc>
        <w:tc>
          <w:tcPr>
            <w:tcW w:w="2355" w:type="dxa"/>
            <w:tcBorders>
              <w:left w:val="nil"/>
              <w:bottom w:val="nil"/>
              <w:right w:val="nil"/>
            </w:tcBorders>
          </w:tcPr>
          <w:p w14:paraId="61C3C184" w14:textId="77777777" w:rsidR="00FA0B12" w:rsidRPr="009907D4" w:rsidRDefault="00FA0B12" w:rsidP="008C68B9">
            <w:pPr>
              <w:pStyle w:val="SingleTxtG"/>
              <w:spacing w:after="0"/>
              <w:ind w:left="0" w:right="0"/>
              <w:jc w:val="left"/>
              <w:rPr>
                <w:lang w:val="fr-CH"/>
              </w:rPr>
            </w:pPr>
            <w:r w:rsidRPr="009907D4">
              <w:rPr>
                <w:lang w:val="fr-CH"/>
              </w:rPr>
              <w:t>Replace "</w:t>
            </w:r>
            <w:proofErr w:type="spellStart"/>
            <w:r w:rsidRPr="009907D4">
              <w:rPr>
                <w:lang w:val="fr-CH"/>
              </w:rPr>
              <w:t>risk</w:t>
            </w:r>
            <w:proofErr w:type="spellEnd"/>
            <w:r w:rsidRPr="009907D4">
              <w:rPr>
                <w:lang w:val="fr-CH"/>
              </w:rPr>
              <w:t>" by "</w:t>
            </w:r>
            <w:proofErr w:type="spellStart"/>
            <w:r w:rsidRPr="009907D4">
              <w:rPr>
                <w:lang w:val="fr-CH"/>
              </w:rPr>
              <w:t>hazard</w:t>
            </w:r>
            <w:proofErr w:type="spellEnd"/>
            <w:r w:rsidRPr="009907D4">
              <w:rPr>
                <w:lang w:val="fr-CH"/>
              </w:rPr>
              <w:t>".</w:t>
            </w:r>
          </w:p>
        </w:tc>
        <w:tc>
          <w:tcPr>
            <w:tcW w:w="4874" w:type="dxa"/>
            <w:tcBorders>
              <w:left w:val="nil"/>
              <w:bottom w:val="nil"/>
            </w:tcBorders>
          </w:tcPr>
          <w:p w14:paraId="2DE3BE7E" w14:textId="77777777" w:rsidR="00FA0B12" w:rsidRPr="00573602" w:rsidRDefault="00FA0B12" w:rsidP="008C68B9">
            <w:pPr>
              <w:pStyle w:val="SingleTxtG"/>
              <w:ind w:left="0"/>
              <w:jc w:val="left"/>
            </w:pPr>
          </w:p>
        </w:tc>
      </w:tr>
      <w:tr w:rsidR="00FA0B12" w:rsidRPr="0074309E" w14:paraId="656361F3" w14:textId="77777777" w:rsidTr="00A03CDF">
        <w:tc>
          <w:tcPr>
            <w:tcW w:w="8505" w:type="dxa"/>
            <w:gridSpan w:val="3"/>
            <w:tcBorders>
              <w:top w:val="nil"/>
              <w:bottom w:val="single" w:sz="4" w:space="0" w:color="auto"/>
            </w:tcBorders>
          </w:tcPr>
          <w:p w14:paraId="18DC91B3" w14:textId="6BB2EB28" w:rsidR="00FA0B12" w:rsidRPr="00573602" w:rsidRDefault="00FA0B12" w:rsidP="008C68B9">
            <w:pPr>
              <w:pStyle w:val="SingleTxtG"/>
              <w:ind w:left="0" w:right="0"/>
              <w:jc w:val="left"/>
            </w:pPr>
            <w:r w:rsidRPr="00573602">
              <w:t xml:space="preserve">The change to “hazard” would mean that the « unintended ignition or initiation” depending on “changes in temperature, humidity and pressure” represents an “inherent </w:t>
            </w:r>
            <w:r w:rsidRPr="00573602">
              <w:rPr>
                <w:i/>
                <w:iCs/>
                <w:u w:val="single"/>
              </w:rPr>
              <w:t>properties of a substance or article</w:t>
            </w:r>
            <w:r w:rsidRPr="00573602">
              <w:rPr>
                <w:iCs/>
              </w:rPr>
              <w:t xml:space="preserve">. We don’t believe this is the case. </w:t>
            </w:r>
            <w:proofErr w:type="gramStart"/>
            <w:r w:rsidRPr="00573602">
              <w:rPr>
                <w:iCs/>
              </w:rPr>
              <w:t>This changes</w:t>
            </w:r>
            <w:proofErr w:type="gramEnd"/>
            <w:r w:rsidRPr="00573602">
              <w:rPr>
                <w:iCs/>
              </w:rPr>
              <w:t xml:space="preserve"> are situations which influence the probability of occurrence of an explosion. It is a risk not an “hazard”.</w:t>
            </w:r>
          </w:p>
          <w:p w14:paraId="60CE4CC1" w14:textId="77777777" w:rsidR="00FA0B12" w:rsidRPr="00573602" w:rsidRDefault="00FA0B12" w:rsidP="008C68B9">
            <w:pPr>
              <w:pStyle w:val="SingleTxtG"/>
              <w:ind w:left="0"/>
              <w:jc w:val="left"/>
            </w:pPr>
            <w:r w:rsidRPr="00573602">
              <w:t>“risk” should remain.</w:t>
            </w:r>
          </w:p>
        </w:tc>
      </w:tr>
      <w:tr w:rsidR="00FA0B12" w:rsidRPr="007C0126" w14:paraId="21C0C55E" w14:textId="77777777" w:rsidTr="00A03CDF">
        <w:tc>
          <w:tcPr>
            <w:tcW w:w="1276" w:type="dxa"/>
            <w:tcBorders>
              <w:bottom w:val="nil"/>
              <w:right w:val="nil"/>
            </w:tcBorders>
          </w:tcPr>
          <w:p w14:paraId="30B19F50" w14:textId="77777777" w:rsidR="00FA0B12" w:rsidRPr="007C0126" w:rsidRDefault="00FA0B12" w:rsidP="008C68B9">
            <w:pPr>
              <w:pStyle w:val="SingleTxtG"/>
              <w:ind w:left="2835" w:right="0" w:hanging="2835"/>
              <w:jc w:val="left"/>
            </w:pPr>
            <w:r w:rsidRPr="00237BF3">
              <w:t>4.1.5.2</w:t>
            </w:r>
            <w:r>
              <w:t xml:space="preserve"> (</w:t>
            </w:r>
            <w:r w:rsidRPr="00237BF3">
              <w:t>c)</w:t>
            </w:r>
          </w:p>
        </w:tc>
        <w:tc>
          <w:tcPr>
            <w:tcW w:w="7229" w:type="dxa"/>
            <w:gridSpan w:val="2"/>
            <w:tcBorders>
              <w:left w:val="nil"/>
              <w:bottom w:val="nil"/>
            </w:tcBorders>
          </w:tcPr>
          <w:p w14:paraId="29399974" w14:textId="77777777" w:rsidR="00FA0B12" w:rsidRPr="00573602" w:rsidRDefault="00FA0B12" w:rsidP="008C68B9">
            <w:pPr>
              <w:pStyle w:val="SingleTxtG"/>
              <w:spacing w:after="0"/>
              <w:ind w:left="0" w:right="0"/>
              <w:jc w:val="left"/>
            </w:pPr>
            <w:r w:rsidRPr="00237BF3">
              <w:t>Replace "risk" by "hazard".</w:t>
            </w:r>
          </w:p>
        </w:tc>
      </w:tr>
      <w:tr w:rsidR="00FA0B12" w:rsidRPr="007C0126" w14:paraId="3E24D3E5" w14:textId="77777777" w:rsidTr="00A03CDF">
        <w:trPr>
          <w:trHeight w:val="1635"/>
        </w:trPr>
        <w:tc>
          <w:tcPr>
            <w:tcW w:w="8505" w:type="dxa"/>
            <w:gridSpan w:val="3"/>
            <w:tcBorders>
              <w:top w:val="nil"/>
              <w:bottom w:val="single" w:sz="4" w:space="0" w:color="auto"/>
            </w:tcBorders>
          </w:tcPr>
          <w:p w14:paraId="7B6072E6" w14:textId="77777777" w:rsidR="00FA0B12" w:rsidRPr="00573602" w:rsidRDefault="00FA0B12" w:rsidP="008C68B9">
            <w:pPr>
              <w:pStyle w:val="SingleTxtG"/>
              <w:ind w:left="0" w:right="0"/>
              <w:jc w:val="left"/>
            </w:pPr>
            <w:r w:rsidRPr="00573602">
              <w:t xml:space="preserve">Even if the Regulations speaks about class of danger, Class 1, some entries of Division 5.1, Division 6.2 or Class 7 are not based only on the “inherent properties of a substance or article” but in addition on the risk depending on the situation (exposure) </w:t>
            </w:r>
            <w:r w:rsidRPr="00573602">
              <w:rPr>
                <w:iCs/>
              </w:rPr>
              <w:t>to do harm to persons, property or the environment. For this reason, the term “risk” should be maintained in the sentence</w:t>
            </w:r>
          </w:p>
        </w:tc>
      </w:tr>
      <w:tr w:rsidR="00FA0B12" w:rsidRPr="0003271C" w14:paraId="029212AA" w14:textId="77777777" w:rsidTr="00A03CDF">
        <w:tc>
          <w:tcPr>
            <w:tcW w:w="1276" w:type="dxa"/>
            <w:tcBorders>
              <w:bottom w:val="nil"/>
              <w:right w:val="nil"/>
            </w:tcBorders>
          </w:tcPr>
          <w:p w14:paraId="25E1D93A" w14:textId="77777777" w:rsidR="00FA0B12" w:rsidRPr="00237BF3" w:rsidRDefault="00FA0B12" w:rsidP="008C68B9">
            <w:pPr>
              <w:pStyle w:val="SingleTxtG"/>
              <w:ind w:left="2835" w:right="0" w:hanging="2835"/>
              <w:jc w:val="left"/>
            </w:pPr>
            <w:r>
              <w:t>4.1.5.9</w:t>
            </w:r>
          </w:p>
        </w:tc>
        <w:tc>
          <w:tcPr>
            <w:tcW w:w="7229" w:type="dxa"/>
            <w:gridSpan w:val="2"/>
            <w:tcBorders>
              <w:left w:val="nil"/>
              <w:bottom w:val="nil"/>
            </w:tcBorders>
          </w:tcPr>
          <w:p w14:paraId="64574229" w14:textId="77777777" w:rsidR="00FA0B12" w:rsidRPr="00573602" w:rsidRDefault="00FA0B12" w:rsidP="008C68B9">
            <w:pPr>
              <w:pStyle w:val="SingleTxtG"/>
              <w:ind w:left="0" w:right="0"/>
              <w:jc w:val="left"/>
            </w:pPr>
            <w:r w:rsidRPr="00905318">
              <w:rPr>
                <w:lang w:val="fr-FR"/>
              </w:rPr>
              <w:t xml:space="preserve">Remplacer </w:t>
            </w:r>
            <w:r>
              <w:rPr>
                <w:lang w:val="fr-FR"/>
              </w:rPr>
              <w:t>« </w:t>
            </w:r>
            <w:r w:rsidRPr="00905318">
              <w:rPr>
                <w:lang w:val="fr-FR"/>
              </w:rPr>
              <w:t>risque</w:t>
            </w:r>
            <w:r>
              <w:rPr>
                <w:lang w:val="fr-FR"/>
              </w:rPr>
              <w:t> »</w:t>
            </w:r>
            <w:r w:rsidRPr="00905318">
              <w:rPr>
                <w:lang w:val="fr-FR"/>
              </w:rPr>
              <w:t xml:space="preserve"> par </w:t>
            </w:r>
            <w:r>
              <w:rPr>
                <w:lang w:val="fr-FR"/>
              </w:rPr>
              <w:t>« </w:t>
            </w:r>
            <w:r w:rsidRPr="00905318">
              <w:rPr>
                <w:lang w:val="fr-FR"/>
              </w:rPr>
              <w:t>danger</w:t>
            </w:r>
            <w:r>
              <w:rPr>
                <w:lang w:val="fr-FR"/>
              </w:rPr>
              <w:t> »</w:t>
            </w:r>
            <w:r w:rsidRPr="00905318">
              <w:rPr>
                <w:lang w:val="fr-FR"/>
              </w:rPr>
              <w:t>.</w:t>
            </w:r>
          </w:p>
        </w:tc>
      </w:tr>
      <w:tr w:rsidR="00FA0B12" w:rsidRPr="0003271C" w14:paraId="3572746F" w14:textId="77777777" w:rsidTr="00A03CDF">
        <w:tc>
          <w:tcPr>
            <w:tcW w:w="8505" w:type="dxa"/>
            <w:gridSpan w:val="3"/>
            <w:tcBorders>
              <w:top w:val="nil"/>
            </w:tcBorders>
          </w:tcPr>
          <w:p w14:paraId="38E2A939" w14:textId="77777777" w:rsidR="00FA0B12" w:rsidRPr="00573602" w:rsidRDefault="00FA0B12" w:rsidP="008C68B9">
            <w:pPr>
              <w:pStyle w:val="SingleTxtG"/>
              <w:ind w:left="0" w:right="0"/>
              <w:jc w:val="left"/>
            </w:pPr>
            <w:r w:rsidRPr="00573602">
              <w:t xml:space="preserve">The sentence in English </w:t>
            </w:r>
            <w:proofErr w:type="gramStart"/>
            <w:r w:rsidRPr="00573602">
              <w:t>“ Anti</w:t>
            </w:r>
            <w:proofErr w:type="gramEnd"/>
            <w:r w:rsidRPr="00573602">
              <w:t xml:space="preserve">-freeze that could create a fire hazard because of its inherent flammability shall not be used.” seems not correct. If </w:t>
            </w:r>
            <w:proofErr w:type="spellStart"/>
            <w:r w:rsidRPr="00573602">
              <w:t>inflammability</w:t>
            </w:r>
            <w:proofErr w:type="spellEnd"/>
            <w:r w:rsidRPr="00573602">
              <w:t xml:space="preserve"> is “inherent” to the substance that constitutes anti-freeze, anti-freeze cannot “create” the “hazard”. The hazard </w:t>
            </w:r>
            <w:proofErr w:type="spellStart"/>
            <w:r w:rsidRPr="00573602">
              <w:t>preexists</w:t>
            </w:r>
            <w:proofErr w:type="spellEnd"/>
            <w:r w:rsidRPr="00573602">
              <w:t xml:space="preserve"> in the product and the product cannot create the hazard. What the product could eventually create is a risk of fire, not the hazard itself. So the correct sentence should be: </w:t>
            </w:r>
            <w:proofErr w:type="gramStart"/>
            <w:r w:rsidRPr="00573602">
              <w:t>“ Anti</w:t>
            </w:r>
            <w:proofErr w:type="gramEnd"/>
            <w:r w:rsidRPr="00573602">
              <w:t xml:space="preserve">-freeze that could create a fire </w:t>
            </w:r>
            <w:r w:rsidRPr="00573602">
              <w:rPr>
                <w:b/>
                <w:u w:val="single"/>
              </w:rPr>
              <w:t>risk</w:t>
            </w:r>
            <w:r w:rsidRPr="00573602">
              <w:t xml:space="preserve"> because of its inherent flammability shall not be used.” and the French version is the correct one.</w:t>
            </w:r>
          </w:p>
          <w:p w14:paraId="6A82C2A7" w14:textId="77777777" w:rsidR="00FA0B12" w:rsidRPr="00573602" w:rsidRDefault="00FA0B12" w:rsidP="008C68B9">
            <w:pPr>
              <w:pStyle w:val="SingleTxtG"/>
              <w:ind w:left="0" w:right="0"/>
              <w:jc w:val="left"/>
            </w:pPr>
            <w:r w:rsidRPr="00573602">
              <w:t>“</w:t>
            </w:r>
            <w:proofErr w:type="spellStart"/>
            <w:r w:rsidRPr="00573602">
              <w:t>risque</w:t>
            </w:r>
            <w:proofErr w:type="spellEnd"/>
            <w:r w:rsidRPr="00573602">
              <w:t>” should remain in French and “hazard” should be replaced by “risk” in English.</w:t>
            </w:r>
          </w:p>
        </w:tc>
      </w:tr>
      <w:tr w:rsidR="00FA0B12" w:rsidRPr="0003271C" w14:paraId="7BBDAD81" w14:textId="77777777" w:rsidTr="00A03CDF">
        <w:tc>
          <w:tcPr>
            <w:tcW w:w="1276" w:type="dxa"/>
            <w:tcBorders>
              <w:bottom w:val="single" w:sz="4" w:space="0" w:color="auto"/>
            </w:tcBorders>
          </w:tcPr>
          <w:p w14:paraId="02E99228" w14:textId="77777777" w:rsidR="00FA0B12" w:rsidRPr="00E25C23" w:rsidRDefault="00FA0B12" w:rsidP="008C68B9">
            <w:pPr>
              <w:pStyle w:val="SingleTxtG"/>
              <w:ind w:left="2835" w:right="0" w:hanging="2835"/>
              <w:jc w:val="left"/>
            </w:pPr>
            <w:r>
              <w:t>4.1.7.0.1</w:t>
            </w:r>
          </w:p>
        </w:tc>
        <w:tc>
          <w:tcPr>
            <w:tcW w:w="2355" w:type="dxa"/>
            <w:tcBorders>
              <w:bottom w:val="single" w:sz="4" w:space="0" w:color="auto"/>
            </w:tcBorders>
          </w:tcPr>
          <w:p w14:paraId="5598B51D" w14:textId="77777777" w:rsidR="00FA0B12" w:rsidRPr="00E25C23" w:rsidRDefault="00FA0B12" w:rsidP="008C68B9">
            <w:pPr>
              <w:pStyle w:val="SingleTxtG"/>
              <w:spacing w:after="0"/>
              <w:ind w:left="0" w:right="0"/>
              <w:jc w:val="left"/>
            </w:pPr>
            <w:r w:rsidRPr="00905318">
              <w:rPr>
                <w:lang w:val="fr-FR"/>
              </w:rPr>
              <w:t xml:space="preserve">Supprimer </w:t>
            </w:r>
            <w:r>
              <w:rPr>
                <w:lang w:val="fr-FR"/>
              </w:rPr>
              <w:t>« </w:t>
            </w:r>
            <w:r w:rsidRPr="00905318">
              <w:rPr>
                <w:lang w:val="fr-FR"/>
              </w:rPr>
              <w:t>risque de</w:t>
            </w:r>
            <w:r>
              <w:rPr>
                <w:lang w:val="fr-FR"/>
              </w:rPr>
              <w:t> »</w:t>
            </w:r>
            <w:r w:rsidRPr="00905318">
              <w:rPr>
                <w:lang w:val="fr-FR"/>
              </w:rPr>
              <w:t>.</w:t>
            </w:r>
          </w:p>
        </w:tc>
        <w:tc>
          <w:tcPr>
            <w:tcW w:w="4874" w:type="dxa"/>
            <w:tcBorders>
              <w:bottom w:val="single" w:sz="4" w:space="0" w:color="auto"/>
            </w:tcBorders>
          </w:tcPr>
          <w:p w14:paraId="5E68F64C" w14:textId="77777777" w:rsidR="00FA0B12" w:rsidRPr="00573602" w:rsidRDefault="00FA0B12" w:rsidP="008C68B9">
            <w:pPr>
              <w:pStyle w:val="SingleTxtG"/>
              <w:ind w:left="0" w:right="0"/>
              <w:jc w:val="left"/>
            </w:pPr>
            <w:r w:rsidRPr="00573602">
              <w:t xml:space="preserve">The word “transformation d’un </w:t>
            </w:r>
            <w:proofErr w:type="spellStart"/>
            <w:r w:rsidRPr="00573602">
              <w:t>gaz</w:t>
            </w:r>
            <w:proofErr w:type="spellEnd"/>
            <w:r w:rsidRPr="00573602">
              <w:t>” don’t reproduce the meaning in English of “evolution of gas”. In French this should be “</w:t>
            </w:r>
            <w:proofErr w:type="spellStart"/>
            <w:r w:rsidRPr="00573602">
              <w:t>dégagement</w:t>
            </w:r>
            <w:proofErr w:type="spellEnd"/>
            <w:r w:rsidRPr="00573602">
              <w:t xml:space="preserve"> </w:t>
            </w:r>
            <w:proofErr w:type="spellStart"/>
            <w:r w:rsidRPr="00573602">
              <w:t>gazeux</w:t>
            </w:r>
            <w:proofErr w:type="spellEnd"/>
            <w:r w:rsidRPr="00573602">
              <w:t>”.</w:t>
            </w:r>
          </w:p>
        </w:tc>
      </w:tr>
      <w:tr w:rsidR="00FA0B12" w:rsidRPr="007C18CA" w14:paraId="00F67D96" w14:textId="77777777" w:rsidTr="00A03CDF">
        <w:trPr>
          <w:trHeight w:val="600"/>
        </w:trPr>
        <w:tc>
          <w:tcPr>
            <w:tcW w:w="1276" w:type="dxa"/>
            <w:tcBorders>
              <w:bottom w:val="nil"/>
              <w:right w:val="nil"/>
            </w:tcBorders>
          </w:tcPr>
          <w:p w14:paraId="36B61D48" w14:textId="77777777" w:rsidR="00FA0B12" w:rsidRDefault="00FA0B12" w:rsidP="008C68B9">
            <w:pPr>
              <w:pStyle w:val="SingleTxtG"/>
              <w:ind w:left="2835" w:right="0" w:hanging="2835"/>
              <w:jc w:val="left"/>
            </w:pPr>
            <w:r>
              <w:t>4.2.1.6</w:t>
            </w:r>
          </w:p>
        </w:tc>
        <w:tc>
          <w:tcPr>
            <w:tcW w:w="7229" w:type="dxa"/>
            <w:gridSpan w:val="2"/>
            <w:tcBorders>
              <w:left w:val="nil"/>
              <w:bottom w:val="nil"/>
            </w:tcBorders>
          </w:tcPr>
          <w:p w14:paraId="038E30E5" w14:textId="77777777" w:rsidR="00FA0B12" w:rsidRPr="00573602" w:rsidRDefault="00FA0B12" w:rsidP="008C68B9">
            <w:pPr>
              <w:pStyle w:val="SingleTxtG"/>
              <w:ind w:left="0" w:right="0"/>
              <w:jc w:val="left"/>
              <w:rPr>
                <w:lang w:val="fr-CH"/>
              </w:rPr>
            </w:pPr>
            <w:r w:rsidRPr="00905318">
              <w:rPr>
                <w:lang w:val="fr-FR"/>
              </w:rPr>
              <w:t xml:space="preserve">Remplacer </w:t>
            </w:r>
            <w:r>
              <w:rPr>
                <w:lang w:val="fr-FR"/>
              </w:rPr>
              <w:t>« </w:t>
            </w:r>
            <w:proofErr w:type="gramStart"/>
            <w:r w:rsidRPr="00905318">
              <w:rPr>
                <w:lang w:val="fr-FR"/>
              </w:rPr>
              <w:t>risquent</w:t>
            </w:r>
            <w:proofErr w:type="gramEnd"/>
            <w:r w:rsidRPr="00905318">
              <w:rPr>
                <w:lang w:val="fr-FR"/>
              </w:rPr>
              <w:t xml:space="preserve"> de</w:t>
            </w:r>
            <w:r>
              <w:rPr>
                <w:lang w:val="fr-FR"/>
              </w:rPr>
              <w:t> »</w:t>
            </w:r>
            <w:r w:rsidRPr="00905318">
              <w:rPr>
                <w:lang w:val="fr-FR"/>
              </w:rPr>
              <w:t xml:space="preserve"> par </w:t>
            </w:r>
            <w:r>
              <w:rPr>
                <w:lang w:val="fr-FR"/>
              </w:rPr>
              <w:t>« </w:t>
            </w:r>
            <w:r w:rsidRPr="00905318">
              <w:rPr>
                <w:lang w:val="fr-FR"/>
              </w:rPr>
              <w:t>peuvent</w:t>
            </w:r>
            <w:r>
              <w:rPr>
                <w:lang w:val="fr-FR"/>
              </w:rPr>
              <w:t> »</w:t>
            </w:r>
            <w:r w:rsidRPr="00905318">
              <w:rPr>
                <w:lang w:val="fr-FR"/>
              </w:rPr>
              <w:t>.</w:t>
            </w:r>
          </w:p>
        </w:tc>
      </w:tr>
      <w:tr w:rsidR="00FA0B12" w:rsidRPr="00900650" w14:paraId="3D2F2366" w14:textId="77777777" w:rsidTr="00A03CDF">
        <w:tc>
          <w:tcPr>
            <w:tcW w:w="8505" w:type="dxa"/>
            <w:gridSpan w:val="3"/>
            <w:tcBorders>
              <w:top w:val="nil"/>
            </w:tcBorders>
          </w:tcPr>
          <w:p w14:paraId="0B3CA668" w14:textId="49F43FFD" w:rsidR="00FA0B12" w:rsidRPr="00573602" w:rsidRDefault="00FA0B12" w:rsidP="008C68B9">
            <w:pPr>
              <w:pStyle w:val="SingleTxtG"/>
              <w:ind w:left="0" w:right="0"/>
              <w:jc w:val="left"/>
            </w:pPr>
            <w:r w:rsidRPr="00573602">
              <w:t>The change to « </w:t>
            </w:r>
            <w:proofErr w:type="spellStart"/>
            <w:r w:rsidRPr="00573602">
              <w:t>peuvent</w:t>
            </w:r>
            <w:proofErr w:type="spellEnd"/>
            <w:r w:rsidRPr="00573602">
              <w:t> » implies that even if there is no risk that they may react dangerously with each other they shall never be transported in the same or adjoining compartments of shells.</w:t>
            </w:r>
          </w:p>
          <w:p w14:paraId="30C89F20" w14:textId="3A479A76" w:rsidR="00FA0B12" w:rsidRPr="00573602" w:rsidRDefault="00FA0B12" w:rsidP="008C68B9">
            <w:pPr>
              <w:pStyle w:val="SingleTxtG"/>
              <w:ind w:left="0" w:right="0"/>
              <w:jc w:val="left"/>
            </w:pPr>
            <w:r w:rsidRPr="00573602">
              <w:t>We wonder if the English text reflects this absolute exclusion of the possibility of transport together.</w:t>
            </w:r>
          </w:p>
          <w:p w14:paraId="1B8D6E93" w14:textId="67FD7AA1" w:rsidR="00FA0B12" w:rsidRPr="00573602" w:rsidRDefault="00FA0B12" w:rsidP="008C68B9">
            <w:pPr>
              <w:pStyle w:val="SingleTxtG"/>
              <w:ind w:left="0" w:right="0"/>
              <w:jc w:val="left"/>
            </w:pPr>
            <w:r w:rsidRPr="00573602">
              <w:t>This would be clearer by saying:</w:t>
            </w:r>
          </w:p>
          <w:p w14:paraId="1BD7B45D" w14:textId="77777777" w:rsidR="00FA0B12" w:rsidRPr="00573602" w:rsidRDefault="00FA0B12" w:rsidP="008C68B9">
            <w:pPr>
              <w:pStyle w:val="SingleTxtG"/>
              <w:ind w:left="0" w:right="0"/>
              <w:jc w:val="left"/>
            </w:pPr>
            <w:r w:rsidRPr="00573602">
              <w:t xml:space="preserve">“Substances shall not be transported in the same or adjoining compartments of shell if they can react dangerously with each other and </w:t>
            </w:r>
            <w:proofErr w:type="gramStart"/>
            <w:r w:rsidRPr="00573602">
              <w:t>cause:</w:t>
            </w:r>
            <w:r w:rsidRPr="00900650">
              <w:t>…</w:t>
            </w:r>
            <w:proofErr w:type="gramEnd"/>
            <w:r w:rsidRPr="00900650">
              <w:t>. »</w:t>
            </w:r>
          </w:p>
        </w:tc>
      </w:tr>
      <w:tr w:rsidR="00FA0B12" w:rsidRPr="0048611E" w14:paraId="6E1DDD72" w14:textId="77777777" w:rsidTr="00A03CDF">
        <w:tc>
          <w:tcPr>
            <w:tcW w:w="1276" w:type="dxa"/>
          </w:tcPr>
          <w:p w14:paraId="546DC673" w14:textId="77777777" w:rsidR="00FA0B12" w:rsidRDefault="00FA0B12" w:rsidP="008C68B9">
            <w:pPr>
              <w:pStyle w:val="SingleTxtG"/>
              <w:keepNext/>
              <w:keepLines/>
              <w:ind w:left="2835" w:right="0" w:hanging="2835"/>
              <w:jc w:val="left"/>
            </w:pPr>
            <w:r>
              <w:lastRenderedPageBreak/>
              <w:t>TP32 a)</w:t>
            </w:r>
          </w:p>
        </w:tc>
        <w:tc>
          <w:tcPr>
            <w:tcW w:w="2355" w:type="dxa"/>
          </w:tcPr>
          <w:p w14:paraId="12630964" w14:textId="77777777" w:rsidR="00FA0B12" w:rsidRPr="00905318" w:rsidRDefault="00FA0B12" w:rsidP="008C68B9">
            <w:pPr>
              <w:pStyle w:val="SingleTxtG"/>
              <w:keepNext/>
              <w:keepLines/>
              <w:spacing w:after="0"/>
              <w:ind w:left="0" w:right="0"/>
              <w:jc w:val="left"/>
              <w:rPr>
                <w:lang w:val="fr-FR"/>
              </w:rPr>
            </w:pPr>
            <w:r w:rsidRPr="00905318">
              <w:rPr>
                <w:lang w:val="fr-FR"/>
              </w:rPr>
              <w:t xml:space="preserve">Remplacer </w:t>
            </w:r>
            <w:r>
              <w:rPr>
                <w:lang w:val="fr-FR"/>
              </w:rPr>
              <w:t>« </w:t>
            </w:r>
            <w:r w:rsidRPr="00905318">
              <w:rPr>
                <w:lang w:val="fr-FR"/>
              </w:rPr>
              <w:t>tout risque de confinement</w:t>
            </w:r>
            <w:r>
              <w:rPr>
                <w:lang w:val="fr-FR"/>
              </w:rPr>
              <w:t> »</w:t>
            </w:r>
            <w:r w:rsidRPr="00905318">
              <w:rPr>
                <w:lang w:val="fr-FR"/>
              </w:rPr>
              <w:t xml:space="preserve"> par </w:t>
            </w:r>
            <w:r>
              <w:rPr>
                <w:lang w:val="fr-FR"/>
              </w:rPr>
              <w:t>« </w:t>
            </w:r>
            <w:r w:rsidRPr="00905318">
              <w:rPr>
                <w:lang w:val="fr-FR"/>
              </w:rPr>
              <w:t>tout confinement inutile</w:t>
            </w:r>
            <w:r>
              <w:rPr>
                <w:lang w:val="fr-FR"/>
              </w:rPr>
              <w:t> »</w:t>
            </w:r>
            <w:r w:rsidRPr="00905318">
              <w:rPr>
                <w:lang w:val="fr-FR"/>
              </w:rPr>
              <w:t>.</w:t>
            </w:r>
          </w:p>
        </w:tc>
        <w:tc>
          <w:tcPr>
            <w:tcW w:w="4874" w:type="dxa"/>
          </w:tcPr>
          <w:p w14:paraId="7C6BEC1C" w14:textId="77777777" w:rsidR="00FA0B12" w:rsidRPr="00573602" w:rsidRDefault="00FA0B12" w:rsidP="008C68B9">
            <w:pPr>
              <w:pStyle w:val="SingleTxtG"/>
              <w:keepNext/>
              <w:keepLines/>
              <w:ind w:left="0" w:right="0"/>
              <w:jc w:val="left"/>
            </w:pPr>
            <w:r w:rsidRPr="00573602">
              <w:t xml:space="preserve">How can we distinguish between “unnecessary” and “necessary” </w:t>
            </w:r>
            <w:proofErr w:type="gramStart"/>
            <w:r w:rsidRPr="00573602">
              <w:t>confinement.</w:t>
            </w:r>
            <w:proofErr w:type="gramEnd"/>
          </w:p>
          <w:p w14:paraId="534DE382" w14:textId="0256638F" w:rsidR="00FA0B12" w:rsidRPr="00573602" w:rsidRDefault="00FA0B12" w:rsidP="008C68B9">
            <w:pPr>
              <w:pStyle w:val="SingleTxtG"/>
              <w:keepNext/>
              <w:keepLines/>
              <w:ind w:left="0" w:right="0"/>
              <w:jc w:val="left"/>
            </w:pPr>
            <w:r w:rsidRPr="00573602">
              <w:t xml:space="preserve">Is not the problem a dangerous </w:t>
            </w:r>
            <w:proofErr w:type="gramStart"/>
            <w:r w:rsidRPr="00573602">
              <w:t>confinement?.</w:t>
            </w:r>
            <w:proofErr w:type="gramEnd"/>
          </w:p>
        </w:tc>
      </w:tr>
      <w:tr w:rsidR="00FA0B12" w:rsidRPr="00F154E9" w14:paraId="04B2C0F8" w14:textId="77777777" w:rsidTr="00A03CDF">
        <w:tc>
          <w:tcPr>
            <w:tcW w:w="1276" w:type="dxa"/>
            <w:tcBorders>
              <w:bottom w:val="single" w:sz="4" w:space="0" w:color="auto"/>
            </w:tcBorders>
          </w:tcPr>
          <w:p w14:paraId="0AC55BD9" w14:textId="77777777" w:rsidR="00FA0B12" w:rsidRDefault="00FA0B12" w:rsidP="008C68B9">
            <w:pPr>
              <w:pStyle w:val="SingleTxtG"/>
              <w:ind w:left="2835" w:right="0" w:hanging="2835"/>
              <w:jc w:val="left"/>
            </w:pPr>
            <w:r w:rsidRPr="00E051F1">
              <w:t>4.3.1.13</w:t>
            </w:r>
          </w:p>
        </w:tc>
        <w:tc>
          <w:tcPr>
            <w:tcW w:w="2355" w:type="dxa"/>
            <w:tcBorders>
              <w:bottom w:val="single" w:sz="4" w:space="0" w:color="auto"/>
            </w:tcBorders>
          </w:tcPr>
          <w:p w14:paraId="50614A01" w14:textId="77777777" w:rsidR="00FA0B12" w:rsidRPr="00905318" w:rsidRDefault="00FA0B12" w:rsidP="008C68B9">
            <w:pPr>
              <w:pStyle w:val="SingleTxtG"/>
              <w:spacing w:after="0"/>
              <w:ind w:left="0" w:right="0"/>
              <w:jc w:val="left"/>
              <w:rPr>
                <w:lang w:val="fr-FR"/>
              </w:rPr>
            </w:pPr>
            <w:r w:rsidRPr="00905318">
              <w:rPr>
                <w:lang w:val="fr-FR"/>
              </w:rPr>
              <w:t xml:space="preserve">Remplacer </w:t>
            </w:r>
            <w:r>
              <w:rPr>
                <w:lang w:val="fr-FR"/>
              </w:rPr>
              <w:t>« </w:t>
            </w:r>
            <w:r w:rsidRPr="00905318">
              <w:rPr>
                <w:lang w:val="fr-FR"/>
              </w:rPr>
              <w:t>avec lesquelles il existe un risque d</w:t>
            </w:r>
            <w:r>
              <w:rPr>
                <w:lang w:val="fr-FR"/>
              </w:rPr>
              <w:t>’</w:t>
            </w:r>
            <w:r w:rsidRPr="00905318">
              <w:rPr>
                <w:lang w:val="fr-FR"/>
              </w:rPr>
              <w:t>explosion</w:t>
            </w:r>
            <w:r>
              <w:rPr>
                <w:lang w:val="fr-FR"/>
              </w:rPr>
              <w:t> »</w:t>
            </w:r>
            <w:r w:rsidRPr="00905318">
              <w:rPr>
                <w:lang w:val="fr-FR"/>
              </w:rPr>
              <w:t xml:space="preserve"> par </w:t>
            </w:r>
            <w:r>
              <w:rPr>
                <w:lang w:val="fr-FR"/>
              </w:rPr>
              <w:t>« </w:t>
            </w:r>
            <w:r w:rsidRPr="00905318">
              <w:rPr>
                <w:lang w:val="fr-FR"/>
              </w:rPr>
              <w:t>susceptibles de provoquer une explosion</w:t>
            </w:r>
            <w:r>
              <w:rPr>
                <w:lang w:val="fr-FR"/>
              </w:rPr>
              <w:t> »</w:t>
            </w:r>
            <w:r w:rsidRPr="00905318">
              <w:rPr>
                <w:lang w:val="fr-FR"/>
              </w:rPr>
              <w:t>.</w:t>
            </w:r>
          </w:p>
        </w:tc>
        <w:tc>
          <w:tcPr>
            <w:tcW w:w="4874" w:type="dxa"/>
            <w:tcBorders>
              <w:bottom w:val="single" w:sz="4" w:space="0" w:color="auto"/>
            </w:tcBorders>
          </w:tcPr>
          <w:p w14:paraId="3F60EEB7" w14:textId="77777777" w:rsidR="00FA0B12" w:rsidRPr="00573602" w:rsidRDefault="00FA0B12" w:rsidP="008C68B9">
            <w:pPr>
              <w:pStyle w:val="SingleTxtG"/>
              <w:ind w:left="0" w:right="0"/>
              <w:jc w:val="left"/>
              <w:rPr>
                <w:lang w:val="fr-FR"/>
              </w:rPr>
            </w:pPr>
            <w:r w:rsidRPr="00573602">
              <w:rPr>
                <w:lang w:val="fr-FR"/>
              </w:rPr>
              <w:t xml:space="preserve">Remplacer </w:t>
            </w:r>
            <w:r w:rsidRPr="00573602">
              <w:rPr>
                <w:lang w:val="fr-CH"/>
              </w:rPr>
              <w:t xml:space="preserve">« avec lesquelles il existe un risque d'explosion de poussières ou de dégagement de vapeurs inflammables ». </w:t>
            </w:r>
            <w:proofErr w:type="gramStart"/>
            <w:r w:rsidRPr="00573602">
              <w:rPr>
                <w:lang w:val="fr-CH"/>
              </w:rPr>
              <w:t>par</w:t>
            </w:r>
            <w:proofErr w:type="gramEnd"/>
            <w:r w:rsidRPr="00573602">
              <w:rPr>
                <w:lang w:val="fr-CH"/>
              </w:rPr>
              <w:t xml:space="preserve"> </w:t>
            </w:r>
            <w:r w:rsidRPr="00573602">
              <w:rPr>
                <w:lang w:val="fr-FR"/>
              </w:rPr>
              <w:t xml:space="preserve">« susceptibles de provoquer une explosion </w:t>
            </w:r>
            <w:r w:rsidRPr="00573602">
              <w:rPr>
                <w:lang w:val="fr-CH"/>
              </w:rPr>
              <w:t xml:space="preserve">de poussières </w:t>
            </w:r>
            <w:r w:rsidRPr="00573602">
              <w:rPr>
                <w:lang w:val="fr-FR"/>
              </w:rPr>
              <w:t>ou un dégagement de vapeurs inflammables ».</w:t>
            </w:r>
          </w:p>
        </w:tc>
      </w:tr>
      <w:tr w:rsidR="00FA0B12" w:rsidRPr="00031CD8" w14:paraId="6CDC65C5" w14:textId="77777777" w:rsidTr="00A03CDF">
        <w:tc>
          <w:tcPr>
            <w:tcW w:w="1276" w:type="dxa"/>
            <w:tcBorders>
              <w:top w:val="single" w:sz="4" w:space="0" w:color="auto"/>
              <w:left w:val="single" w:sz="4" w:space="0" w:color="auto"/>
              <w:bottom w:val="nil"/>
              <w:right w:val="nil"/>
            </w:tcBorders>
          </w:tcPr>
          <w:p w14:paraId="58A19F71" w14:textId="77777777" w:rsidR="00FA0B12" w:rsidRPr="00E051F1" w:rsidRDefault="00FA0B12" w:rsidP="008C68B9">
            <w:pPr>
              <w:pStyle w:val="SingleTxtG"/>
              <w:ind w:left="2835" w:right="0" w:hanging="2835"/>
              <w:jc w:val="left"/>
            </w:pPr>
            <w:r>
              <w:t>4.3.1.16.2</w:t>
            </w:r>
          </w:p>
        </w:tc>
        <w:tc>
          <w:tcPr>
            <w:tcW w:w="7229" w:type="dxa"/>
            <w:gridSpan w:val="2"/>
            <w:tcBorders>
              <w:top w:val="single" w:sz="4" w:space="0" w:color="auto"/>
              <w:left w:val="nil"/>
              <w:bottom w:val="nil"/>
              <w:right w:val="single" w:sz="4" w:space="0" w:color="auto"/>
            </w:tcBorders>
          </w:tcPr>
          <w:p w14:paraId="4B6E987A" w14:textId="77777777" w:rsidR="00FA0B12" w:rsidRPr="00031CD8" w:rsidRDefault="00FA0B12" w:rsidP="008C68B9">
            <w:pPr>
              <w:pStyle w:val="SingleTxtG"/>
              <w:ind w:left="0" w:right="0"/>
              <w:jc w:val="left"/>
              <w:rPr>
                <w:lang w:val="fr-CH"/>
              </w:rPr>
            </w:pPr>
            <w:r w:rsidRPr="00905318">
              <w:rPr>
                <w:lang w:val="fr-FR"/>
              </w:rPr>
              <w:t xml:space="preserve">Remplacer </w:t>
            </w:r>
            <w:r>
              <w:rPr>
                <w:lang w:val="fr-FR"/>
              </w:rPr>
              <w:t>« </w:t>
            </w:r>
            <w:r w:rsidRPr="00905318">
              <w:rPr>
                <w:lang w:val="fr-FR"/>
              </w:rPr>
              <w:t>présent</w:t>
            </w:r>
            <w:r>
              <w:rPr>
                <w:lang w:val="fr-FR"/>
              </w:rPr>
              <w:t> »</w:t>
            </w:r>
            <w:r w:rsidRPr="00905318">
              <w:rPr>
                <w:lang w:val="fr-FR"/>
              </w:rPr>
              <w:t xml:space="preserve"> par </w:t>
            </w:r>
            <w:r>
              <w:rPr>
                <w:lang w:val="fr-FR"/>
              </w:rPr>
              <w:t>« </w:t>
            </w:r>
            <w:r w:rsidRPr="00905318">
              <w:rPr>
                <w:lang w:val="fr-FR"/>
              </w:rPr>
              <w:t>installé</w:t>
            </w:r>
            <w:r>
              <w:rPr>
                <w:lang w:val="fr-FR"/>
              </w:rPr>
              <w:t> »</w:t>
            </w:r>
            <w:r w:rsidRPr="00905318">
              <w:rPr>
                <w:lang w:val="fr-FR"/>
              </w:rPr>
              <w:t xml:space="preserve"> et remplacer </w:t>
            </w:r>
            <w:r>
              <w:rPr>
                <w:lang w:val="fr-FR"/>
              </w:rPr>
              <w:t>« </w:t>
            </w:r>
            <w:r w:rsidRPr="00905318">
              <w:rPr>
                <w:lang w:val="fr-FR"/>
              </w:rPr>
              <w:t>un risque d</w:t>
            </w:r>
            <w:r>
              <w:rPr>
                <w:lang w:val="fr-FR"/>
              </w:rPr>
              <w:t>’</w:t>
            </w:r>
            <w:r w:rsidRPr="00905318">
              <w:rPr>
                <w:lang w:val="fr-FR"/>
              </w:rPr>
              <w:t>accumulation</w:t>
            </w:r>
            <w:r>
              <w:rPr>
                <w:lang w:val="fr-FR"/>
              </w:rPr>
              <w:t> »</w:t>
            </w:r>
            <w:r w:rsidRPr="00905318">
              <w:rPr>
                <w:lang w:val="fr-FR"/>
              </w:rPr>
              <w:t xml:space="preserve"> par </w:t>
            </w:r>
            <w:r>
              <w:rPr>
                <w:lang w:val="fr-FR"/>
              </w:rPr>
              <w:t>« </w:t>
            </w:r>
            <w:r w:rsidRPr="00905318">
              <w:rPr>
                <w:lang w:val="fr-FR"/>
              </w:rPr>
              <w:t>une accumulation</w:t>
            </w:r>
            <w:r>
              <w:rPr>
                <w:lang w:val="fr-FR"/>
              </w:rPr>
              <w:t> »</w:t>
            </w:r>
            <w:r w:rsidRPr="00905318">
              <w:rPr>
                <w:lang w:val="fr-FR"/>
              </w:rPr>
              <w:t>.</w:t>
            </w:r>
          </w:p>
        </w:tc>
      </w:tr>
      <w:tr w:rsidR="00FA0B12" w:rsidRPr="00F154E9" w14:paraId="4BC93941" w14:textId="77777777" w:rsidTr="00A03CDF">
        <w:trPr>
          <w:trHeight w:val="1410"/>
        </w:trPr>
        <w:tc>
          <w:tcPr>
            <w:tcW w:w="8505" w:type="dxa"/>
            <w:gridSpan w:val="3"/>
            <w:tcBorders>
              <w:top w:val="nil"/>
              <w:left w:val="single" w:sz="4" w:space="0" w:color="auto"/>
              <w:bottom w:val="single" w:sz="4" w:space="0" w:color="auto"/>
              <w:right w:val="single" w:sz="4" w:space="0" w:color="auto"/>
            </w:tcBorders>
          </w:tcPr>
          <w:p w14:paraId="5E393485" w14:textId="77777777" w:rsidR="00FA0B12" w:rsidRPr="00573602" w:rsidRDefault="00FA0B12" w:rsidP="008C68B9">
            <w:pPr>
              <w:pStyle w:val="SingleTxtG"/>
              <w:ind w:left="0" w:right="0"/>
              <w:jc w:val="left"/>
              <w:rPr>
                <w:lang w:val="fr-FR"/>
              </w:rPr>
            </w:pPr>
            <w:r w:rsidRPr="00573602">
              <w:rPr>
                <w:lang w:val="fr-FR"/>
              </w:rPr>
              <w:t xml:space="preserve">The sentence </w:t>
            </w:r>
            <w:proofErr w:type="spellStart"/>
            <w:r w:rsidRPr="00573602">
              <w:rPr>
                <w:lang w:val="fr-FR"/>
              </w:rPr>
              <w:t>will</w:t>
            </w:r>
            <w:proofErr w:type="spellEnd"/>
            <w:r w:rsidRPr="00573602">
              <w:rPr>
                <w:lang w:val="fr-FR"/>
              </w:rPr>
              <w:t xml:space="preserve"> </w:t>
            </w:r>
            <w:proofErr w:type="spellStart"/>
            <w:proofErr w:type="gramStart"/>
            <w:r w:rsidRPr="00573602">
              <w:rPr>
                <w:lang w:val="fr-FR"/>
              </w:rPr>
              <w:t>say</w:t>
            </w:r>
            <w:proofErr w:type="spellEnd"/>
            <w:r w:rsidRPr="00573602">
              <w:rPr>
                <w:lang w:val="fr-FR"/>
              </w:rPr>
              <w:t>:</w:t>
            </w:r>
            <w:proofErr w:type="gramEnd"/>
          </w:p>
          <w:p w14:paraId="53A0B931" w14:textId="77777777" w:rsidR="00FA0B12" w:rsidRPr="00573602" w:rsidRDefault="00FA0B12" w:rsidP="008C68B9">
            <w:pPr>
              <w:pStyle w:val="SingleTxtG"/>
              <w:ind w:left="0" w:right="0"/>
              <w:jc w:val="left"/>
              <w:rPr>
                <w:lang w:val="fr-FR"/>
              </w:rPr>
            </w:pPr>
            <w:r w:rsidRPr="00573602">
              <w:rPr>
                <w:lang w:val="fr-FR"/>
              </w:rPr>
              <w:t>« Un évent doit être installé s’il y a un une accumulation de gaz dangereuse à l'intérieur du conteneur pour vrac souple. »</w:t>
            </w:r>
          </w:p>
          <w:p w14:paraId="57ED75B3" w14:textId="77777777" w:rsidR="00FA0B12" w:rsidRPr="00573602" w:rsidRDefault="00FA0B12" w:rsidP="008C68B9">
            <w:pPr>
              <w:pStyle w:val="SingleTxtG"/>
              <w:ind w:left="0" w:right="0"/>
              <w:jc w:val="left"/>
              <w:rPr>
                <w:lang w:val="fr-FR"/>
              </w:rPr>
            </w:pPr>
            <w:r w:rsidRPr="00573602">
              <w:t xml:space="preserve">With this change in French the venting device </w:t>
            </w:r>
            <w:proofErr w:type="gramStart"/>
            <w:r w:rsidRPr="00573602">
              <w:t>has to</w:t>
            </w:r>
            <w:proofErr w:type="gramEnd"/>
            <w:r w:rsidRPr="00573602">
              <w:t xml:space="preserve"> be installed only after the accumulation of gas has occurred. In </w:t>
            </w:r>
            <w:proofErr w:type="gramStart"/>
            <w:r w:rsidRPr="00573602">
              <w:t>fact</w:t>
            </w:r>
            <w:proofErr w:type="gramEnd"/>
            <w:r w:rsidRPr="00573602">
              <w:t xml:space="preserve"> the venting device should avoid the risk of accumulation. We believe the word </w:t>
            </w:r>
            <w:r w:rsidRPr="00573602">
              <w:rPr>
                <w:lang w:val="fr-FR"/>
              </w:rPr>
              <w:t xml:space="preserve">« un risque d’accumulation » </w:t>
            </w:r>
            <w:proofErr w:type="spellStart"/>
            <w:r w:rsidRPr="00573602">
              <w:rPr>
                <w:lang w:val="fr-FR"/>
              </w:rPr>
              <w:t>should</w:t>
            </w:r>
            <w:proofErr w:type="spellEnd"/>
            <w:r w:rsidRPr="00573602">
              <w:rPr>
                <w:lang w:val="fr-FR"/>
              </w:rPr>
              <w:t xml:space="preserve"> </w:t>
            </w:r>
            <w:proofErr w:type="spellStart"/>
            <w:r w:rsidRPr="00573602">
              <w:rPr>
                <w:lang w:val="fr-FR"/>
              </w:rPr>
              <w:t>remain</w:t>
            </w:r>
            <w:proofErr w:type="spellEnd"/>
            <w:r w:rsidRPr="00573602">
              <w:rPr>
                <w:lang w:val="fr-FR"/>
              </w:rPr>
              <w:t>.</w:t>
            </w:r>
          </w:p>
        </w:tc>
      </w:tr>
      <w:tr w:rsidR="00FA0B12" w:rsidRPr="00EC4E05" w14:paraId="4D9DF985" w14:textId="77777777" w:rsidTr="00A03CDF">
        <w:tc>
          <w:tcPr>
            <w:tcW w:w="1276" w:type="dxa"/>
            <w:tcBorders>
              <w:top w:val="single" w:sz="4" w:space="0" w:color="auto"/>
            </w:tcBorders>
          </w:tcPr>
          <w:p w14:paraId="01A65BAB" w14:textId="77777777" w:rsidR="00FA0B12" w:rsidRDefault="00FA0B12" w:rsidP="008C68B9">
            <w:pPr>
              <w:pStyle w:val="SingleTxtG"/>
              <w:ind w:left="2835" w:right="0" w:hanging="2835"/>
              <w:jc w:val="left"/>
            </w:pPr>
            <w:r>
              <w:t>6.2.1.2.1</w:t>
            </w:r>
          </w:p>
        </w:tc>
        <w:tc>
          <w:tcPr>
            <w:tcW w:w="2355" w:type="dxa"/>
            <w:tcBorders>
              <w:top w:val="single" w:sz="4" w:space="0" w:color="auto"/>
            </w:tcBorders>
          </w:tcPr>
          <w:p w14:paraId="6617558F" w14:textId="77777777" w:rsidR="00FA0B12" w:rsidRPr="00905318" w:rsidRDefault="00FA0B12" w:rsidP="008C68B9">
            <w:pPr>
              <w:pStyle w:val="SingleTxtG"/>
              <w:spacing w:after="0"/>
              <w:ind w:left="0" w:right="0"/>
              <w:jc w:val="left"/>
              <w:rPr>
                <w:lang w:val="fr-FR"/>
              </w:rPr>
            </w:pPr>
            <w:r w:rsidRPr="00E54086">
              <w:rPr>
                <w:lang w:val="fr-FR"/>
              </w:rPr>
              <w:t xml:space="preserve">Remplacer </w:t>
            </w:r>
            <w:r>
              <w:rPr>
                <w:lang w:val="fr-FR"/>
              </w:rPr>
              <w:t>« </w:t>
            </w:r>
            <w:r w:rsidRPr="00E54086">
              <w:rPr>
                <w:lang w:val="fr-FR"/>
              </w:rPr>
              <w:t>risque</w:t>
            </w:r>
            <w:r>
              <w:rPr>
                <w:lang w:val="fr-FR"/>
              </w:rPr>
              <w:t> »</w:t>
            </w:r>
            <w:r w:rsidRPr="00E54086">
              <w:rPr>
                <w:lang w:val="fr-FR"/>
              </w:rPr>
              <w:t xml:space="preserve"> par </w:t>
            </w:r>
            <w:r>
              <w:rPr>
                <w:lang w:val="fr-FR"/>
              </w:rPr>
              <w:t>« </w:t>
            </w:r>
            <w:r w:rsidRPr="00E54086">
              <w:rPr>
                <w:lang w:val="fr-FR"/>
              </w:rPr>
              <w:t>doivent</w:t>
            </w:r>
            <w:r>
              <w:rPr>
                <w:lang w:val="fr-FR"/>
              </w:rPr>
              <w:t> »</w:t>
            </w:r>
            <w:r w:rsidRPr="00E54086">
              <w:rPr>
                <w:lang w:val="fr-FR"/>
              </w:rPr>
              <w:t>.</w:t>
            </w:r>
          </w:p>
        </w:tc>
        <w:tc>
          <w:tcPr>
            <w:tcW w:w="4874" w:type="dxa"/>
            <w:tcBorders>
              <w:top w:val="single" w:sz="4" w:space="0" w:color="auto"/>
            </w:tcBorders>
          </w:tcPr>
          <w:p w14:paraId="283A2FC2" w14:textId="77777777" w:rsidR="00FA0B12" w:rsidRPr="00573602" w:rsidRDefault="00FA0B12" w:rsidP="008C68B9">
            <w:pPr>
              <w:pStyle w:val="SingleTxtG"/>
              <w:ind w:left="0" w:right="0"/>
              <w:jc w:val="left"/>
              <w:rPr>
                <w:lang w:val="fr-FR"/>
              </w:rPr>
            </w:pPr>
            <w:r w:rsidRPr="00573602">
              <w:rPr>
                <w:lang w:val="fr-FR"/>
              </w:rPr>
              <w:t xml:space="preserve">Change </w:t>
            </w:r>
            <w:proofErr w:type="spellStart"/>
            <w:r w:rsidRPr="00573602">
              <w:rPr>
                <w:lang w:val="fr-FR"/>
              </w:rPr>
              <w:t>should</w:t>
            </w:r>
            <w:proofErr w:type="spellEnd"/>
            <w:r w:rsidRPr="00573602">
              <w:rPr>
                <w:lang w:val="fr-FR"/>
              </w:rPr>
              <w:t xml:space="preserve"> </w:t>
            </w:r>
            <w:proofErr w:type="spellStart"/>
            <w:r w:rsidRPr="00573602">
              <w:rPr>
                <w:lang w:val="fr-FR"/>
              </w:rPr>
              <w:t>say</w:t>
            </w:r>
            <w:proofErr w:type="spellEnd"/>
            <w:r w:rsidRPr="00573602">
              <w:rPr>
                <w:lang w:val="fr-FR"/>
              </w:rPr>
              <w:t> :</w:t>
            </w:r>
          </w:p>
          <w:p w14:paraId="5B46FE7D" w14:textId="77777777" w:rsidR="00FA0B12" w:rsidRPr="00573602" w:rsidRDefault="00FA0B12" w:rsidP="008C68B9">
            <w:pPr>
              <w:pStyle w:val="SingleTxtG"/>
              <w:ind w:left="0" w:right="0"/>
              <w:jc w:val="left"/>
              <w:rPr>
                <w:lang w:val="fr-FR"/>
              </w:rPr>
            </w:pPr>
            <w:r w:rsidRPr="00573602">
              <w:rPr>
                <w:lang w:val="fr-FR"/>
              </w:rPr>
              <w:t>Remplacer « </w:t>
            </w:r>
            <w:r w:rsidRPr="00573602">
              <w:rPr>
                <w:lang w:val="fr-CH"/>
              </w:rPr>
              <w:t>risque pas de provoquer</w:t>
            </w:r>
            <w:r w:rsidRPr="00573602">
              <w:rPr>
                <w:lang w:val="fr-FR"/>
              </w:rPr>
              <w:t> » par « ne provoque pas ».</w:t>
            </w:r>
          </w:p>
        </w:tc>
      </w:tr>
      <w:tr w:rsidR="00FA0B12" w:rsidRPr="00E54B97" w14:paraId="7F3EEF05" w14:textId="77777777" w:rsidTr="00A03CDF">
        <w:tc>
          <w:tcPr>
            <w:tcW w:w="1276" w:type="dxa"/>
          </w:tcPr>
          <w:p w14:paraId="407A43AD" w14:textId="77777777" w:rsidR="00FA0B12" w:rsidRDefault="00FA0B12" w:rsidP="008C68B9">
            <w:pPr>
              <w:pStyle w:val="SingleTxtG"/>
              <w:ind w:left="0" w:right="0"/>
              <w:jc w:val="left"/>
            </w:pPr>
            <w:r w:rsidRPr="006542EA">
              <w:t>6.3.5.2.2</w:t>
            </w:r>
            <w:r>
              <w:t>, under the table</w:t>
            </w:r>
          </w:p>
        </w:tc>
        <w:tc>
          <w:tcPr>
            <w:tcW w:w="2355" w:type="dxa"/>
          </w:tcPr>
          <w:p w14:paraId="2D830DF4" w14:textId="77777777" w:rsidR="00FA0B12" w:rsidRPr="00E54086" w:rsidRDefault="00FA0B12" w:rsidP="008C68B9">
            <w:pPr>
              <w:pStyle w:val="SingleTxtG"/>
              <w:spacing w:after="0"/>
              <w:ind w:left="0" w:right="0"/>
              <w:jc w:val="left"/>
              <w:rPr>
                <w:lang w:val="fr-FR"/>
              </w:rPr>
            </w:pPr>
            <w:r w:rsidRPr="00006B3D">
              <w:rPr>
                <w:lang w:val="fr-FR"/>
              </w:rPr>
              <w:t xml:space="preserve">Remplacer </w:t>
            </w:r>
            <w:r>
              <w:rPr>
                <w:lang w:val="fr-FR"/>
              </w:rPr>
              <w:t>« </w:t>
            </w:r>
            <w:r w:rsidRPr="00006B3D">
              <w:rPr>
                <w:lang w:val="fr-FR"/>
              </w:rPr>
              <w:t>risquant de</w:t>
            </w:r>
            <w:r>
              <w:rPr>
                <w:lang w:val="fr-FR"/>
              </w:rPr>
              <w:t> »</w:t>
            </w:r>
            <w:r w:rsidRPr="00006B3D">
              <w:rPr>
                <w:lang w:val="fr-FR"/>
              </w:rPr>
              <w:t xml:space="preserve"> par </w:t>
            </w:r>
            <w:r>
              <w:rPr>
                <w:lang w:val="fr-FR"/>
              </w:rPr>
              <w:t>« </w:t>
            </w:r>
            <w:r w:rsidRPr="00006B3D">
              <w:rPr>
                <w:lang w:val="fr-FR"/>
              </w:rPr>
              <w:t>qui pourrait</w:t>
            </w:r>
            <w:r>
              <w:rPr>
                <w:lang w:val="fr-FR"/>
              </w:rPr>
              <w:t> »</w:t>
            </w:r>
            <w:r w:rsidRPr="00006B3D">
              <w:rPr>
                <w:lang w:val="fr-FR"/>
              </w:rPr>
              <w:t>.</w:t>
            </w:r>
          </w:p>
        </w:tc>
        <w:tc>
          <w:tcPr>
            <w:tcW w:w="4874" w:type="dxa"/>
          </w:tcPr>
          <w:p w14:paraId="17BB15C5" w14:textId="77777777" w:rsidR="00FA0B12" w:rsidRPr="00573602" w:rsidRDefault="00FA0B12" w:rsidP="008C68B9">
            <w:pPr>
              <w:pStyle w:val="SingleTxtG"/>
              <w:ind w:left="0" w:right="0"/>
              <w:jc w:val="left"/>
              <w:rPr>
                <w:lang w:val="fr-FR"/>
              </w:rPr>
            </w:pPr>
            <w:r w:rsidRPr="00573602">
              <w:rPr>
                <w:lang w:val="fr-FR"/>
              </w:rPr>
              <w:t>Remplacer « </w:t>
            </w:r>
            <w:proofErr w:type="gramStart"/>
            <w:r w:rsidRPr="00573602">
              <w:rPr>
                <w:lang w:val="fr-FR"/>
              </w:rPr>
              <w:t>risquent</w:t>
            </w:r>
            <w:proofErr w:type="gramEnd"/>
            <w:r w:rsidRPr="00573602">
              <w:rPr>
                <w:lang w:val="fr-FR"/>
              </w:rPr>
              <w:t xml:space="preserve"> de » par « qui pourraient ».</w:t>
            </w:r>
          </w:p>
        </w:tc>
      </w:tr>
      <w:tr w:rsidR="00FA0B12" w:rsidRPr="00E54B97" w14:paraId="37B721C7" w14:textId="77777777" w:rsidTr="00A03CDF">
        <w:tc>
          <w:tcPr>
            <w:tcW w:w="1276" w:type="dxa"/>
          </w:tcPr>
          <w:p w14:paraId="2C648575" w14:textId="77777777" w:rsidR="00FA0B12" w:rsidRPr="006542EA" w:rsidRDefault="00FA0B12" w:rsidP="008C68B9">
            <w:pPr>
              <w:pStyle w:val="SingleTxtG"/>
              <w:ind w:left="0" w:right="0"/>
              <w:jc w:val="left"/>
            </w:pPr>
            <w:r>
              <w:t>6.6.4.5.7</w:t>
            </w:r>
          </w:p>
        </w:tc>
        <w:tc>
          <w:tcPr>
            <w:tcW w:w="2355" w:type="dxa"/>
          </w:tcPr>
          <w:p w14:paraId="2760B00C" w14:textId="77777777" w:rsidR="00FA0B12" w:rsidRPr="00006B3D" w:rsidRDefault="00FA0B12" w:rsidP="008C68B9">
            <w:pPr>
              <w:pStyle w:val="SingleTxtG"/>
              <w:spacing w:after="0"/>
              <w:ind w:left="0" w:right="0"/>
              <w:jc w:val="left"/>
              <w:rPr>
                <w:lang w:val="fr-FR"/>
              </w:rPr>
            </w:pPr>
            <w:r w:rsidRPr="007E4DAA">
              <w:rPr>
                <w:lang w:val="fr-FR"/>
              </w:rPr>
              <w:t xml:space="preserve">Remplacer </w:t>
            </w:r>
            <w:r>
              <w:rPr>
                <w:lang w:val="fr-FR"/>
              </w:rPr>
              <w:t>« </w:t>
            </w:r>
            <w:r w:rsidRPr="007E4DAA">
              <w:rPr>
                <w:lang w:val="fr-FR"/>
              </w:rPr>
              <w:t>risquant</w:t>
            </w:r>
            <w:r>
              <w:rPr>
                <w:lang w:val="fr-FR"/>
              </w:rPr>
              <w:t> »</w:t>
            </w:r>
            <w:r w:rsidRPr="007E4DAA">
              <w:rPr>
                <w:lang w:val="fr-FR"/>
              </w:rPr>
              <w:t xml:space="preserve"> par </w:t>
            </w:r>
            <w:r>
              <w:rPr>
                <w:lang w:val="fr-FR"/>
              </w:rPr>
              <w:t>« </w:t>
            </w:r>
            <w:r w:rsidRPr="007E4DAA">
              <w:rPr>
                <w:lang w:val="fr-FR"/>
              </w:rPr>
              <w:t>susceptibles</w:t>
            </w:r>
            <w:r>
              <w:rPr>
                <w:lang w:val="fr-FR"/>
              </w:rPr>
              <w:t> »</w:t>
            </w:r>
          </w:p>
        </w:tc>
        <w:tc>
          <w:tcPr>
            <w:tcW w:w="4874" w:type="dxa"/>
          </w:tcPr>
          <w:p w14:paraId="434E8E55" w14:textId="77777777" w:rsidR="00FA0B12" w:rsidRPr="00573602" w:rsidRDefault="00FA0B12" w:rsidP="008C68B9">
            <w:pPr>
              <w:pStyle w:val="SingleTxtG"/>
              <w:ind w:left="0" w:right="0"/>
              <w:jc w:val="left"/>
              <w:rPr>
                <w:lang w:val="fr-FR"/>
              </w:rPr>
            </w:pPr>
            <w:r w:rsidRPr="00573602">
              <w:rPr>
                <w:lang w:val="fr-FR"/>
              </w:rPr>
              <w:t>Remplacer « risquant » par « susceptible »</w:t>
            </w:r>
          </w:p>
        </w:tc>
      </w:tr>
      <w:tr w:rsidR="00FA0B12" w:rsidRPr="00E54B97" w14:paraId="3B23050B" w14:textId="77777777" w:rsidTr="00A03CDF">
        <w:tc>
          <w:tcPr>
            <w:tcW w:w="1276" w:type="dxa"/>
          </w:tcPr>
          <w:p w14:paraId="0797B367" w14:textId="77777777" w:rsidR="00FA0B12" w:rsidRDefault="00FA0B12" w:rsidP="008C68B9">
            <w:pPr>
              <w:pStyle w:val="SingleTxtG"/>
              <w:ind w:left="0" w:right="0"/>
              <w:jc w:val="left"/>
            </w:pPr>
            <w:r>
              <w:t>6.6.4.5.8</w:t>
            </w:r>
          </w:p>
        </w:tc>
        <w:tc>
          <w:tcPr>
            <w:tcW w:w="2355" w:type="dxa"/>
          </w:tcPr>
          <w:p w14:paraId="61CA1D4E" w14:textId="77777777" w:rsidR="00FA0B12" w:rsidRPr="007E4DAA" w:rsidRDefault="00FA0B12" w:rsidP="008C68B9">
            <w:pPr>
              <w:pStyle w:val="SingleTxtG"/>
              <w:spacing w:after="0"/>
              <w:ind w:left="0" w:right="0"/>
              <w:jc w:val="left"/>
              <w:rPr>
                <w:lang w:val="fr-FR"/>
              </w:rPr>
            </w:pPr>
            <w:r w:rsidRPr="007E4DAA">
              <w:rPr>
                <w:lang w:val="fr-FR"/>
              </w:rPr>
              <w:t xml:space="preserve">Remplacer </w:t>
            </w:r>
            <w:r>
              <w:rPr>
                <w:lang w:val="fr-FR"/>
              </w:rPr>
              <w:t>« </w:t>
            </w:r>
            <w:r w:rsidRPr="007E4DAA">
              <w:rPr>
                <w:lang w:val="fr-FR"/>
              </w:rPr>
              <w:t>risquant</w:t>
            </w:r>
            <w:r>
              <w:rPr>
                <w:lang w:val="fr-FR"/>
              </w:rPr>
              <w:t> »</w:t>
            </w:r>
            <w:r w:rsidRPr="007E4DAA">
              <w:rPr>
                <w:lang w:val="fr-FR"/>
              </w:rPr>
              <w:t xml:space="preserve"> par </w:t>
            </w:r>
            <w:r>
              <w:rPr>
                <w:lang w:val="fr-FR"/>
              </w:rPr>
              <w:t>« </w:t>
            </w:r>
            <w:r w:rsidRPr="007E4DAA">
              <w:rPr>
                <w:lang w:val="fr-FR"/>
              </w:rPr>
              <w:t>susceptibles</w:t>
            </w:r>
            <w:r>
              <w:rPr>
                <w:lang w:val="fr-FR"/>
              </w:rPr>
              <w:t> »</w:t>
            </w:r>
          </w:p>
        </w:tc>
        <w:tc>
          <w:tcPr>
            <w:tcW w:w="4874" w:type="dxa"/>
          </w:tcPr>
          <w:p w14:paraId="21D31D98" w14:textId="77777777" w:rsidR="00FA0B12" w:rsidRPr="00573602" w:rsidRDefault="00FA0B12" w:rsidP="008C68B9">
            <w:pPr>
              <w:pStyle w:val="SingleTxtG"/>
              <w:ind w:left="0" w:right="0"/>
              <w:jc w:val="left"/>
              <w:rPr>
                <w:lang w:val="fr-FR"/>
              </w:rPr>
            </w:pPr>
            <w:r w:rsidRPr="00573602">
              <w:rPr>
                <w:lang w:val="fr-FR"/>
              </w:rPr>
              <w:t>Remplacer « risquant » par « susceptible »</w:t>
            </w:r>
          </w:p>
        </w:tc>
      </w:tr>
      <w:tr w:rsidR="00FA0B12" w:rsidRPr="00E54B97" w14:paraId="74F615A8" w14:textId="77777777" w:rsidTr="00A03CDF">
        <w:tc>
          <w:tcPr>
            <w:tcW w:w="1276" w:type="dxa"/>
          </w:tcPr>
          <w:p w14:paraId="49855302" w14:textId="77777777" w:rsidR="00FA0B12" w:rsidRDefault="00FA0B12" w:rsidP="008C68B9">
            <w:pPr>
              <w:pStyle w:val="SingleTxtG"/>
              <w:ind w:left="0" w:right="0"/>
              <w:jc w:val="left"/>
            </w:pPr>
            <w:r>
              <w:t>6.6.5.2.1</w:t>
            </w:r>
          </w:p>
        </w:tc>
        <w:tc>
          <w:tcPr>
            <w:tcW w:w="2355" w:type="dxa"/>
          </w:tcPr>
          <w:p w14:paraId="1ACE4FAB" w14:textId="77777777" w:rsidR="00FA0B12" w:rsidRPr="007E4DAA" w:rsidRDefault="00FA0B12" w:rsidP="008C68B9">
            <w:pPr>
              <w:pStyle w:val="SingleTxtG"/>
              <w:spacing w:after="0"/>
              <w:ind w:left="0" w:right="0"/>
              <w:jc w:val="left"/>
              <w:rPr>
                <w:lang w:val="fr-FR"/>
              </w:rPr>
            </w:pPr>
            <w:r w:rsidRPr="007E4DAA">
              <w:rPr>
                <w:lang w:val="fr-FR"/>
              </w:rPr>
              <w:t xml:space="preserve">Remplacer </w:t>
            </w:r>
            <w:r>
              <w:rPr>
                <w:lang w:val="fr-FR"/>
              </w:rPr>
              <w:t>« </w:t>
            </w:r>
            <w:r w:rsidRPr="007E4DAA">
              <w:rPr>
                <w:lang w:val="fr-FR"/>
              </w:rPr>
              <w:t>risque de fausser</w:t>
            </w:r>
            <w:r>
              <w:rPr>
                <w:lang w:val="fr-FR"/>
              </w:rPr>
              <w:t> »</w:t>
            </w:r>
            <w:r w:rsidRPr="007E4DAA">
              <w:rPr>
                <w:lang w:val="fr-FR"/>
              </w:rPr>
              <w:t xml:space="preserve"> par </w:t>
            </w:r>
            <w:r>
              <w:rPr>
                <w:lang w:val="fr-FR"/>
              </w:rPr>
              <w:t>« </w:t>
            </w:r>
            <w:r w:rsidRPr="007E4DAA">
              <w:rPr>
                <w:lang w:val="fr-FR"/>
              </w:rPr>
              <w:t>invaliderait</w:t>
            </w:r>
            <w:r>
              <w:rPr>
                <w:lang w:val="fr-FR"/>
              </w:rPr>
              <w:t> »</w:t>
            </w:r>
            <w:r w:rsidRPr="007E4DAA">
              <w:rPr>
                <w:lang w:val="fr-FR"/>
              </w:rPr>
              <w:t>.</w:t>
            </w:r>
          </w:p>
        </w:tc>
        <w:tc>
          <w:tcPr>
            <w:tcW w:w="4874" w:type="dxa"/>
          </w:tcPr>
          <w:p w14:paraId="77D301B9" w14:textId="77777777" w:rsidR="00FA0B12" w:rsidRPr="00573602" w:rsidRDefault="00FA0B12" w:rsidP="008C68B9">
            <w:pPr>
              <w:pStyle w:val="SingleTxtG"/>
              <w:ind w:left="0" w:right="0"/>
              <w:jc w:val="left"/>
              <w:rPr>
                <w:lang w:val="fr-FR"/>
              </w:rPr>
            </w:pPr>
            <w:r w:rsidRPr="00573602">
              <w:rPr>
                <w:lang w:val="fr-FR"/>
              </w:rPr>
              <w:t>Remplacer « risque de fausser » par « invalidait ».</w:t>
            </w:r>
          </w:p>
        </w:tc>
      </w:tr>
      <w:tr w:rsidR="00FA0B12" w:rsidRPr="00E54B97" w14:paraId="292B29D3" w14:textId="77777777" w:rsidTr="00A03CDF">
        <w:tc>
          <w:tcPr>
            <w:tcW w:w="1276" w:type="dxa"/>
          </w:tcPr>
          <w:p w14:paraId="1FA9CD30" w14:textId="77777777" w:rsidR="00FA0B12" w:rsidRDefault="00FA0B12" w:rsidP="008C68B9">
            <w:pPr>
              <w:pStyle w:val="SingleTxtG"/>
              <w:ind w:left="0" w:right="0"/>
              <w:jc w:val="left"/>
            </w:pPr>
            <w:r>
              <w:t>6.7.3.5.1</w:t>
            </w:r>
          </w:p>
        </w:tc>
        <w:tc>
          <w:tcPr>
            <w:tcW w:w="2355" w:type="dxa"/>
          </w:tcPr>
          <w:p w14:paraId="5031675B" w14:textId="77777777" w:rsidR="00FA0B12" w:rsidRPr="007E4DAA" w:rsidRDefault="00FA0B12" w:rsidP="008C68B9">
            <w:pPr>
              <w:pStyle w:val="SingleTxtG"/>
              <w:spacing w:after="0"/>
              <w:ind w:left="0" w:right="0"/>
              <w:jc w:val="left"/>
              <w:rPr>
                <w:lang w:val="fr-FR"/>
              </w:rPr>
            </w:pPr>
            <w:r w:rsidRPr="007E4DAA">
              <w:rPr>
                <w:lang w:val="fr-FR"/>
              </w:rPr>
              <w:t xml:space="preserve">Remplacer </w:t>
            </w:r>
            <w:r>
              <w:rPr>
                <w:lang w:val="fr-FR"/>
              </w:rPr>
              <w:t>« </w:t>
            </w:r>
            <w:r w:rsidRPr="007E4DAA">
              <w:rPr>
                <w:lang w:val="fr-FR"/>
              </w:rPr>
              <w:t>les risques d</w:t>
            </w:r>
            <w:r>
              <w:rPr>
                <w:lang w:val="fr-FR"/>
              </w:rPr>
              <w:t>’</w:t>
            </w:r>
            <w:r w:rsidRPr="007E4DAA">
              <w:rPr>
                <w:lang w:val="fr-FR"/>
              </w:rPr>
              <w:t>arrachement</w:t>
            </w:r>
            <w:r>
              <w:rPr>
                <w:lang w:val="fr-FR"/>
              </w:rPr>
              <w:t> »</w:t>
            </w:r>
            <w:r w:rsidRPr="007E4DAA">
              <w:rPr>
                <w:lang w:val="fr-FR"/>
              </w:rPr>
              <w:t xml:space="preserve"> par </w:t>
            </w:r>
            <w:r>
              <w:rPr>
                <w:lang w:val="fr-FR"/>
              </w:rPr>
              <w:t>« </w:t>
            </w:r>
            <w:r w:rsidRPr="007E4DAA">
              <w:rPr>
                <w:lang w:val="fr-FR"/>
              </w:rPr>
              <w:t>l</w:t>
            </w:r>
            <w:r>
              <w:rPr>
                <w:lang w:val="fr-FR"/>
              </w:rPr>
              <w:t>’</w:t>
            </w:r>
            <w:r w:rsidRPr="007E4DAA">
              <w:rPr>
                <w:lang w:val="fr-FR"/>
              </w:rPr>
              <w:t>arrachement</w:t>
            </w:r>
            <w:r>
              <w:rPr>
                <w:lang w:val="fr-FR"/>
              </w:rPr>
              <w:t> »</w:t>
            </w:r>
            <w:r w:rsidRPr="007E4DAA">
              <w:rPr>
                <w:lang w:val="fr-FR"/>
              </w:rPr>
              <w:t xml:space="preserve"> et </w:t>
            </w:r>
            <w:r>
              <w:rPr>
                <w:lang w:val="fr-FR"/>
              </w:rPr>
              <w:t>« </w:t>
            </w:r>
            <w:r w:rsidRPr="007E4DAA">
              <w:rPr>
                <w:lang w:val="fr-FR"/>
              </w:rPr>
              <w:t>les risques d</w:t>
            </w:r>
            <w:r>
              <w:rPr>
                <w:lang w:val="fr-FR"/>
              </w:rPr>
              <w:t>’</w:t>
            </w:r>
            <w:r w:rsidRPr="007E4DAA">
              <w:rPr>
                <w:lang w:val="fr-FR"/>
              </w:rPr>
              <w:t>arrachements</w:t>
            </w:r>
            <w:r>
              <w:rPr>
                <w:lang w:val="fr-FR"/>
              </w:rPr>
              <w:t> »</w:t>
            </w:r>
            <w:r w:rsidRPr="007E4DAA">
              <w:rPr>
                <w:lang w:val="fr-FR"/>
              </w:rPr>
              <w:t xml:space="preserve"> par </w:t>
            </w:r>
            <w:r>
              <w:rPr>
                <w:lang w:val="fr-FR"/>
              </w:rPr>
              <w:t>« </w:t>
            </w:r>
            <w:r w:rsidRPr="007E4DAA">
              <w:rPr>
                <w:lang w:val="fr-FR"/>
              </w:rPr>
              <w:t>l</w:t>
            </w:r>
            <w:r>
              <w:rPr>
                <w:lang w:val="fr-FR"/>
              </w:rPr>
              <w:t>’</w:t>
            </w:r>
            <w:r w:rsidRPr="007E4DAA">
              <w:rPr>
                <w:lang w:val="fr-FR"/>
              </w:rPr>
              <w:t>arrachement</w:t>
            </w:r>
            <w:r>
              <w:rPr>
                <w:lang w:val="fr-FR"/>
              </w:rPr>
              <w:t> »</w:t>
            </w:r>
            <w:r w:rsidRPr="007E4DAA">
              <w:rPr>
                <w:lang w:val="fr-FR"/>
              </w:rPr>
              <w:t>.</w:t>
            </w:r>
          </w:p>
        </w:tc>
        <w:tc>
          <w:tcPr>
            <w:tcW w:w="4874" w:type="dxa"/>
          </w:tcPr>
          <w:p w14:paraId="1256DB63" w14:textId="77777777" w:rsidR="00FA0B12" w:rsidRPr="00573602" w:rsidRDefault="00FA0B12" w:rsidP="008C68B9">
            <w:pPr>
              <w:pStyle w:val="SingleTxtG"/>
              <w:ind w:left="0" w:right="0"/>
              <w:jc w:val="left"/>
              <w:rPr>
                <w:lang w:val="fr-FR"/>
              </w:rPr>
            </w:pPr>
            <w:r w:rsidRPr="00573602">
              <w:rPr>
                <w:lang w:val="fr-FR"/>
              </w:rPr>
              <w:t>Remplacer « les risques d’arrachement ou d’avarie » par « l’arrachement ou une avarie » et « les risques d’arrachements » par « l’arrachement ».</w:t>
            </w:r>
          </w:p>
        </w:tc>
      </w:tr>
      <w:tr w:rsidR="00FA0B12" w:rsidRPr="00E54B97" w14:paraId="73BEC76D" w14:textId="77777777" w:rsidTr="00A03CDF">
        <w:tc>
          <w:tcPr>
            <w:tcW w:w="1276" w:type="dxa"/>
            <w:tcBorders>
              <w:bottom w:val="single" w:sz="4" w:space="0" w:color="auto"/>
            </w:tcBorders>
          </w:tcPr>
          <w:p w14:paraId="77F05AB7" w14:textId="77777777" w:rsidR="00FA0B12" w:rsidRDefault="00FA0B12" w:rsidP="008C68B9">
            <w:pPr>
              <w:pStyle w:val="SingleTxtG"/>
              <w:ind w:left="0" w:right="0"/>
              <w:jc w:val="left"/>
            </w:pPr>
            <w:r>
              <w:t>6.7.4.5.1</w:t>
            </w:r>
          </w:p>
        </w:tc>
        <w:tc>
          <w:tcPr>
            <w:tcW w:w="2355" w:type="dxa"/>
            <w:tcBorders>
              <w:bottom w:val="single" w:sz="4" w:space="0" w:color="auto"/>
            </w:tcBorders>
          </w:tcPr>
          <w:p w14:paraId="5AD5213B" w14:textId="77777777" w:rsidR="00FA0B12" w:rsidRPr="007E4DAA" w:rsidRDefault="00FA0B12" w:rsidP="008C68B9">
            <w:pPr>
              <w:pStyle w:val="SingleTxtG"/>
              <w:spacing w:after="0"/>
              <w:ind w:left="0" w:right="0"/>
              <w:jc w:val="left"/>
              <w:rPr>
                <w:lang w:val="fr-FR"/>
              </w:rPr>
            </w:pPr>
            <w:r w:rsidRPr="00B329F7">
              <w:rPr>
                <w:spacing w:val="-2"/>
                <w:lang w:val="fr-FR"/>
              </w:rPr>
              <w:t>Remplacer « les risques d</w:t>
            </w:r>
            <w:r>
              <w:rPr>
                <w:spacing w:val="-2"/>
                <w:lang w:val="fr-FR"/>
              </w:rPr>
              <w:t>’</w:t>
            </w:r>
            <w:r w:rsidRPr="00B329F7">
              <w:rPr>
                <w:spacing w:val="-2"/>
                <w:lang w:val="fr-FR"/>
              </w:rPr>
              <w:t>arrachement » par « l</w:t>
            </w:r>
            <w:r>
              <w:rPr>
                <w:spacing w:val="-2"/>
                <w:lang w:val="fr-FR"/>
              </w:rPr>
              <w:t>’</w:t>
            </w:r>
            <w:r w:rsidRPr="00B329F7">
              <w:rPr>
                <w:spacing w:val="-2"/>
                <w:lang w:val="fr-FR"/>
              </w:rPr>
              <w:t>arrachement » (deux fois)</w:t>
            </w:r>
          </w:p>
        </w:tc>
        <w:tc>
          <w:tcPr>
            <w:tcW w:w="4874" w:type="dxa"/>
            <w:tcBorders>
              <w:bottom w:val="single" w:sz="4" w:space="0" w:color="auto"/>
            </w:tcBorders>
          </w:tcPr>
          <w:p w14:paraId="3D68ACED" w14:textId="77777777" w:rsidR="00FA0B12" w:rsidRPr="00573602" w:rsidRDefault="00FA0B12" w:rsidP="008C68B9">
            <w:pPr>
              <w:pStyle w:val="SingleTxtG"/>
              <w:ind w:left="0" w:right="0"/>
              <w:jc w:val="left"/>
              <w:rPr>
                <w:lang w:val="fr-FR"/>
              </w:rPr>
            </w:pPr>
            <w:r w:rsidRPr="00573602">
              <w:rPr>
                <w:spacing w:val="-2"/>
                <w:lang w:val="fr-FR"/>
              </w:rPr>
              <w:t>Remplacer « les risques d’arrachement ou d’avarie » par « </w:t>
            </w:r>
            <w:proofErr w:type="gramStart"/>
            <w:r w:rsidRPr="00573602">
              <w:rPr>
                <w:spacing w:val="-2"/>
                <w:lang w:val="fr-FR"/>
              </w:rPr>
              <w:t>l’arrachement  ou</w:t>
            </w:r>
            <w:proofErr w:type="gramEnd"/>
            <w:r w:rsidRPr="00573602">
              <w:rPr>
                <w:spacing w:val="-2"/>
                <w:lang w:val="fr-FR"/>
              </w:rPr>
              <w:t xml:space="preserve"> une avarie» et  </w:t>
            </w:r>
            <w:r w:rsidRPr="00573602">
              <w:rPr>
                <w:lang w:val="fr-FR"/>
              </w:rPr>
              <w:t>« les risques d’arrachements » par « l’arrachement ».</w:t>
            </w:r>
          </w:p>
        </w:tc>
      </w:tr>
      <w:tr w:rsidR="00FA0B12" w:rsidRPr="00A75928" w14:paraId="27ED4942" w14:textId="77777777" w:rsidTr="00A03CDF">
        <w:trPr>
          <w:trHeight w:val="390"/>
        </w:trPr>
        <w:tc>
          <w:tcPr>
            <w:tcW w:w="1276" w:type="dxa"/>
            <w:tcBorders>
              <w:bottom w:val="nil"/>
              <w:right w:val="nil"/>
            </w:tcBorders>
          </w:tcPr>
          <w:p w14:paraId="78F59DCD" w14:textId="77777777" w:rsidR="00FA0B12" w:rsidRDefault="00FA0B12" w:rsidP="008C68B9">
            <w:pPr>
              <w:pStyle w:val="SingleTxtG"/>
              <w:ind w:left="0" w:right="0"/>
              <w:jc w:val="left"/>
            </w:pPr>
            <w:r>
              <w:t>6.7.5.3.1</w:t>
            </w:r>
          </w:p>
        </w:tc>
        <w:tc>
          <w:tcPr>
            <w:tcW w:w="7229" w:type="dxa"/>
            <w:gridSpan w:val="2"/>
            <w:tcBorders>
              <w:left w:val="nil"/>
              <w:bottom w:val="nil"/>
            </w:tcBorders>
          </w:tcPr>
          <w:p w14:paraId="01B3AF66" w14:textId="77777777" w:rsidR="00FA0B12" w:rsidRPr="00F67F58" w:rsidRDefault="00FA0B12" w:rsidP="008C68B9">
            <w:pPr>
              <w:pStyle w:val="SingleTxtG"/>
              <w:spacing w:after="0"/>
              <w:ind w:left="0" w:right="0"/>
              <w:jc w:val="left"/>
            </w:pPr>
            <w:r w:rsidRPr="00F67F58">
              <w:t>Replace "from being wrenched off" by "against being wrenched off".</w:t>
            </w:r>
          </w:p>
          <w:p w14:paraId="655C7B26" w14:textId="77777777" w:rsidR="00FA0B12" w:rsidRPr="00573602" w:rsidRDefault="00FA0B12" w:rsidP="008C68B9">
            <w:pPr>
              <w:pStyle w:val="SingleTxtG"/>
              <w:ind w:left="0" w:right="0"/>
              <w:jc w:val="left"/>
              <w:rPr>
                <w:spacing w:val="-2"/>
              </w:rPr>
            </w:pPr>
            <w:r w:rsidRPr="007E4DAA">
              <w:rPr>
                <w:lang w:val="fr-FR"/>
              </w:rPr>
              <w:t xml:space="preserve">Remplacer </w:t>
            </w:r>
            <w:r>
              <w:rPr>
                <w:lang w:val="fr-FR"/>
              </w:rPr>
              <w:t>« </w:t>
            </w:r>
            <w:r w:rsidRPr="007E4DAA">
              <w:rPr>
                <w:lang w:val="fr-FR"/>
              </w:rPr>
              <w:t>risquant de</w:t>
            </w:r>
            <w:r>
              <w:rPr>
                <w:lang w:val="fr-FR"/>
              </w:rPr>
              <w:t> »</w:t>
            </w:r>
            <w:r w:rsidRPr="007E4DAA">
              <w:rPr>
                <w:lang w:val="fr-FR"/>
              </w:rPr>
              <w:t xml:space="preserve"> par </w:t>
            </w:r>
            <w:r>
              <w:rPr>
                <w:lang w:val="fr-FR"/>
              </w:rPr>
              <w:t>« </w:t>
            </w:r>
            <w:r w:rsidRPr="007E4DAA">
              <w:rPr>
                <w:lang w:val="fr-FR"/>
              </w:rPr>
              <w:t>qui pourrait</w:t>
            </w:r>
            <w:r>
              <w:rPr>
                <w:lang w:val="fr-FR"/>
              </w:rPr>
              <w:t> »</w:t>
            </w:r>
            <w:r w:rsidRPr="007E4DAA">
              <w:rPr>
                <w:lang w:val="fr-FR"/>
              </w:rPr>
              <w:t xml:space="preserve">, remplacer </w:t>
            </w:r>
            <w:r>
              <w:rPr>
                <w:lang w:val="fr-FR"/>
              </w:rPr>
              <w:t>« </w:t>
            </w:r>
            <w:r w:rsidRPr="007E4DAA">
              <w:rPr>
                <w:lang w:val="fr-FR"/>
              </w:rPr>
              <w:t>risque d</w:t>
            </w:r>
            <w:r>
              <w:rPr>
                <w:lang w:val="fr-FR"/>
              </w:rPr>
              <w:t>’</w:t>
            </w:r>
            <w:r w:rsidRPr="007E4DAA">
              <w:rPr>
                <w:lang w:val="fr-FR"/>
              </w:rPr>
              <w:t>avarie</w:t>
            </w:r>
            <w:r>
              <w:rPr>
                <w:lang w:val="fr-FR"/>
              </w:rPr>
              <w:t> »</w:t>
            </w:r>
            <w:r w:rsidRPr="007E4DAA">
              <w:rPr>
                <w:lang w:val="fr-FR"/>
              </w:rPr>
              <w:t xml:space="preserve"> par </w:t>
            </w:r>
            <w:r>
              <w:rPr>
                <w:lang w:val="fr-FR"/>
              </w:rPr>
              <w:t>« </w:t>
            </w:r>
            <w:r w:rsidRPr="007E4DAA">
              <w:rPr>
                <w:lang w:val="fr-FR"/>
              </w:rPr>
              <w:t>avarie</w:t>
            </w:r>
            <w:r>
              <w:rPr>
                <w:lang w:val="fr-FR"/>
              </w:rPr>
              <w:t> »</w:t>
            </w:r>
            <w:r w:rsidRPr="007E4DAA">
              <w:rPr>
                <w:lang w:val="fr-FR"/>
              </w:rPr>
              <w:t xml:space="preserve">, remplacer </w:t>
            </w:r>
            <w:r>
              <w:rPr>
                <w:lang w:val="fr-FR"/>
              </w:rPr>
              <w:t>« </w:t>
            </w:r>
            <w:r w:rsidRPr="007E4DAA">
              <w:rPr>
                <w:lang w:val="fr-FR"/>
              </w:rPr>
              <w:t>les risques d</w:t>
            </w:r>
            <w:r>
              <w:rPr>
                <w:lang w:val="fr-FR"/>
              </w:rPr>
              <w:t>’</w:t>
            </w:r>
            <w:r w:rsidRPr="007E4DAA">
              <w:rPr>
                <w:lang w:val="fr-FR"/>
              </w:rPr>
              <w:t>arrachement</w:t>
            </w:r>
            <w:r>
              <w:rPr>
                <w:lang w:val="fr-FR"/>
              </w:rPr>
              <w:t> »</w:t>
            </w:r>
            <w:r w:rsidRPr="007E4DAA">
              <w:rPr>
                <w:lang w:val="fr-FR"/>
              </w:rPr>
              <w:t xml:space="preserve"> par </w:t>
            </w:r>
            <w:r>
              <w:rPr>
                <w:lang w:val="fr-FR"/>
              </w:rPr>
              <w:t>« </w:t>
            </w:r>
            <w:r w:rsidRPr="007E4DAA">
              <w:rPr>
                <w:lang w:val="fr-FR"/>
              </w:rPr>
              <w:t>l</w:t>
            </w:r>
            <w:r>
              <w:rPr>
                <w:lang w:val="fr-FR"/>
              </w:rPr>
              <w:t>’</w:t>
            </w:r>
            <w:r w:rsidRPr="007E4DAA">
              <w:rPr>
                <w:lang w:val="fr-FR"/>
              </w:rPr>
              <w:t>arrachement</w:t>
            </w:r>
            <w:r>
              <w:rPr>
                <w:lang w:val="fr-FR"/>
              </w:rPr>
              <w:t> »</w:t>
            </w:r>
            <w:r w:rsidRPr="007E4DAA">
              <w:rPr>
                <w:lang w:val="fr-FR"/>
              </w:rPr>
              <w:t xml:space="preserve"> et supprimer </w:t>
            </w:r>
            <w:r>
              <w:rPr>
                <w:lang w:val="fr-FR"/>
              </w:rPr>
              <w:t>« </w:t>
            </w:r>
            <w:r w:rsidRPr="007E4DAA">
              <w:rPr>
                <w:lang w:val="fr-FR"/>
              </w:rPr>
              <w:t>contre les risques</w:t>
            </w:r>
            <w:r>
              <w:rPr>
                <w:lang w:val="fr-FR"/>
              </w:rPr>
              <w:t> »</w:t>
            </w:r>
            <w:r w:rsidRPr="007E4DAA">
              <w:rPr>
                <w:lang w:val="fr-FR"/>
              </w:rPr>
              <w:t>.</w:t>
            </w:r>
          </w:p>
        </w:tc>
      </w:tr>
      <w:tr w:rsidR="00FA0B12" w:rsidRPr="00A75928" w14:paraId="50938A66" w14:textId="77777777" w:rsidTr="00A03CDF">
        <w:tc>
          <w:tcPr>
            <w:tcW w:w="8505" w:type="dxa"/>
            <w:gridSpan w:val="3"/>
            <w:tcBorders>
              <w:top w:val="nil"/>
            </w:tcBorders>
          </w:tcPr>
          <w:p w14:paraId="55203B66" w14:textId="77777777" w:rsidR="00FA0B12" w:rsidRPr="00573602" w:rsidRDefault="00FA0B12" w:rsidP="008C68B9">
            <w:pPr>
              <w:pStyle w:val="SingleTxtG"/>
              <w:ind w:left="0" w:right="0"/>
              <w:jc w:val="left"/>
              <w:rPr>
                <w:spacing w:val="-2"/>
              </w:rPr>
            </w:pPr>
            <w:r w:rsidRPr="00573602">
              <w:rPr>
                <w:spacing w:val="-2"/>
              </w:rPr>
              <w:t>Why « </w:t>
            </w:r>
            <w:proofErr w:type="spellStart"/>
            <w:r w:rsidRPr="00573602">
              <w:rPr>
                <w:spacing w:val="-2"/>
              </w:rPr>
              <w:t>risque</w:t>
            </w:r>
            <w:proofErr w:type="spellEnd"/>
            <w:r w:rsidRPr="00573602">
              <w:rPr>
                <w:spacing w:val="-2"/>
              </w:rPr>
              <w:t xml:space="preserve"> </w:t>
            </w:r>
            <w:proofErr w:type="spellStart"/>
            <w:r w:rsidRPr="00573602">
              <w:rPr>
                <w:spacing w:val="-2"/>
              </w:rPr>
              <w:t>d’avarie</w:t>
            </w:r>
            <w:proofErr w:type="spellEnd"/>
            <w:r w:rsidRPr="00573602">
              <w:rPr>
                <w:spacing w:val="-2"/>
              </w:rPr>
              <w:t> » has not been changed also in 6.7.2.5.1, 6.7.4.5.1 and 6.7.3.5.1?</w:t>
            </w:r>
          </w:p>
        </w:tc>
      </w:tr>
      <w:tr w:rsidR="00FA0B12" w:rsidRPr="00B84891" w14:paraId="58CD6CC1" w14:textId="77777777" w:rsidTr="00A03CDF">
        <w:tc>
          <w:tcPr>
            <w:tcW w:w="1276" w:type="dxa"/>
          </w:tcPr>
          <w:p w14:paraId="47315CCC" w14:textId="77777777" w:rsidR="00FA0B12" w:rsidRDefault="00FA0B12" w:rsidP="008C68B9">
            <w:pPr>
              <w:pStyle w:val="SingleTxtG"/>
              <w:ind w:left="0" w:right="0"/>
              <w:jc w:val="left"/>
            </w:pPr>
            <w:r>
              <w:t>6.8.3.2.1</w:t>
            </w:r>
          </w:p>
        </w:tc>
        <w:tc>
          <w:tcPr>
            <w:tcW w:w="2355" w:type="dxa"/>
          </w:tcPr>
          <w:p w14:paraId="4BC1CD9C" w14:textId="77777777" w:rsidR="00FA0B12" w:rsidRPr="007E4DAA" w:rsidRDefault="00FA0B12" w:rsidP="008C68B9">
            <w:pPr>
              <w:pStyle w:val="SingleTxtG"/>
              <w:spacing w:after="0"/>
              <w:ind w:left="0" w:right="0"/>
              <w:jc w:val="left"/>
              <w:rPr>
                <w:lang w:val="fr-FR"/>
              </w:rPr>
            </w:pPr>
            <w:r w:rsidRPr="007E4DAA">
              <w:rPr>
                <w:lang w:val="fr-FR"/>
              </w:rPr>
              <w:t xml:space="preserve">Remplacer </w:t>
            </w:r>
            <w:r>
              <w:rPr>
                <w:lang w:val="fr-FR"/>
              </w:rPr>
              <w:t>« </w:t>
            </w:r>
            <w:r w:rsidRPr="007E4DAA">
              <w:rPr>
                <w:lang w:val="fr-FR"/>
              </w:rPr>
              <w:t>le risque d</w:t>
            </w:r>
            <w:r>
              <w:rPr>
                <w:lang w:val="fr-FR"/>
              </w:rPr>
              <w:t>’</w:t>
            </w:r>
            <w:r w:rsidRPr="007E4DAA">
              <w:rPr>
                <w:lang w:val="fr-FR"/>
              </w:rPr>
              <w:t>arrachement</w:t>
            </w:r>
            <w:r>
              <w:rPr>
                <w:lang w:val="fr-FR"/>
              </w:rPr>
              <w:t> »</w:t>
            </w:r>
            <w:r w:rsidRPr="007E4DAA">
              <w:rPr>
                <w:lang w:val="fr-FR"/>
              </w:rPr>
              <w:t xml:space="preserve"> par </w:t>
            </w:r>
            <w:r>
              <w:rPr>
                <w:lang w:val="fr-FR"/>
              </w:rPr>
              <w:t>« </w:t>
            </w:r>
            <w:r w:rsidRPr="007E4DAA">
              <w:rPr>
                <w:lang w:val="fr-FR"/>
              </w:rPr>
              <w:t>l</w:t>
            </w:r>
            <w:r>
              <w:rPr>
                <w:lang w:val="fr-FR"/>
              </w:rPr>
              <w:t>’</w:t>
            </w:r>
            <w:r w:rsidRPr="007E4DAA">
              <w:rPr>
                <w:lang w:val="fr-FR"/>
              </w:rPr>
              <w:t>arrachement</w:t>
            </w:r>
            <w:r>
              <w:rPr>
                <w:lang w:val="fr-FR"/>
              </w:rPr>
              <w:t> »</w:t>
            </w:r>
          </w:p>
        </w:tc>
        <w:tc>
          <w:tcPr>
            <w:tcW w:w="4874" w:type="dxa"/>
          </w:tcPr>
          <w:p w14:paraId="64F9A8CB" w14:textId="77777777" w:rsidR="00FA0B12" w:rsidRPr="00573602" w:rsidRDefault="00FA0B12" w:rsidP="008C68B9">
            <w:pPr>
              <w:pStyle w:val="SingleTxtG"/>
              <w:ind w:left="0" w:right="0"/>
              <w:jc w:val="left"/>
              <w:rPr>
                <w:spacing w:val="-2"/>
                <w:lang w:val="fr-CH"/>
              </w:rPr>
            </w:pPr>
            <w:r w:rsidRPr="00573602">
              <w:rPr>
                <w:lang w:val="fr-FR"/>
              </w:rPr>
              <w:t>Remplacer « les risques d’arrachement ou d’avarie » par « l’arrachement ou une avarie ».</w:t>
            </w:r>
          </w:p>
        </w:tc>
      </w:tr>
      <w:tr w:rsidR="00FA0B12" w:rsidRPr="00ED14E6" w14:paraId="5087A9F3" w14:textId="77777777" w:rsidTr="00A03CDF">
        <w:tc>
          <w:tcPr>
            <w:tcW w:w="1276" w:type="dxa"/>
          </w:tcPr>
          <w:p w14:paraId="5BD20F5D" w14:textId="77777777" w:rsidR="00FA0B12" w:rsidRPr="00B84891" w:rsidRDefault="00FA0B12" w:rsidP="00A03CDF">
            <w:pPr>
              <w:pStyle w:val="SingleTxtG"/>
              <w:keepNext/>
              <w:keepLines/>
              <w:ind w:left="0" w:right="0"/>
              <w:jc w:val="left"/>
              <w:rPr>
                <w:lang w:val="fr-CH"/>
              </w:rPr>
            </w:pPr>
            <w:r>
              <w:rPr>
                <w:lang w:val="fr-CH"/>
              </w:rPr>
              <w:lastRenderedPageBreak/>
              <w:t>7.1.1.10</w:t>
            </w:r>
          </w:p>
        </w:tc>
        <w:tc>
          <w:tcPr>
            <w:tcW w:w="2355" w:type="dxa"/>
          </w:tcPr>
          <w:p w14:paraId="24A4482A" w14:textId="77777777" w:rsidR="00FA0B12" w:rsidRPr="007E4DAA" w:rsidRDefault="00FA0B12" w:rsidP="00A03CDF">
            <w:pPr>
              <w:pStyle w:val="SingleTxtG"/>
              <w:keepNext/>
              <w:keepLines/>
              <w:spacing w:after="0"/>
              <w:ind w:left="0" w:right="0"/>
              <w:jc w:val="left"/>
              <w:rPr>
                <w:lang w:val="fr-FR"/>
              </w:rPr>
            </w:pPr>
            <w:r w:rsidRPr="00237BF3">
              <w:t>Replace "risks" by "hazards".</w:t>
            </w:r>
          </w:p>
        </w:tc>
        <w:tc>
          <w:tcPr>
            <w:tcW w:w="4874" w:type="dxa"/>
          </w:tcPr>
          <w:p w14:paraId="4D7143E1" w14:textId="47361C19" w:rsidR="00FA0B12" w:rsidRPr="00573602" w:rsidRDefault="00FA0B12" w:rsidP="00A03CDF">
            <w:pPr>
              <w:pStyle w:val="SingleTxtG"/>
              <w:keepNext/>
              <w:keepLines/>
              <w:ind w:left="0" w:right="0"/>
              <w:jc w:val="left"/>
            </w:pPr>
            <w:r w:rsidRPr="00573602">
              <w:t>A competent authority or a designated responsible person should not only be familiar with the hazard but also with the risks.</w:t>
            </w:r>
          </w:p>
          <w:p w14:paraId="0D45F9AA" w14:textId="77777777" w:rsidR="00FA0B12" w:rsidRPr="00573602" w:rsidRDefault="00FA0B12" w:rsidP="00A03CDF">
            <w:pPr>
              <w:pStyle w:val="SingleTxtG"/>
              <w:keepNext/>
              <w:keepLines/>
              <w:ind w:left="0" w:right="0"/>
              <w:jc w:val="left"/>
            </w:pPr>
            <w:r w:rsidRPr="00573602">
              <w:t>The word “risks” should remain.</w:t>
            </w:r>
          </w:p>
        </w:tc>
      </w:tr>
      <w:tr w:rsidR="00A03CDF" w:rsidRPr="00ED14E6" w14:paraId="27FE21EB" w14:textId="77777777" w:rsidTr="00A03CDF">
        <w:tc>
          <w:tcPr>
            <w:tcW w:w="1276" w:type="dxa"/>
          </w:tcPr>
          <w:p w14:paraId="7F8FBC25" w14:textId="77777777" w:rsidR="00FA0B12" w:rsidRDefault="00FA0B12" w:rsidP="003639E6">
            <w:pPr>
              <w:pStyle w:val="SingleTxtG"/>
              <w:ind w:left="0" w:right="0"/>
              <w:rPr>
                <w:lang w:val="fr-CH"/>
              </w:rPr>
            </w:pPr>
            <w:r>
              <w:rPr>
                <w:lang w:val="fr-CH"/>
              </w:rPr>
              <w:t>7.1.2.1</w:t>
            </w:r>
          </w:p>
        </w:tc>
        <w:tc>
          <w:tcPr>
            <w:tcW w:w="2355" w:type="dxa"/>
          </w:tcPr>
          <w:p w14:paraId="4831D4B9" w14:textId="77777777" w:rsidR="00FA0B12" w:rsidRPr="005E206F" w:rsidRDefault="00FA0B12" w:rsidP="00A03CDF">
            <w:pPr>
              <w:pStyle w:val="SingleTxtG"/>
              <w:spacing w:after="0"/>
              <w:ind w:left="0" w:right="0"/>
              <w:jc w:val="left"/>
              <w:rPr>
                <w:lang w:val="fr-FR"/>
              </w:rPr>
            </w:pPr>
            <w:r w:rsidRPr="00361731">
              <w:rPr>
                <w:lang w:val="fr-FR"/>
              </w:rPr>
              <w:t xml:space="preserve">Remplacer </w:t>
            </w:r>
            <w:r>
              <w:rPr>
                <w:lang w:val="fr-FR"/>
              </w:rPr>
              <w:t>« </w:t>
            </w:r>
            <w:r w:rsidRPr="00361731">
              <w:rPr>
                <w:lang w:val="fr-FR"/>
              </w:rPr>
              <w:t>risques</w:t>
            </w:r>
            <w:r>
              <w:rPr>
                <w:lang w:val="fr-FR"/>
              </w:rPr>
              <w:t> »</w:t>
            </w:r>
            <w:r w:rsidRPr="00361731">
              <w:rPr>
                <w:lang w:val="fr-FR"/>
              </w:rPr>
              <w:t xml:space="preserve"> par </w:t>
            </w:r>
            <w:r>
              <w:rPr>
                <w:lang w:val="fr-FR"/>
              </w:rPr>
              <w:t>« </w:t>
            </w:r>
            <w:r w:rsidRPr="00361731">
              <w:rPr>
                <w:lang w:val="fr-FR"/>
              </w:rPr>
              <w:t>dangers</w:t>
            </w:r>
            <w:r>
              <w:rPr>
                <w:lang w:val="fr-FR"/>
              </w:rPr>
              <w:t> »</w:t>
            </w:r>
            <w:r w:rsidRPr="00361731">
              <w:rPr>
                <w:lang w:val="fr-FR"/>
              </w:rPr>
              <w:t>.</w:t>
            </w:r>
          </w:p>
        </w:tc>
        <w:tc>
          <w:tcPr>
            <w:tcW w:w="4874" w:type="dxa"/>
          </w:tcPr>
          <w:p w14:paraId="3ABA8BA8" w14:textId="77777777" w:rsidR="00FA0B12" w:rsidRPr="00573602" w:rsidRDefault="00FA0B12" w:rsidP="003639E6">
            <w:pPr>
              <w:pStyle w:val="SingleTxtG"/>
              <w:ind w:left="0" w:right="0"/>
            </w:pPr>
            <w:r w:rsidRPr="00573602">
              <w:t xml:space="preserve">“Segregation” as such refers to exposure. Risk takes account of exposure, not only of the hazard. </w:t>
            </w:r>
            <w:proofErr w:type="gramStart"/>
            <w:r w:rsidRPr="00573602">
              <w:t>So</w:t>
            </w:r>
            <w:proofErr w:type="gramEnd"/>
            <w:r w:rsidRPr="00573602">
              <w:t xml:space="preserve"> the word “</w:t>
            </w:r>
            <w:proofErr w:type="spellStart"/>
            <w:r w:rsidRPr="00573602">
              <w:t>risques</w:t>
            </w:r>
            <w:proofErr w:type="spellEnd"/>
            <w:r w:rsidRPr="00573602">
              <w:t xml:space="preserve">” in this context is perfectly adequate. </w:t>
            </w:r>
          </w:p>
          <w:p w14:paraId="218C8CB1" w14:textId="77777777" w:rsidR="00FA0B12" w:rsidRPr="00573602" w:rsidRDefault="00FA0B12" w:rsidP="003639E6">
            <w:pPr>
              <w:pStyle w:val="SingleTxtG"/>
              <w:ind w:left="0" w:right="0"/>
            </w:pPr>
            <w:r w:rsidRPr="00573602">
              <w:t xml:space="preserve">For this </w:t>
            </w:r>
            <w:proofErr w:type="gramStart"/>
            <w:r w:rsidRPr="00573602">
              <w:t>reason</w:t>
            </w:r>
            <w:proofErr w:type="gramEnd"/>
            <w:r w:rsidRPr="00573602">
              <w:t xml:space="preserve"> in English we should change “hazards” by “risks”.</w:t>
            </w:r>
          </w:p>
        </w:tc>
      </w:tr>
      <w:tr w:rsidR="00A03CDF" w:rsidRPr="00ED14E6" w14:paraId="77AF70F0" w14:textId="77777777" w:rsidTr="00A03CDF">
        <w:tc>
          <w:tcPr>
            <w:tcW w:w="1276" w:type="dxa"/>
            <w:tcBorders>
              <w:bottom w:val="single" w:sz="4" w:space="0" w:color="auto"/>
            </w:tcBorders>
          </w:tcPr>
          <w:p w14:paraId="5B67F003" w14:textId="77777777" w:rsidR="00FA0B12" w:rsidRDefault="00FA0B12" w:rsidP="003639E6">
            <w:pPr>
              <w:pStyle w:val="SingleTxtG"/>
              <w:ind w:left="0" w:right="0"/>
              <w:rPr>
                <w:lang w:val="fr-CH"/>
              </w:rPr>
            </w:pPr>
            <w:r>
              <w:rPr>
                <w:lang w:val="fr-CH"/>
              </w:rPr>
              <w:t>7.1.2.3 a)</w:t>
            </w:r>
          </w:p>
        </w:tc>
        <w:tc>
          <w:tcPr>
            <w:tcW w:w="2355" w:type="dxa"/>
            <w:tcBorders>
              <w:bottom w:val="single" w:sz="4" w:space="0" w:color="auto"/>
            </w:tcBorders>
          </w:tcPr>
          <w:p w14:paraId="3D6F9368" w14:textId="77777777" w:rsidR="00FA0B12" w:rsidRPr="00C52437" w:rsidRDefault="00FA0B12" w:rsidP="00A03CDF">
            <w:pPr>
              <w:pStyle w:val="SingleTxtG"/>
              <w:spacing w:after="0"/>
              <w:ind w:left="0" w:right="0"/>
              <w:jc w:val="left"/>
            </w:pPr>
            <w:r w:rsidRPr="00361731">
              <w:rPr>
                <w:lang w:val="fr-FR"/>
              </w:rPr>
              <w:t xml:space="preserve">Remplacer </w:t>
            </w:r>
            <w:r>
              <w:rPr>
                <w:lang w:val="fr-FR"/>
              </w:rPr>
              <w:t>« </w:t>
            </w:r>
            <w:r w:rsidRPr="00361731">
              <w:rPr>
                <w:lang w:val="fr-FR"/>
              </w:rPr>
              <w:t>risque</w:t>
            </w:r>
            <w:r>
              <w:rPr>
                <w:lang w:val="fr-FR"/>
              </w:rPr>
              <w:t> »</w:t>
            </w:r>
            <w:r w:rsidRPr="00361731">
              <w:rPr>
                <w:lang w:val="fr-FR"/>
              </w:rPr>
              <w:t xml:space="preserve"> par </w:t>
            </w:r>
            <w:r>
              <w:rPr>
                <w:lang w:val="fr-FR"/>
              </w:rPr>
              <w:t>« </w:t>
            </w:r>
            <w:r w:rsidRPr="00361731">
              <w:rPr>
                <w:lang w:val="fr-FR"/>
              </w:rPr>
              <w:t>danger</w:t>
            </w:r>
            <w:r>
              <w:rPr>
                <w:lang w:val="fr-FR"/>
              </w:rPr>
              <w:t> »</w:t>
            </w:r>
            <w:r w:rsidRPr="00361731">
              <w:rPr>
                <w:lang w:val="fr-FR"/>
              </w:rPr>
              <w:t>.</w:t>
            </w:r>
          </w:p>
        </w:tc>
        <w:tc>
          <w:tcPr>
            <w:tcW w:w="4874" w:type="dxa"/>
            <w:tcBorders>
              <w:bottom w:val="single" w:sz="4" w:space="0" w:color="auto"/>
            </w:tcBorders>
          </w:tcPr>
          <w:p w14:paraId="7C76E155" w14:textId="77777777" w:rsidR="00FA0B12" w:rsidRPr="00573602" w:rsidRDefault="00FA0B12" w:rsidP="003639E6">
            <w:pPr>
              <w:pStyle w:val="SingleTxtG"/>
              <w:ind w:left="0" w:right="0"/>
            </w:pPr>
            <w:r w:rsidRPr="00573602">
              <w:t>For the same reasons as in 7.1.2.1 the word “</w:t>
            </w:r>
            <w:proofErr w:type="spellStart"/>
            <w:r w:rsidRPr="00573602">
              <w:t>risque</w:t>
            </w:r>
            <w:proofErr w:type="spellEnd"/>
            <w:r w:rsidRPr="00573602">
              <w:t>” should remain and in English the word “hazard” should be replaces by “risk”.</w:t>
            </w:r>
          </w:p>
        </w:tc>
      </w:tr>
      <w:tr w:rsidR="00A03CDF" w:rsidRPr="00ED14E6" w14:paraId="7EC183EA" w14:textId="77777777" w:rsidTr="00A03CDF">
        <w:trPr>
          <w:trHeight w:val="540"/>
        </w:trPr>
        <w:tc>
          <w:tcPr>
            <w:tcW w:w="1276" w:type="dxa"/>
            <w:tcBorders>
              <w:bottom w:val="nil"/>
              <w:right w:val="nil"/>
            </w:tcBorders>
          </w:tcPr>
          <w:p w14:paraId="208C9928" w14:textId="77777777" w:rsidR="00FA0B12" w:rsidRDefault="00FA0B12" w:rsidP="003639E6">
            <w:pPr>
              <w:pStyle w:val="SingleTxtG"/>
              <w:ind w:left="0" w:right="0"/>
              <w:rPr>
                <w:lang w:val="fr-CH"/>
              </w:rPr>
            </w:pPr>
            <w:r>
              <w:rPr>
                <w:lang w:val="fr-CH"/>
              </w:rPr>
              <w:t>7.1.5.2</w:t>
            </w:r>
          </w:p>
        </w:tc>
        <w:tc>
          <w:tcPr>
            <w:tcW w:w="2355" w:type="dxa"/>
            <w:tcBorders>
              <w:left w:val="nil"/>
              <w:bottom w:val="nil"/>
              <w:right w:val="nil"/>
            </w:tcBorders>
          </w:tcPr>
          <w:p w14:paraId="4CDC51A5" w14:textId="77777777" w:rsidR="00FA0B12" w:rsidRPr="00361731" w:rsidRDefault="00FA0B12" w:rsidP="003639E6">
            <w:pPr>
              <w:pStyle w:val="SingleTxtG"/>
              <w:spacing w:after="0"/>
              <w:ind w:left="0" w:right="0"/>
              <w:rPr>
                <w:lang w:val="fr-FR"/>
              </w:rPr>
            </w:pPr>
            <w:r w:rsidRPr="00361731">
              <w:rPr>
                <w:lang w:val="fr-FR"/>
              </w:rPr>
              <w:t xml:space="preserve">Remplacer </w:t>
            </w:r>
            <w:r>
              <w:rPr>
                <w:lang w:val="fr-FR"/>
              </w:rPr>
              <w:t>« </w:t>
            </w:r>
            <w:r w:rsidRPr="00361731">
              <w:rPr>
                <w:lang w:val="fr-FR"/>
              </w:rPr>
              <w:t>risque</w:t>
            </w:r>
            <w:r>
              <w:rPr>
                <w:lang w:val="fr-FR"/>
              </w:rPr>
              <w:t> »</w:t>
            </w:r>
            <w:r w:rsidRPr="00361731">
              <w:rPr>
                <w:lang w:val="fr-FR"/>
              </w:rPr>
              <w:t xml:space="preserve"> par </w:t>
            </w:r>
            <w:r>
              <w:rPr>
                <w:lang w:val="fr-FR"/>
              </w:rPr>
              <w:t>« </w:t>
            </w:r>
            <w:r w:rsidRPr="00361731">
              <w:rPr>
                <w:lang w:val="fr-FR"/>
              </w:rPr>
              <w:t>danger</w:t>
            </w:r>
            <w:r>
              <w:rPr>
                <w:lang w:val="fr-FR"/>
              </w:rPr>
              <w:t> »</w:t>
            </w:r>
            <w:r w:rsidRPr="00361731">
              <w:rPr>
                <w:lang w:val="fr-FR"/>
              </w:rPr>
              <w:t>.</w:t>
            </w:r>
          </w:p>
        </w:tc>
        <w:tc>
          <w:tcPr>
            <w:tcW w:w="4874" w:type="dxa"/>
            <w:tcBorders>
              <w:left w:val="nil"/>
              <w:bottom w:val="nil"/>
            </w:tcBorders>
          </w:tcPr>
          <w:p w14:paraId="3B351709" w14:textId="77777777" w:rsidR="00FA0B12" w:rsidRPr="00573602" w:rsidRDefault="00FA0B12" w:rsidP="003639E6">
            <w:pPr>
              <w:pStyle w:val="SingleTxtG"/>
              <w:ind w:left="0" w:right="0"/>
            </w:pPr>
          </w:p>
        </w:tc>
      </w:tr>
      <w:tr w:rsidR="00FA0B12" w:rsidRPr="00ED14E6" w14:paraId="378A0650" w14:textId="77777777" w:rsidTr="00A03CDF">
        <w:trPr>
          <w:trHeight w:val="1620"/>
        </w:trPr>
        <w:tc>
          <w:tcPr>
            <w:tcW w:w="8505" w:type="dxa"/>
            <w:gridSpan w:val="3"/>
            <w:tcBorders>
              <w:top w:val="nil"/>
            </w:tcBorders>
          </w:tcPr>
          <w:p w14:paraId="60EEAB6E" w14:textId="77777777" w:rsidR="00FA0B12" w:rsidRPr="00573602" w:rsidRDefault="00FA0B12" w:rsidP="003639E6">
            <w:pPr>
              <w:pStyle w:val="SingleTxtG"/>
              <w:ind w:left="0" w:right="0"/>
            </w:pPr>
            <w:r w:rsidRPr="00573602">
              <w:t xml:space="preserve">“hazard” is an inherent property of a substance or article. What is described in 7.1.5.2 is a situation which does not depend on an inherent property of the substances but on the situation how they are loaded. It is </w:t>
            </w:r>
            <w:proofErr w:type="spellStart"/>
            <w:r w:rsidRPr="00573602">
              <w:t>tipically</w:t>
            </w:r>
            <w:proofErr w:type="spellEnd"/>
            <w:r w:rsidRPr="00573602">
              <w:t xml:space="preserve"> a “risk” of explosion not a “hazard of explosion” that any of the elements possess.</w:t>
            </w:r>
          </w:p>
          <w:p w14:paraId="3F338BE1" w14:textId="77777777" w:rsidR="00FA0B12" w:rsidRPr="00573602" w:rsidRDefault="00FA0B12" w:rsidP="003639E6">
            <w:pPr>
              <w:pStyle w:val="SingleTxtG"/>
              <w:ind w:left="0" w:right="0"/>
            </w:pPr>
            <w:r w:rsidRPr="00573602">
              <w:t>“</w:t>
            </w:r>
            <w:proofErr w:type="spellStart"/>
            <w:r w:rsidRPr="00573602">
              <w:t>risque</w:t>
            </w:r>
            <w:proofErr w:type="spellEnd"/>
            <w:r w:rsidRPr="00573602">
              <w:t>” shall remain and in English, for this reason the term “hazard” should be replaced by “risk”.</w:t>
            </w:r>
          </w:p>
        </w:tc>
      </w:tr>
      <w:tr w:rsidR="00A03CDF" w:rsidRPr="003A2375" w14:paraId="46382FD6" w14:textId="77777777" w:rsidTr="00A03CDF">
        <w:tc>
          <w:tcPr>
            <w:tcW w:w="1276" w:type="dxa"/>
          </w:tcPr>
          <w:p w14:paraId="45210128" w14:textId="77777777" w:rsidR="00FA0B12" w:rsidRPr="003A2375" w:rsidRDefault="00FA0B12" w:rsidP="003639E6">
            <w:pPr>
              <w:pStyle w:val="SingleTxtG"/>
              <w:ind w:left="0" w:right="0"/>
            </w:pPr>
            <w:r>
              <w:t>7.1.5.3.3</w:t>
            </w:r>
          </w:p>
        </w:tc>
        <w:tc>
          <w:tcPr>
            <w:tcW w:w="2355" w:type="dxa"/>
          </w:tcPr>
          <w:p w14:paraId="1E362A0F" w14:textId="77777777" w:rsidR="00FA0B12" w:rsidRPr="003A2375" w:rsidRDefault="00FA0B12" w:rsidP="00A03CDF">
            <w:pPr>
              <w:pStyle w:val="SingleTxtG"/>
              <w:spacing w:after="0"/>
              <w:ind w:left="0" w:right="0"/>
              <w:jc w:val="left"/>
              <w:rPr>
                <w:lang w:val="fr-CH"/>
              </w:rPr>
            </w:pPr>
            <w:r w:rsidRPr="00361731">
              <w:rPr>
                <w:lang w:val="fr-FR"/>
              </w:rPr>
              <w:t xml:space="preserve">Remplacer </w:t>
            </w:r>
            <w:r>
              <w:rPr>
                <w:lang w:val="fr-FR"/>
              </w:rPr>
              <w:t>« </w:t>
            </w:r>
            <w:r w:rsidRPr="00361731">
              <w:rPr>
                <w:lang w:val="fr-FR"/>
              </w:rPr>
              <w:t>risque de dépasser</w:t>
            </w:r>
            <w:r>
              <w:rPr>
                <w:lang w:val="fr-FR"/>
              </w:rPr>
              <w:t> »</w:t>
            </w:r>
            <w:r w:rsidRPr="00361731">
              <w:rPr>
                <w:lang w:val="fr-FR"/>
              </w:rPr>
              <w:t xml:space="preserve"> par </w:t>
            </w:r>
            <w:r>
              <w:rPr>
                <w:lang w:val="fr-FR"/>
              </w:rPr>
              <w:t>« </w:t>
            </w:r>
            <w:r w:rsidRPr="00361731">
              <w:rPr>
                <w:lang w:val="fr-FR"/>
              </w:rPr>
              <w:t>peut dépasser</w:t>
            </w:r>
            <w:r>
              <w:rPr>
                <w:lang w:val="fr-FR"/>
              </w:rPr>
              <w:t> »</w:t>
            </w:r>
            <w:r w:rsidRPr="00361731">
              <w:rPr>
                <w:lang w:val="fr-FR"/>
              </w:rPr>
              <w:t>.</w:t>
            </w:r>
          </w:p>
        </w:tc>
        <w:tc>
          <w:tcPr>
            <w:tcW w:w="4874" w:type="dxa"/>
          </w:tcPr>
          <w:p w14:paraId="1EF842B7" w14:textId="77777777" w:rsidR="00FA0B12" w:rsidRPr="00573602" w:rsidRDefault="00FA0B12" w:rsidP="003639E6">
            <w:pPr>
              <w:pStyle w:val="SingleTxtG"/>
              <w:ind w:left="0" w:right="0"/>
            </w:pPr>
            <w:r w:rsidRPr="00573602">
              <w:t xml:space="preserve">The prescription in 7.1.5.3.3 sounds unclear. It doesn’t answer to the question if it is an obligation to use temperature control in case the temperature may exceed 55°C? The end of the sentence only recommends </w:t>
            </w:r>
            <w:proofErr w:type="gramStart"/>
            <w:r w:rsidRPr="00573602">
              <w:t>to use</w:t>
            </w:r>
            <w:proofErr w:type="gramEnd"/>
            <w:r w:rsidRPr="00573602">
              <w:t xml:space="preserve"> it:” it may require temperature control” is not compulsory.</w:t>
            </w:r>
          </w:p>
          <w:p w14:paraId="352421F9" w14:textId="77777777" w:rsidR="00FA0B12" w:rsidRPr="00573602" w:rsidRDefault="00FA0B12" w:rsidP="003639E6">
            <w:pPr>
              <w:pStyle w:val="SingleTxtG"/>
              <w:ind w:left="0" w:right="0"/>
            </w:pPr>
          </w:p>
        </w:tc>
      </w:tr>
    </w:tbl>
    <w:p w14:paraId="74901189" w14:textId="77777777" w:rsidR="00FA0B12" w:rsidRPr="00FB31F8" w:rsidRDefault="00FA0B12" w:rsidP="008C68B9">
      <w:pPr>
        <w:pStyle w:val="SingleTxtG"/>
        <w:spacing w:before="240"/>
        <w:jc w:val="center"/>
      </w:pPr>
      <w:r w:rsidRPr="00FB31F8">
        <w:rPr>
          <w:u w:val="single"/>
        </w:rPr>
        <w:tab/>
      </w:r>
      <w:r w:rsidRPr="00FB31F8">
        <w:rPr>
          <w:u w:val="single"/>
        </w:rPr>
        <w:tab/>
      </w:r>
      <w:r w:rsidRPr="00FB31F8">
        <w:rPr>
          <w:u w:val="single"/>
        </w:rPr>
        <w:tab/>
      </w:r>
    </w:p>
    <w:p w14:paraId="4B7D3488" w14:textId="77777777" w:rsidR="00FA0B12" w:rsidRPr="00FA0B12" w:rsidRDefault="00FA0B12" w:rsidP="00FA0B12">
      <w:pPr>
        <w:rPr>
          <w:lang w:val="en-US"/>
        </w:rPr>
      </w:pPr>
    </w:p>
    <w:sectPr w:rsidR="00FA0B12" w:rsidRPr="00FA0B12" w:rsidSect="00146D50">
      <w:headerReference w:type="even" r:id="rId8"/>
      <w:headerReference w:type="default" r:id="rId9"/>
      <w:footerReference w:type="even" r:id="rId10"/>
      <w:headerReference w:type="first" r:id="rId11"/>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9CEF" w14:textId="77777777" w:rsidR="007911AB" w:rsidRDefault="007911AB"/>
  </w:endnote>
  <w:endnote w:type="continuationSeparator" w:id="0">
    <w:p w14:paraId="3982AA98" w14:textId="77777777" w:rsidR="007911AB" w:rsidRDefault="007911AB"/>
  </w:endnote>
  <w:endnote w:type="continuationNotice" w:id="1">
    <w:p w14:paraId="35BDEB19" w14:textId="77777777" w:rsidR="007911AB" w:rsidRDefault="0079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6568" w14:textId="77777777"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3D2A" w14:textId="77777777" w:rsidR="007911AB" w:rsidRPr="000B175B" w:rsidRDefault="007911AB" w:rsidP="000B175B">
      <w:pPr>
        <w:tabs>
          <w:tab w:val="right" w:pos="2155"/>
        </w:tabs>
        <w:spacing w:after="80"/>
        <w:ind w:left="680"/>
        <w:rPr>
          <w:u w:val="single"/>
        </w:rPr>
      </w:pPr>
      <w:r>
        <w:rPr>
          <w:u w:val="single"/>
        </w:rPr>
        <w:tab/>
      </w:r>
    </w:p>
  </w:footnote>
  <w:footnote w:type="continuationSeparator" w:id="0">
    <w:p w14:paraId="0C9F1966" w14:textId="77777777" w:rsidR="007911AB" w:rsidRPr="00FC68B7" w:rsidRDefault="007911AB" w:rsidP="00FC68B7">
      <w:pPr>
        <w:tabs>
          <w:tab w:val="left" w:pos="2155"/>
        </w:tabs>
        <w:spacing w:after="80"/>
        <w:ind w:left="680"/>
        <w:rPr>
          <w:u w:val="single"/>
        </w:rPr>
      </w:pPr>
      <w:r>
        <w:rPr>
          <w:u w:val="single"/>
        </w:rPr>
        <w:tab/>
      </w:r>
    </w:p>
  </w:footnote>
  <w:footnote w:type="continuationNotice" w:id="1">
    <w:p w14:paraId="1EF41886" w14:textId="77777777" w:rsidR="007911AB" w:rsidRDefault="0079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E3B" w14:textId="081A2435" w:rsidR="00EA597A" w:rsidRDefault="00EA597A" w:rsidP="00EA597A">
    <w:pPr>
      <w:pStyle w:val="Header"/>
      <w:spacing w:after="240"/>
    </w:pPr>
    <w:r w:rsidRPr="00162E11">
      <w:rPr>
        <w:lang w:val="nl-NL"/>
      </w:rPr>
      <w:t>UN/SCETDG/5</w:t>
    </w:r>
    <w:r w:rsidR="00385E9F">
      <w:rPr>
        <w:lang w:val="nl-NL"/>
      </w:rPr>
      <w:t>5</w:t>
    </w:r>
    <w:r w:rsidRPr="00162E11">
      <w:rPr>
        <w:lang w:val="nl-NL"/>
      </w:rPr>
      <w:t>/INF.</w:t>
    </w:r>
    <w:r w:rsidR="001674CE">
      <w:rPr>
        <w:lang w:val="nl-NL"/>
      </w:rPr>
      <w:t>1</w:t>
    </w:r>
    <w:r w:rsidR="00136C59">
      <w:rPr>
        <w:lang w:val="nl-N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AB0C" w14:textId="72A134B7" w:rsidR="00B34CAE" w:rsidRPr="00EA597A" w:rsidRDefault="00385E9F" w:rsidP="00EA597A">
    <w:pPr>
      <w:pStyle w:val="Header"/>
      <w:spacing w:after="240"/>
      <w:jc w:val="right"/>
    </w:pPr>
    <w:r>
      <w:rPr>
        <w:lang w:val="nl-NL"/>
      </w:rPr>
      <w:t>UN/SCETDG/55</w:t>
    </w:r>
    <w:r w:rsidR="00EA597A" w:rsidRPr="00162E11">
      <w:rPr>
        <w:lang w:val="nl-NL"/>
      </w:rPr>
      <w:t>/INF.</w:t>
    </w:r>
    <w:r w:rsidR="001674CE">
      <w:rPr>
        <w:lang w:val="nl-NL"/>
      </w:rPr>
      <w:t>1</w:t>
    </w:r>
    <w:r w:rsidR="008C68B9">
      <w:rPr>
        <w:lang w:val="nl-N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3C10" w14:textId="77777777"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76834"/>
    <w:multiLevelType w:val="hybridMultilevel"/>
    <w:tmpl w:val="10CE248C"/>
    <w:lvl w:ilvl="0" w:tplc="6FE4E0E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061E2"/>
    <w:multiLevelType w:val="hybridMultilevel"/>
    <w:tmpl w:val="99802AC2"/>
    <w:lvl w:ilvl="0" w:tplc="6380B3EA">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4B61765"/>
    <w:multiLevelType w:val="hybridMultilevel"/>
    <w:tmpl w:val="7AD24D4E"/>
    <w:lvl w:ilvl="0" w:tplc="CDB29C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E720875"/>
    <w:multiLevelType w:val="hybridMultilevel"/>
    <w:tmpl w:val="4B1A8850"/>
    <w:lvl w:ilvl="0" w:tplc="1B5ABE76">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15:restartNumberingAfterBreak="0">
    <w:nsid w:val="33EA5228"/>
    <w:multiLevelType w:val="hybridMultilevel"/>
    <w:tmpl w:val="F538E51E"/>
    <w:lvl w:ilvl="0" w:tplc="4802C958">
      <w:start w:val="5"/>
      <w:numFmt w:val="decimal"/>
      <w:lvlText w:val="%1."/>
      <w:lvlJc w:val="left"/>
      <w:pPr>
        <w:ind w:left="1822" w:hanging="360"/>
      </w:pPr>
      <w:rPr>
        <w:rFonts w:hint="default"/>
        <w:b w:val="0"/>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21" w15:restartNumberingAfterBreak="0">
    <w:nsid w:val="403B63B6"/>
    <w:multiLevelType w:val="hybridMultilevel"/>
    <w:tmpl w:val="F6ACA9CE"/>
    <w:lvl w:ilvl="0" w:tplc="EF5077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F221EE5"/>
    <w:multiLevelType w:val="hybridMultilevel"/>
    <w:tmpl w:val="49FEF350"/>
    <w:lvl w:ilvl="0" w:tplc="F6164C6C">
      <w:start w:val="1"/>
      <w:numFmt w:val="lowerLetter"/>
      <w:lvlText w:val="%1)"/>
      <w:lvlJc w:val="left"/>
      <w:pPr>
        <w:ind w:left="1494" w:hanging="360"/>
      </w:pPr>
      <w:rPr>
        <w:rFonts w:hint="default"/>
        <w:i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3" w15:restartNumberingAfterBreak="0">
    <w:nsid w:val="5A194519"/>
    <w:multiLevelType w:val="hybridMultilevel"/>
    <w:tmpl w:val="2306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71F88"/>
    <w:multiLevelType w:val="hybridMultilevel"/>
    <w:tmpl w:val="14741E6C"/>
    <w:lvl w:ilvl="0" w:tplc="EDC2BFD0">
      <w:start w:val="4"/>
      <w:numFmt w:val="decimal"/>
      <w:lvlText w:val="%1."/>
      <w:lvlJc w:val="left"/>
      <w:pPr>
        <w:ind w:left="1494" w:hanging="360"/>
      </w:pPr>
      <w:rPr>
        <w:rFonts w:hint="default"/>
        <w:i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F7F21DC"/>
    <w:multiLevelType w:val="hybridMultilevel"/>
    <w:tmpl w:val="7DA21202"/>
    <w:lvl w:ilvl="0" w:tplc="27A691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3A429D"/>
    <w:multiLevelType w:val="hybridMultilevel"/>
    <w:tmpl w:val="92FAFAC0"/>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0"/>
  </w:num>
  <w:num w:numId="14">
    <w:abstractNumId w:val="25"/>
  </w:num>
  <w:num w:numId="15">
    <w:abstractNumId w:val="29"/>
  </w:num>
  <w:num w:numId="16">
    <w:abstractNumId w:val="30"/>
  </w:num>
  <w:num w:numId="17">
    <w:abstractNumId w:val="15"/>
  </w:num>
  <w:num w:numId="18">
    <w:abstractNumId w:val="13"/>
  </w:num>
  <w:num w:numId="19">
    <w:abstractNumId w:val="17"/>
  </w:num>
  <w:num w:numId="20">
    <w:abstractNumId w:val="18"/>
  </w:num>
  <w:num w:numId="21">
    <w:abstractNumId w:val="27"/>
  </w:num>
  <w:num w:numId="22">
    <w:abstractNumId w:val="23"/>
  </w:num>
  <w:num w:numId="23">
    <w:abstractNumId w:val="22"/>
  </w:num>
  <w:num w:numId="24">
    <w:abstractNumId w:val="26"/>
  </w:num>
  <w:num w:numId="25">
    <w:abstractNumId w:val="19"/>
  </w:num>
  <w:num w:numId="26">
    <w:abstractNumId w:val="14"/>
  </w:num>
  <w:num w:numId="27">
    <w:abstractNumId w:val="11"/>
  </w:num>
  <w:num w:numId="28">
    <w:abstractNumId w:val="20"/>
  </w:num>
  <w:num w:numId="29">
    <w:abstractNumId w:val="28"/>
  </w:num>
  <w:num w:numId="30">
    <w:abstractNumId w:val="21"/>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1C4F"/>
    <w:rsid w:val="00006FAE"/>
    <w:rsid w:val="000133C5"/>
    <w:rsid w:val="00017D24"/>
    <w:rsid w:val="000216CC"/>
    <w:rsid w:val="00021A8A"/>
    <w:rsid w:val="000240F2"/>
    <w:rsid w:val="0003398F"/>
    <w:rsid w:val="00043180"/>
    <w:rsid w:val="000504CE"/>
    <w:rsid w:val="00050922"/>
    <w:rsid w:val="000509F3"/>
    <w:rsid w:val="00050F6B"/>
    <w:rsid w:val="00053492"/>
    <w:rsid w:val="0005710C"/>
    <w:rsid w:val="00061070"/>
    <w:rsid w:val="000618D2"/>
    <w:rsid w:val="0006267E"/>
    <w:rsid w:val="000639B4"/>
    <w:rsid w:val="0006438E"/>
    <w:rsid w:val="00064402"/>
    <w:rsid w:val="00064470"/>
    <w:rsid w:val="00065DAD"/>
    <w:rsid w:val="00067E6D"/>
    <w:rsid w:val="000725D2"/>
    <w:rsid w:val="00072C8C"/>
    <w:rsid w:val="00073129"/>
    <w:rsid w:val="00075F99"/>
    <w:rsid w:val="000765F0"/>
    <w:rsid w:val="00076A0A"/>
    <w:rsid w:val="00082CE1"/>
    <w:rsid w:val="00083598"/>
    <w:rsid w:val="000844BD"/>
    <w:rsid w:val="00084632"/>
    <w:rsid w:val="00091046"/>
    <w:rsid w:val="00091419"/>
    <w:rsid w:val="00091CB3"/>
    <w:rsid w:val="000931C0"/>
    <w:rsid w:val="000A102A"/>
    <w:rsid w:val="000A2236"/>
    <w:rsid w:val="000A35F2"/>
    <w:rsid w:val="000A3A48"/>
    <w:rsid w:val="000A4C38"/>
    <w:rsid w:val="000A78CD"/>
    <w:rsid w:val="000B033E"/>
    <w:rsid w:val="000B0DE2"/>
    <w:rsid w:val="000B175B"/>
    <w:rsid w:val="000B2968"/>
    <w:rsid w:val="000B2972"/>
    <w:rsid w:val="000B3A0F"/>
    <w:rsid w:val="000B4919"/>
    <w:rsid w:val="000B66DF"/>
    <w:rsid w:val="000B7AF2"/>
    <w:rsid w:val="000C1BE0"/>
    <w:rsid w:val="000C1ED8"/>
    <w:rsid w:val="000C5D4B"/>
    <w:rsid w:val="000C717F"/>
    <w:rsid w:val="000C75A9"/>
    <w:rsid w:val="000D0B8F"/>
    <w:rsid w:val="000D4819"/>
    <w:rsid w:val="000D481F"/>
    <w:rsid w:val="000D676C"/>
    <w:rsid w:val="000D6D97"/>
    <w:rsid w:val="000D7830"/>
    <w:rsid w:val="000E0415"/>
    <w:rsid w:val="000F0FFB"/>
    <w:rsid w:val="000F21B8"/>
    <w:rsid w:val="000F52D6"/>
    <w:rsid w:val="000F6A20"/>
    <w:rsid w:val="001001A5"/>
    <w:rsid w:val="001036F4"/>
    <w:rsid w:val="001039FD"/>
    <w:rsid w:val="00104283"/>
    <w:rsid w:val="0010461A"/>
    <w:rsid w:val="00106DEF"/>
    <w:rsid w:val="001106F4"/>
    <w:rsid w:val="00110F3C"/>
    <w:rsid w:val="00113D9A"/>
    <w:rsid w:val="00115303"/>
    <w:rsid w:val="00115F90"/>
    <w:rsid w:val="00117787"/>
    <w:rsid w:val="00117D0D"/>
    <w:rsid w:val="001209C3"/>
    <w:rsid w:val="00121EB7"/>
    <w:rsid w:val="00123BDC"/>
    <w:rsid w:val="001272B5"/>
    <w:rsid w:val="00127E60"/>
    <w:rsid w:val="00130274"/>
    <w:rsid w:val="00130DFE"/>
    <w:rsid w:val="00131B10"/>
    <w:rsid w:val="00131B47"/>
    <w:rsid w:val="00131D42"/>
    <w:rsid w:val="00133C50"/>
    <w:rsid w:val="001360FA"/>
    <w:rsid w:val="00136C59"/>
    <w:rsid w:val="001406F4"/>
    <w:rsid w:val="00142655"/>
    <w:rsid w:val="00142716"/>
    <w:rsid w:val="00143C6B"/>
    <w:rsid w:val="001448E1"/>
    <w:rsid w:val="00146CFA"/>
    <w:rsid w:val="00146D50"/>
    <w:rsid w:val="00156581"/>
    <w:rsid w:val="00156996"/>
    <w:rsid w:val="00162E11"/>
    <w:rsid w:val="001633FB"/>
    <w:rsid w:val="00163A1B"/>
    <w:rsid w:val="00165735"/>
    <w:rsid w:val="001674CE"/>
    <w:rsid w:val="00167786"/>
    <w:rsid w:val="001723C1"/>
    <w:rsid w:val="00173874"/>
    <w:rsid w:val="00180F72"/>
    <w:rsid w:val="00181019"/>
    <w:rsid w:val="00182CAC"/>
    <w:rsid w:val="001835BF"/>
    <w:rsid w:val="00184B86"/>
    <w:rsid w:val="001943BF"/>
    <w:rsid w:val="00196A1B"/>
    <w:rsid w:val="001A02A4"/>
    <w:rsid w:val="001A3B0D"/>
    <w:rsid w:val="001A42E4"/>
    <w:rsid w:val="001B13F0"/>
    <w:rsid w:val="001B3102"/>
    <w:rsid w:val="001B35EE"/>
    <w:rsid w:val="001B4B04"/>
    <w:rsid w:val="001B6B72"/>
    <w:rsid w:val="001B6F2D"/>
    <w:rsid w:val="001B710C"/>
    <w:rsid w:val="001C18A3"/>
    <w:rsid w:val="001C2208"/>
    <w:rsid w:val="001C429D"/>
    <w:rsid w:val="001C4772"/>
    <w:rsid w:val="001C5B65"/>
    <w:rsid w:val="001C6663"/>
    <w:rsid w:val="001C7895"/>
    <w:rsid w:val="001D26DF"/>
    <w:rsid w:val="001D2FDC"/>
    <w:rsid w:val="001D3123"/>
    <w:rsid w:val="001D3A88"/>
    <w:rsid w:val="001D4B2D"/>
    <w:rsid w:val="001D4E70"/>
    <w:rsid w:val="001E32DA"/>
    <w:rsid w:val="001E797C"/>
    <w:rsid w:val="002005B1"/>
    <w:rsid w:val="00203667"/>
    <w:rsid w:val="00211B12"/>
    <w:rsid w:val="00211E0B"/>
    <w:rsid w:val="00213328"/>
    <w:rsid w:val="0021481D"/>
    <w:rsid w:val="00221589"/>
    <w:rsid w:val="00221AC2"/>
    <w:rsid w:val="0022393F"/>
    <w:rsid w:val="0022394D"/>
    <w:rsid w:val="00224CD9"/>
    <w:rsid w:val="002309A7"/>
    <w:rsid w:val="00235381"/>
    <w:rsid w:val="0023600E"/>
    <w:rsid w:val="00237785"/>
    <w:rsid w:val="00241178"/>
    <w:rsid w:val="00241466"/>
    <w:rsid w:val="002440E7"/>
    <w:rsid w:val="00247570"/>
    <w:rsid w:val="00257C1E"/>
    <w:rsid w:val="00261B71"/>
    <w:rsid w:val="002621F5"/>
    <w:rsid w:val="0026618F"/>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B7396"/>
    <w:rsid w:val="002C014E"/>
    <w:rsid w:val="002C0681"/>
    <w:rsid w:val="002C2BAC"/>
    <w:rsid w:val="002C47A4"/>
    <w:rsid w:val="002C4CB2"/>
    <w:rsid w:val="002C4DCE"/>
    <w:rsid w:val="002C72E8"/>
    <w:rsid w:val="002C7F25"/>
    <w:rsid w:val="002D21B8"/>
    <w:rsid w:val="002D241D"/>
    <w:rsid w:val="002D5A85"/>
    <w:rsid w:val="002D5C7D"/>
    <w:rsid w:val="002D7C1C"/>
    <w:rsid w:val="002E35BB"/>
    <w:rsid w:val="002E5DE4"/>
    <w:rsid w:val="002F68FD"/>
    <w:rsid w:val="0030053A"/>
    <w:rsid w:val="00304CDC"/>
    <w:rsid w:val="00306ABF"/>
    <w:rsid w:val="003107FA"/>
    <w:rsid w:val="0031225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1D64"/>
    <w:rsid w:val="003667C8"/>
    <w:rsid w:val="00367667"/>
    <w:rsid w:val="00372F06"/>
    <w:rsid w:val="003734CA"/>
    <w:rsid w:val="003825CA"/>
    <w:rsid w:val="00385E9F"/>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E06B6"/>
    <w:rsid w:val="003F23A4"/>
    <w:rsid w:val="003F5B52"/>
    <w:rsid w:val="003F63C1"/>
    <w:rsid w:val="00401CDD"/>
    <w:rsid w:val="00403CE2"/>
    <w:rsid w:val="00403EC6"/>
    <w:rsid w:val="00406432"/>
    <w:rsid w:val="00406CD4"/>
    <w:rsid w:val="004248EA"/>
    <w:rsid w:val="00430086"/>
    <w:rsid w:val="00430918"/>
    <w:rsid w:val="0043209A"/>
    <w:rsid w:val="004325CB"/>
    <w:rsid w:val="004354EE"/>
    <w:rsid w:val="00437F3F"/>
    <w:rsid w:val="00446DE4"/>
    <w:rsid w:val="00452D10"/>
    <w:rsid w:val="00452D40"/>
    <w:rsid w:val="004533A7"/>
    <w:rsid w:val="00454036"/>
    <w:rsid w:val="004562AA"/>
    <w:rsid w:val="004637AC"/>
    <w:rsid w:val="0046443A"/>
    <w:rsid w:val="004653B3"/>
    <w:rsid w:val="004654C4"/>
    <w:rsid w:val="0046668F"/>
    <w:rsid w:val="0046773D"/>
    <w:rsid w:val="0046788D"/>
    <w:rsid w:val="00470F06"/>
    <w:rsid w:val="0048304D"/>
    <w:rsid w:val="00484A9B"/>
    <w:rsid w:val="00487D4C"/>
    <w:rsid w:val="00492693"/>
    <w:rsid w:val="00492AF9"/>
    <w:rsid w:val="00494C77"/>
    <w:rsid w:val="00495A67"/>
    <w:rsid w:val="00497711"/>
    <w:rsid w:val="004B12C3"/>
    <w:rsid w:val="004B2C9D"/>
    <w:rsid w:val="004B5939"/>
    <w:rsid w:val="004B5C97"/>
    <w:rsid w:val="004B73D6"/>
    <w:rsid w:val="004C2BCE"/>
    <w:rsid w:val="004C39D0"/>
    <w:rsid w:val="004C4F1A"/>
    <w:rsid w:val="004C6D6D"/>
    <w:rsid w:val="004E0C5D"/>
    <w:rsid w:val="004E3D60"/>
    <w:rsid w:val="004E64A0"/>
    <w:rsid w:val="004E68B5"/>
    <w:rsid w:val="004F4240"/>
    <w:rsid w:val="004F77CD"/>
    <w:rsid w:val="00500194"/>
    <w:rsid w:val="005008C4"/>
    <w:rsid w:val="00504251"/>
    <w:rsid w:val="00505FC9"/>
    <w:rsid w:val="00507CF1"/>
    <w:rsid w:val="00511208"/>
    <w:rsid w:val="005147A9"/>
    <w:rsid w:val="00522177"/>
    <w:rsid w:val="00527910"/>
    <w:rsid w:val="0053212E"/>
    <w:rsid w:val="00532152"/>
    <w:rsid w:val="005322D3"/>
    <w:rsid w:val="00541AA0"/>
    <w:rsid w:val="005420F2"/>
    <w:rsid w:val="0054211E"/>
    <w:rsid w:val="00542505"/>
    <w:rsid w:val="005475D4"/>
    <w:rsid w:val="00552899"/>
    <w:rsid w:val="00552EC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63C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A0"/>
    <w:rsid w:val="006506DB"/>
    <w:rsid w:val="006523F5"/>
    <w:rsid w:val="006553F3"/>
    <w:rsid w:val="006602A2"/>
    <w:rsid w:val="00662121"/>
    <w:rsid w:val="00662E09"/>
    <w:rsid w:val="00667788"/>
    <w:rsid w:val="006703B6"/>
    <w:rsid w:val="00670CF0"/>
    <w:rsid w:val="00674FF0"/>
    <w:rsid w:val="00675F87"/>
    <w:rsid w:val="0068040D"/>
    <w:rsid w:val="00683778"/>
    <w:rsid w:val="00683C23"/>
    <w:rsid w:val="00684C14"/>
    <w:rsid w:val="00686521"/>
    <w:rsid w:val="00690C20"/>
    <w:rsid w:val="00690CD6"/>
    <w:rsid w:val="006960A9"/>
    <w:rsid w:val="006A1458"/>
    <w:rsid w:val="006A3932"/>
    <w:rsid w:val="006A3FCC"/>
    <w:rsid w:val="006A6083"/>
    <w:rsid w:val="006A63E3"/>
    <w:rsid w:val="006A7392"/>
    <w:rsid w:val="006B1C55"/>
    <w:rsid w:val="006B77D6"/>
    <w:rsid w:val="006C0D34"/>
    <w:rsid w:val="006C1456"/>
    <w:rsid w:val="006C1D3B"/>
    <w:rsid w:val="006C251B"/>
    <w:rsid w:val="006C2F7E"/>
    <w:rsid w:val="006C67BB"/>
    <w:rsid w:val="006D3560"/>
    <w:rsid w:val="006D7E3D"/>
    <w:rsid w:val="006E3B65"/>
    <w:rsid w:val="006E432B"/>
    <w:rsid w:val="006E564B"/>
    <w:rsid w:val="007025C0"/>
    <w:rsid w:val="00707F04"/>
    <w:rsid w:val="00711637"/>
    <w:rsid w:val="00712FBC"/>
    <w:rsid w:val="00714F4F"/>
    <w:rsid w:val="007245CD"/>
    <w:rsid w:val="0072632A"/>
    <w:rsid w:val="00736E6A"/>
    <w:rsid w:val="00741F59"/>
    <w:rsid w:val="007456AB"/>
    <w:rsid w:val="0074697D"/>
    <w:rsid w:val="0075168C"/>
    <w:rsid w:val="00755EBE"/>
    <w:rsid w:val="00755F90"/>
    <w:rsid w:val="00761619"/>
    <w:rsid w:val="0076177C"/>
    <w:rsid w:val="00761C58"/>
    <w:rsid w:val="00763C33"/>
    <w:rsid w:val="00765EAD"/>
    <w:rsid w:val="00766322"/>
    <w:rsid w:val="00770BCD"/>
    <w:rsid w:val="00770D3F"/>
    <w:rsid w:val="00771904"/>
    <w:rsid w:val="007727F6"/>
    <w:rsid w:val="00773353"/>
    <w:rsid w:val="00774129"/>
    <w:rsid w:val="00774E8F"/>
    <w:rsid w:val="00774EAA"/>
    <w:rsid w:val="00780EB5"/>
    <w:rsid w:val="0078123B"/>
    <w:rsid w:val="007827D7"/>
    <w:rsid w:val="00786434"/>
    <w:rsid w:val="00790791"/>
    <w:rsid w:val="007911AB"/>
    <w:rsid w:val="0079166A"/>
    <w:rsid w:val="00796F36"/>
    <w:rsid w:val="00797331"/>
    <w:rsid w:val="007A05D2"/>
    <w:rsid w:val="007A2CDB"/>
    <w:rsid w:val="007A62EC"/>
    <w:rsid w:val="007A7354"/>
    <w:rsid w:val="007B1A7E"/>
    <w:rsid w:val="007B230F"/>
    <w:rsid w:val="007B2BA8"/>
    <w:rsid w:val="007B6BA5"/>
    <w:rsid w:val="007C2788"/>
    <w:rsid w:val="007C2C0D"/>
    <w:rsid w:val="007C3162"/>
    <w:rsid w:val="007C3390"/>
    <w:rsid w:val="007C4F4B"/>
    <w:rsid w:val="007C644D"/>
    <w:rsid w:val="007D3104"/>
    <w:rsid w:val="007D7BC6"/>
    <w:rsid w:val="007E03D6"/>
    <w:rsid w:val="007E313F"/>
    <w:rsid w:val="007E4BD3"/>
    <w:rsid w:val="007E566D"/>
    <w:rsid w:val="007E5D7C"/>
    <w:rsid w:val="007E7225"/>
    <w:rsid w:val="007E7DFF"/>
    <w:rsid w:val="007E7E0F"/>
    <w:rsid w:val="007F2A54"/>
    <w:rsid w:val="007F444F"/>
    <w:rsid w:val="007F5104"/>
    <w:rsid w:val="007F6611"/>
    <w:rsid w:val="00800024"/>
    <w:rsid w:val="008037A2"/>
    <w:rsid w:val="00811097"/>
    <w:rsid w:val="0081414F"/>
    <w:rsid w:val="00814485"/>
    <w:rsid w:val="008158FC"/>
    <w:rsid w:val="00816582"/>
    <w:rsid w:val="008175E9"/>
    <w:rsid w:val="00820A2D"/>
    <w:rsid w:val="00821AD8"/>
    <w:rsid w:val="00823725"/>
    <w:rsid w:val="008242D7"/>
    <w:rsid w:val="00826C09"/>
    <w:rsid w:val="0083043E"/>
    <w:rsid w:val="0083069A"/>
    <w:rsid w:val="00832A1D"/>
    <w:rsid w:val="00833118"/>
    <w:rsid w:val="00834479"/>
    <w:rsid w:val="00834C79"/>
    <w:rsid w:val="00835799"/>
    <w:rsid w:val="00843AB2"/>
    <w:rsid w:val="00846809"/>
    <w:rsid w:val="008531DC"/>
    <w:rsid w:val="008604BA"/>
    <w:rsid w:val="00860785"/>
    <w:rsid w:val="0086107D"/>
    <w:rsid w:val="00861269"/>
    <w:rsid w:val="00864251"/>
    <w:rsid w:val="00865FC8"/>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68B9"/>
    <w:rsid w:val="008C74C3"/>
    <w:rsid w:val="008C7BF7"/>
    <w:rsid w:val="008D134F"/>
    <w:rsid w:val="008D3C75"/>
    <w:rsid w:val="008D447F"/>
    <w:rsid w:val="008D5977"/>
    <w:rsid w:val="008D60B8"/>
    <w:rsid w:val="008D6942"/>
    <w:rsid w:val="008E0056"/>
    <w:rsid w:val="008E0E46"/>
    <w:rsid w:val="008E15F2"/>
    <w:rsid w:val="008E1DAE"/>
    <w:rsid w:val="008E295A"/>
    <w:rsid w:val="008E4B13"/>
    <w:rsid w:val="008F2D9A"/>
    <w:rsid w:val="008F44B8"/>
    <w:rsid w:val="008F504A"/>
    <w:rsid w:val="00904EBC"/>
    <w:rsid w:val="00912FD8"/>
    <w:rsid w:val="00917EF6"/>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773A5"/>
    <w:rsid w:val="0098376F"/>
    <w:rsid w:val="00984471"/>
    <w:rsid w:val="00985F37"/>
    <w:rsid w:val="009879EA"/>
    <w:rsid w:val="009908A5"/>
    <w:rsid w:val="0099124E"/>
    <w:rsid w:val="00991261"/>
    <w:rsid w:val="009950A3"/>
    <w:rsid w:val="009953D5"/>
    <w:rsid w:val="009968D2"/>
    <w:rsid w:val="00996C3E"/>
    <w:rsid w:val="009A1D29"/>
    <w:rsid w:val="009A2330"/>
    <w:rsid w:val="009A2735"/>
    <w:rsid w:val="009A4740"/>
    <w:rsid w:val="009A55CE"/>
    <w:rsid w:val="009B025E"/>
    <w:rsid w:val="009B140E"/>
    <w:rsid w:val="009B32AA"/>
    <w:rsid w:val="009B798F"/>
    <w:rsid w:val="009C31D5"/>
    <w:rsid w:val="009C3C7D"/>
    <w:rsid w:val="009C5D1E"/>
    <w:rsid w:val="009C6394"/>
    <w:rsid w:val="009D0E2A"/>
    <w:rsid w:val="009D0F0E"/>
    <w:rsid w:val="009D1AAE"/>
    <w:rsid w:val="009D4BDE"/>
    <w:rsid w:val="009D634E"/>
    <w:rsid w:val="009D6CA8"/>
    <w:rsid w:val="009E1560"/>
    <w:rsid w:val="009E47FC"/>
    <w:rsid w:val="009F0F06"/>
    <w:rsid w:val="009F3C03"/>
    <w:rsid w:val="009F4EEB"/>
    <w:rsid w:val="009F4FC5"/>
    <w:rsid w:val="009F5644"/>
    <w:rsid w:val="009F77AD"/>
    <w:rsid w:val="00A03CDF"/>
    <w:rsid w:val="00A07F24"/>
    <w:rsid w:val="00A1427D"/>
    <w:rsid w:val="00A20B4F"/>
    <w:rsid w:val="00A22FE4"/>
    <w:rsid w:val="00A235F1"/>
    <w:rsid w:val="00A260BC"/>
    <w:rsid w:val="00A2784C"/>
    <w:rsid w:val="00A326C9"/>
    <w:rsid w:val="00A34B00"/>
    <w:rsid w:val="00A3777A"/>
    <w:rsid w:val="00A40C21"/>
    <w:rsid w:val="00A47786"/>
    <w:rsid w:val="00A50077"/>
    <w:rsid w:val="00A50F59"/>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B6481"/>
    <w:rsid w:val="00AC0D78"/>
    <w:rsid w:val="00AC1990"/>
    <w:rsid w:val="00AC31E3"/>
    <w:rsid w:val="00AC7757"/>
    <w:rsid w:val="00AD34EE"/>
    <w:rsid w:val="00AD40DE"/>
    <w:rsid w:val="00AD7C88"/>
    <w:rsid w:val="00AE28A6"/>
    <w:rsid w:val="00AE45DE"/>
    <w:rsid w:val="00AE6260"/>
    <w:rsid w:val="00AF0878"/>
    <w:rsid w:val="00AF1FD0"/>
    <w:rsid w:val="00AF28D5"/>
    <w:rsid w:val="00AF2F9D"/>
    <w:rsid w:val="00AF33AD"/>
    <w:rsid w:val="00AF3586"/>
    <w:rsid w:val="00AF6710"/>
    <w:rsid w:val="00B013E6"/>
    <w:rsid w:val="00B04D66"/>
    <w:rsid w:val="00B04E0C"/>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B669C"/>
    <w:rsid w:val="00BC0C09"/>
    <w:rsid w:val="00BC246A"/>
    <w:rsid w:val="00BC74E9"/>
    <w:rsid w:val="00BD4CE8"/>
    <w:rsid w:val="00BD586C"/>
    <w:rsid w:val="00BD6433"/>
    <w:rsid w:val="00BE0D90"/>
    <w:rsid w:val="00BE1FF8"/>
    <w:rsid w:val="00BE4967"/>
    <w:rsid w:val="00BE50CA"/>
    <w:rsid w:val="00BE618E"/>
    <w:rsid w:val="00BE6262"/>
    <w:rsid w:val="00C0263F"/>
    <w:rsid w:val="00C03B44"/>
    <w:rsid w:val="00C078F8"/>
    <w:rsid w:val="00C13A85"/>
    <w:rsid w:val="00C218A4"/>
    <w:rsid w:val="00C23EC5"/>
    <w:rsid w:val="00C31109"/>
    <w:rsid w:val="00C36D37"/>
    <w:rsid w:val="00C40FDC"/>
    <w:rsid w:val="00C463DD"/>
    <w:rsid w:val="00C46D5B"/>
    <w:rsid w:val="00C537D5"/>
    <w:rsid w:val="00C54ADB"/>
    <w:rsid w:val="00C54CEA"/>
    <w:rsid w:val="00C60BEF"/>
    <w:rsid w:val="00C61DA2"/>
    <w:rsid w:val="00C6280F"/>
    <w:rsid w:val="00C62F76"/>
    <w:rsid w:val="00C652A3"/>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048"/>
    <w:rsid w:val="00CB6380"/>
    <w:rsid w:val="00CC313E"/>
    <w:rsid w:val="00CC4CA6"/>
    <w:rsid w:val="00CD0009"/>
    <w:rsid w:val="00CD30EE"/>
    <w:rsid w:val="00CD3225"/>
    <w:rsid w:val="00CE007E"/>
    <w:rsid w:val="00CE1C34"/>
    <w:rsid w:val="00CE4083"/>
    <w:rsid w:val="00CE46BA"/>
    <w:rsid w:val="00CE4A8F"/>
    <w:rsid w:val="00CE6FBE"/>
    <w:rsid w:val="00CF1050"/>
    <w:rsid w:val="00CF1A09"/>
    <w:rsid w:val="00CF6AD2"/>
    <w:rsid w:val="00CF6F32"/>
    <w:rsid w:val="00CF778D"/>
    <w:rsid w:val="00D01746"/>
    <w:rsid w:val="00D01C54"/>
    <w:rsid w:val="00D0631B"/>
    <w:rsid w:val="00D06C3A"/>
    <w:rsid w:val="00D06F88"/>
    <w:rsid w:val="00D164BA"/>
    <w:rsid w:val="00D2012A"/>
    <w:rsid w:val="00D2031B"/>
    <w:rsid w:val="00D25E8C"/>
    <w:rsid w:val="00D25FE2"/>
    <w:rsid w:val="00D27E89"/>
    <w:rsid w:val="00D317D0"/>
    <w:rsid w:val="00D33DE8"/>
    <w:rsid w:val="00D33F2E"/>
    <w:rsid w:val="00D35135"/>
    <w:rsid w:val="00D35D39"/>
    <w:rsid w:val="00D35F3C"/>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A7740"/>
    <w:rsid w:val="00DA7CFF"/>
    <w:rsid w:val="00DB072B"/>
    <w:rsid w:val="00DB6A19"/>
    <w:rsid w:val="00DD026E"/>
    <w:rsid w:val="00DD42A0"/>
    <w:rsid w:val="00DD4C95"/>
    <w:rsid w:val="00DE027F"/>
    <w:rsid w:val="00DE236F"/>
    <w:rsid w:val="00DE3E90"/>
    <w:rsid w:val="00DE3ECB"/>
    <w:rsid w:val="00DE4785"/>
    <w:rsid w:val="00DE7267"/>
    <w:rsid w:val="00DF0204"/>
    <w:rsid w:val="00DF0A4D"/>
    <w:rsid w:val="00DF1C30"/>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52EB0"/>
    <w:rsid w:val="00E53BD8"/>
    <w:rsid w:val="00E53BF1"/>
    <w:rsid w:val="00E54352"/>
    <w:rsid w:val="00E55C16"/>
    <w:rsid w:val="00E5644E"/>
    <w:rsid w:val="00E5691C"/>
    <w:rsid w:val="00E601C0"/>
    <w:rsid w:val="00E631BA"/>
    <w:rsid w:val="00E6613A"/>
    <w:rsid w:val="00E67816"/>
    <w:rsid w:val="00E71511"/>
    <w:rsid w:val="00E7260F"/>
    <w:rsid w:val="00E730D8"/>
    <w:rsid w:val="00E73EB3"/>
    <w:rsid w:val="00E761F6"/>
    <w:rsid w:val="00E769C0"/>
    <w:rsid w:val="00E81230"/>
    <w:rsid w:val="00E84762"/>
    <w:rsid w:val="00E8535A"/>
    <w:rsid w:val="00E864BE"/>
    <w:rsid w:val="00E90647"/>
    <w:rsid w:val="00E93C5C"/>
    <w:rsid w:val="00E96630"/>
    <w:rsid w:val="00E9708A"/>
    <w:rsid w:val="00EA0364"/>
    <w:rsid w:val="00EA48C4"/>
    <w:rsid w:val="00EA5700"/>
    <w:rsid w:val="00EA597A"/>
    <w:rsid w:val="00EA772F"/>
    <w:rsid w:val="00EB291B"/>
    <w:rsid w:val="00EB2AE3"/>
    <w:rsid w:val="00EB41D2"/>
    <w:rsid w:val="00EB4C06"/>
    <w:rsid w:val="00EB51D5"/>
    <w:rsid w:val="00EB65EF"/>
    <w:rsid w:val="00EB6832"/>
    <w:rsid w:val="00EB6C04"/>
    <w:rsid w:val="00EB71BA"/>
    <w:rsid w:val="00EB798F"/>
    <w:rsid w:val="00EC14E9"/>
    <w:rsid w:val="00EC271A"/>
    <w:rsid w:val="00EC755A"/>
    <w:rsid w:val="00ED1008"/>
    <w:rsid w:val="00ED1B72"/>
    <w:rsid w:val="00ED1D48"/>
    <w:rsid w:val="00ED3508"/>
    <w:rsid w:val="00ED3F6F"/>
    <w:rsid w:val="00ED7A2A"/>
    <w:rsid w:val="00EE1B32"/>
    <w:rsid w:val="00EE2247"/>
    <w:rsid w:val="00EE294E"/>
    <w:rsid w:val="00EE3EB7"/>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3B0B"/>
    <w:rsid w:val="00F162F4"/>
    <w:rsid w:val="00F21360"/>
    <w:rsid w:val="00F30A8A"/>
    <w:rsid w:val="00F34267"/>
    <w:rsid w:val="00F3574D"/>
    <w:rsid w:val="00F40295"/>
    <w:rsid w:val="00F40E75"/>
    <w:rsid w:val="00F412D3"/>
    <w:rsid w:val="00F444E3"/>
    <w:rsid w:val="00F5087E"/>
    <w:rsid w:val="00F51BAB"/>
    <w:rsid w:val="00F52588"/>
    <w:rsid w:val="00F535BE"/>
    <w:rsid w:val="00F54674"/>
    <w:rsid w:val="00F54A7E"/>
    <w:rsid w:val="00F570EA"/>
    <w:rsid w:val="00F640B1"/>
    <w:rsid w:val="00F64C95"/>
    <w:rsid w:val="00F65C0A"/>
    <w:rsid w:val="00F74116"/>
    <w:rsid w:val="00F75E96"/>
    <w:rsid w:val="00F77CF6"/>
    <w:rsid w:val="00F80A93"/>
    <w:rsid w:val="00F81BD1"/>
    <w:rsid w:val="00F86824"/>
    <w:rsid w:val="00FA00A0"/>
    <w:rsid w:val="00FA0B12"/>
    <w:rsid w:val="00FA2BF7"/>
    <w:rsid w:val="00FA3FB7"/>
    <w:rsid w:val="00FA65A2"/>
    <w:rsid w:val="00FB5A37"/>
    <w:rsid w:val="00FB7793"/>
    <w:rsid w:val="00FC14DF"/>
    <w:rsid w:val="00FC16D7"/>
    <w:rsid w:val="00FC18AA"/>
    <w:rsid w:val="00FC215C"/>
    <w:rsid w:val="00FC26BD"/>
    <w:rsid w:val="00FC68B7"/>
    <w:rsid w:val="00FD3C5D"/>
    <w:rsid w:val="00FD3E70"/>
    <w:rsid w:val="00FD6B2B"/>
    <w:rsid w:val="00FE0961"/>
    <w:rsid w:val="00FE1C32"/>
    <w:rsid w:val="00FE3EEA"/>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1D035B"/>
  <w15:docId w15:val="{00D5EDB3-CE1B-47DE-A5A5-E3AE2A6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sid w:val="00BD4CE8"/>
    <w:rPr>
      <w:rFonts w:cs="Courier New"/>
    </w:rPr>
  </w:style>
  <w:style w:type="paragraph" w:styleId="BodyText">
    <w:name w:val="Body Text"/>
    <w:basedOn w:val="Normal"/>
    <w:next w:val="Normal"/>
    <w:link w:val="BodyTextChar"/>
    <w:semiHidden/>
    <w:rsid w:val="00BD4CE8"/>
  </w:style>
  <w:style w:type="paragraph" w:styleId="BodyTextIndent">
    <w:name w:val="Body Text Indent"/>
    <w:basedOn w:val="Normal"/>
    <w:link w:val="BodyTextIndentChar"/>
    <w:semiHidden/>
    <w:rsid w:val="00BD4CE8"/>
    <w:pPr>
      <w:spacing w:after="120"/>
      <w:ind w:left="283"/>
    </w:pPr>
  </w:style>
  <w:style w:type="paragraph" w:styleId="BlockText">
    <w:name w:val="Block Text"/>
    <w:basedOn w:val="Normal"/>
    <w:semiHidden/>
    <w:rsid w:val="00BD4CE8"/>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BD4CE8"/>
    <w:rPr>
      <w:sz w:val="6"/>
    </w:rPr>
  </w:style>
  <w:style w:type="paragraph" w:styleId="CommentText">
    <w:name w:val="annotation text"/>
    <w:basedOn w:val="Normal"/>
    <w:link w:val="CommentTextChar"/>
    <w:rsid w:val="00BD4CE8"/>
  </w:style>
  <w:style w:type="character" w:styleId="LineNumber">
    <w:name w:val="line number"/>
    <w:semiHidden/>
    <w:rsid w:val="00BD4CE8"/>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4087227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9EFE-A14A-413B-B58F-849E976D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19</TotalTime>
  <Pages>5</Pages>
  <Words>1680</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United Nations</vt:lpstr>
      <vt:lpstr>United Nations</vt:lpstr>
    </vt:vector>
  </TitlesOfParts>
  <Company>CSD</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6</cp:revision>
  <cp:lastPrinted>2019-06-07T14:05:00Z</cp:lastPrinted>
  <dcterms:created xsi:type="dcterms:W3CDTF">2019-06-07T07:01:00Z</dcterms:created>
  <dcterms:modified xsi:type="dcterms:W3CDTF">2019-06-07T14:05:00Z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