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C55838" w14:paraId="693533EC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4E49D9" w14:textId="77777777" w:rsidR="00132EA9" w:rsidRPr="00DB58B5" w:rsidRDefault="00132EA9" w:rsidP="00C5583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73BCB5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E1B5268" w14:textId="77777777" w:rsidR="00132EA9" w:rsidRPr="00C55838" w:rsidRDefault="00C55838" w:rsidP="00C55838">
            <w:pPr>
              <w:jc w:val="right"/>
              <w:rPr>
                <w:lang w:val="en-US"/>
              </w:rPr>
            </w:pPr>
            <w:r w:rsidRPr="00C55838">
              <w:rPr>
                <w:sz w:val="40"/>
                <w:lang w:val="en-US"/>
              </w:rPr>
              <w:t>ST</w:t>
            </w:r>
            <w:r w:rsidRPr="00C55838">
              <w:rPr>
                <w:lang w:val="en-US"/>
              </w:rPr>
              <w:t>/SG/AC.10/C.3/111/Add.1</w:t>
            </w:r>
          </w:p>
        </w:tc>
      </w:tr>
      <w:tr w:rsidR="00132EA9" w:rsidRPr="00DB58B5" w14:paraId="54350C2F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15E443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A099A6A" wp14:editId="6D75A0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E2BE0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A0C44B" w14:textId="77777777" w:rsidR="00132EA9" w:rsidRDefault="00C55838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62976276" w14:textId="77777777" w:rsidR="00C55838" w:rsidRDefault="00C55838" w:rsidP="00C55838">
            <w:pPr>
              <w:spacing w:line="240" w:lineRule="exact"/>
            </w:pPr>
            <w:r>
              <w:t>20 septembre 2019</w:t>
            </w:r>
          </w:p>
          <w:p w14:paraId="64A93463" w14:textId="77777777" w:rsidR="00C55838" w:rsidRDefault="00C55838" w:rsidP="00C55838">
            <w:pPr>
              <w:spacing w:line="240" w:lineRule="exact"/>
            </w:pPr>
            <w:r>
              <w:t>Français</w:t>
            </w:r>
          </w:p>
          <w:p w14:paraId="4A4BACE8" w14:textId="77777777" w:rsidR="00C55838" w:rsidRPr="00DB58B5" w:rsidRDefault="00C55838" w:rsidP="00C55838">
            <w:pPr>
              <w:spacing w:line="240" w:lineRule="exact"/>
            </w:pPr>
            <w:r>
              <w:t>Original : anglais</w:t>
            </w:r>
          </w:p>
        </w:tc>
      </w:tr>
    </w:tbl>
    <w:p w14:paraId="122140FE" w14:textId="77777777" w:rsidR="00C55838" w:rsidRPr="00CA0680" w:rsidRDefault="00C5583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proofErr w:type="gramStart"/>
      <w:r w:rsidRPr="00CA0680"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20C7028D" w14:textId="77777777" w:rsidR="00C55838" w:rsidRPr="00CA0680" w:rsidRDefault="00C55838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0DB9B07F" w14:textId="77777777" w:rsidR="00C55838" w:rsidRDefault="00C55838" w:rsidP="000305D3">
      <w:pPr>
        <w:spacing w:before="120"/>
        <w:rPr>
          <w:b/>
        </w:rPr>
      </w:pPr>
      <w:r>
        <w:rPr>
          <w:b/>
        </w:rPr>
        <w:t>Cinquant</w:t>
      </w:r>
      <w:r w:rsidR="00A876ED">
        <w:rPr>
          <w:b/>
        </w:rPr>
        <w:t>e</w:t>
      </w:r>
      <w:r>
        <w:rPr>
          <w:b/>
        </w:rPr>
        <w:t xml:space="preserve">-sixième </w:t>
      </w:r>
      <w:r w:rsidRPr="00CA0680">
        <w:rPr>
          <w:b/>
        </w:rPr>
        <w:t>session</w:t>
      </w:r>
    </w:p>
    <w:p w14:paraId="27B4A060" w14:textId="77777777" w:rsidR="00C55838" w:rsidRDefault="00C55838" w:rsidP="000305D3">
      <w:r>
        <w:t xml:space="preserve">Genève, </w:t>
      </w:r>
      <w:r w:rsidRPr="00C55838">
        <w:t>2-11</w:t>
      </w:r>
      <w:r>
        <w:t> </w:t>
      </w:r>
      <w:r w:rsidRPr="00C55838">
        <w:t>décembre 2019</w:t>
      </w:r>
    </w:p>
    <w:p w14:paraId="57794B1B" w14:textId="77777777" w:rsidR="00C55838" w:rsidRDefault="00C55838" w:rsidP="000305D3">
      <w:r>
        <w:t>Point 1 de l’ordre du jour provisoire</w:t>
      </w:r>
    </w:p>
    <w:p w14:paraId="6343288B" w14:textId="77777777" w:rsidR="00C55838" w:rsidRPr="00C55838" w:rsidRDefault="00C55838" w:rsidP="00AC3823">
      <w:pPr>
        <w:rPr>
          <w:b/>
        </w:rPr>
      </w:pPr>
      <w:r w:rsidRPr="00C21B98">
        <w:rPr>
          <w:b/>
          <w:bCs/>
        </w:rPr>
        <w:t>Adoption de l</w:t>
      </w:r>
      <w:r>
        <w:rPr>
          <w:b/>
          <w:bCs/>
        </w:rPr>
        <w:t>’</w:t>
      </w:r>
      <w:r w:rsidRPr="00C21B98">
        <w:rPr>
          <w:b/>
          <w:bCs/>
        </w:rPr>
        <w:t>ordre du jour</w:t>
      </w:r>
    </w:p>
    <w:p w14:paraId="22773F41" w14:textId="77777777" w:rsidR="001F5F4D" w:rsidRPr="00C21B98" w:rsidRDefault="001F5F4D" w:rsidP="006B3262">
      <w:pPr>
        <w:pStyle w:val="HChG"/>
        <w:spacing w:before="320"/>
      </w:pPr>
      <w:r>
        <w:tab/>
      </w:r>
      <w:r>
        <w:tab/>
      </w:r>
      <w:r w:rsidRPr="00C21B98">
        <w:t>Ordre du jour provisoire de la cinquante-sixième session</w:t>
      </w:r>
    </w:p>
    <w:p w14:paraId="53C26386" w14:textId="77777777" w:rsidR="001F5F4D" w:rsidRPr="00C21B98" w:rsidRDefault="001F5F4D" w:rsidP="001F5F4D">
      <w:pPr>
        <w:pStyle w:val="H23G"/>
      </w:pPr>
      <w:r w:rsidRPr="00C21B98">
        <w:tab/>
      </w:r>
      <w:r w:rsidRPr="00C21B98">
        <w:tab/>
        <w:t>Additif</w:t>
      </w:r>
    </w:p>
    <w:p w14:paraId="6370ED62" w14:textId="77777777" w:rsidR="001F5F4D" w:rsidRPr="00C21B98" w:rsidRDefault="001F5F4D" w:rsidP="00C220A4">
      <w:pPr>
        <w:pStyle w:val="H1G"/>
        <w:spacing w:before="300" w:after="220"/>
      </w:pPr>
      <w:r w:rsidRPr="00C21B98">
        <w:tab/>
      </w:r>
      <w:r w:rsidRPr="00C21B98">
        <w:tab/>
        <w:t>Liste des documents</w:t>
      </w:r>
    </w:p>
    <w:p w14:paraId="7E4FC368" w14:textId="77777777" w:rsidR="00810CF7" w:rsidRPr="00810CF7" w:rsidRDefault="001F5F4D" w:rsidP="006B3262">
      <w:pPr>
        <w:pStyle w:val="H1G"/>
        <w:spacing w:before="320"/>
      </w:pPr>
      <w:r w:rsidRPr="00C21B98">
        <w:tab/>
        <w:t>1.</w:t>
      </w:r>
      <w:r w:rsidRPr="00C21B98">
        <w:tab/>
        <w:t>Adoption de l</w:t>
      </w:r>
      <w:r>
        <w:t>’</w:t>
      </w:r>
      <w:r w:rsidRPr="00C21B98">
        <w:t>ordre du jour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62"/>
      </w:tblGrid>
      <w:tr w:rsidR="00810CF7" w:rsidRPr="00810CF7" w14:paraId="5EF648C4" w14:textId="77777777" w:rsidTr="006B3262">
        <w:tc>
          <w:tcPr>
            <w:tcW w:w="3261" w:type="dxa"/>
            <w:hideMark/>
          </w:tcPr>
          <w:p w14:paraId="550861D1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ST/SG/AC.10/C.3/111</w:t>
            </w:r>
          </w:p>
        </w:tc>
        <w:tc>
          <w:tcPr>
            <w:tcW w:w="4962" w:type="dxa"/>
            <w:hideMark/>
          </w:tcPr>
          <w:p w14:paraId="3D9D84A3" w14:textId="77777777" w:rsidR="00810CF7" w:rsidRPr="00810CF7" w:rsidRDefault="00810CF7" w:rsidP="00F46F58">
            <w:pPr>
              <w:spacing w:before="40" w:after="120"/>
            </w:pPr>
            <w:r w:rsidRPr="00810CF7">
              <w:t>Ordre du jour provisoire de la cinquante-sixième session</w:t>
            </w:r>
          </w:p>
        </w:tc>
      </w:tr>
      <w:tr w:rsidR="00810CF7" w:rsidRPr="00810CF7" w14:paraId="3F36A7FB" w14:textId="77777777" w:rsidTr="006B3262">
        <w:tc>
          <w:tcPr>
            <w:tcW w:w="3261" w:type="dxa"/>
            <w:hideMark/>
          </w:tcPr>
          <w:p w14:paraId="29526218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ST/SG/AC.10/C.3/111/Add.1</w:t>
            </w:r>
          </w:p>
        </w:tc>
        <w:tc>
          <w:tcPr>
            <w:tcW w:w="4962" w:type="dxa"/>
            <w:hideMark/>
          </w:tcPr>
          <w:p w14:paraId="5889F2DB" w14:textId="77777777" w:rsidR="00810CF7" w:rsidRPr="00810CF7" w:rsidRDefault="00810CF7" w:rsidP="00F46F58">
            <w:pPr>
              <w:spacing w:before="40" w:after="120"/>
              <w:rPr>
                <w:b/>
                <w:i/>
                <w:u w:val="single"/>
              </w:rPr>
            </w:pPr>
            <w:r w:rsidRPr="00810CF7">
              <w:t>Liste des documents</w:t>
            </w:r>
          </w:p>
        </w:tc>
      </w:tr>
    </w:tbl>
    <w:p w14:paraId="2ED71BA8" w14:textId="77777777" w:rsidR="00810CF7" w:rsidRPr="00810CF7" w:rsidRDefault="00810CF7" w:rsidP="006B3262">
      <w:pPr>
        <w:pStyle w:val="H23G"/>
        <w:spacing w:before="220"/>
      </w:pPr>
      <w:r w:rsidRPr="00810CF7">
        <w:tab/>
      </w:r>
      <w:r w:rsidRPr="00810CF7">
        <w:tab/>
        <w:t>Documents de référence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62"/>
      </w:tblGrid>
      <w:tr w:rsidR="00810CF7" w:rsidRPr="00810CF7" w14:paraId="0D90F47C" w14:textId="77777777" w:rsidTr="006B3262">
        <w:tc>
          <w:tcPr>
            <w:tcW w:w="3261" w:type="dxa"/>
            <w:hideMark/>
          </w:tcPr>
          <w:p w14:paraId="0D4CBCD9" w14:textId="77777777" w:rsidR="00810CF7" w:rsidRPr="00810CF7" w:rsidRDefault="00810CF7" w:rsidP="00F46F58">
            <w:pPr>
              <w:spacing w:before="40" w:after="120"/>
            </w:pPr>
            <w:r w:rsidRPr="00810CF7">
              <w:t>ST/SG/AC.10/1/Rev.21</w:t>
            </w:r>
          </w:p>
        </w:tc>
        <w:tc>
          <w:tcPr>
            <w:tcW w:w="4962" w:type="dxa"/>
            <w:hideMark/>
          </w:tcPr>
          <w:p w14:paraId="53F588E1" w14:textId="77777777" w:rsidR="00810CF7" w:rsidRPr="00810CF7" w:rsidRDefault="00810CF7" w:rsidP="006B3262">
            <w:pPr>
              <w:spacing w:before="40" w:after="100"/>
            </w:pPr>
            <w:r w:rsidRPr="00810CF7">
              <w:t>Recommandations relatives au transport des marchandises dangereuses, Règlement type, vingt et unième édition révisée</w:t>
            </w:r>
          </w:p>
        </w:tc>
      </w:tr>
      <w:tr w:rsidR="00810CF7" w:rsidRPr="00810CF7" w14:paraId="21B46DB4" w14:textId="77777777" w:rsidTr="006B3262">
        <w:tc>
          <w:tcPr>
            <w:tcW w:w="3261" w:type="dxa"/>
            <w:hideMark/>
          </w:tcPr>
          <w:p w14:paraId="0CFFFD3C" w14:textId="77777777" w:rsidR="00810CF7" w:rsidRPr="00810CF7" w:rsidRDefault="00810CF7" w:rsidP="00F46F58">
            <w:pPr>
              <w:spacing w:before="40" w:after="120"/>
            </w:pPr>
            <w:r w:rsidRPr="00810CF7">
              <w:t>ST/SG/AC.10/11/Rev.7</w:t>
            </w:r>
          </w:p>
        </w:tc>
        <w:tc>
          <w:tcPr>
            <w:tcW w:w="4962" w:type="dxa"/>
            <w:hideMark/>
          </w:tcPr>
          <w:p w14:paraId="53A2A583" w14:textId="77777777" w:rsidR="00810CF7" w:rsidRPr="00810CF7" w:rsidRDefault="00810CF7" w:rsidP="006B3262">
            <w:pPr>
              <w:spacing w:before="40" w:after="100"/>
            </w:pPr>
            <w:r w:rsidRPr="00810CF7">
              <w:t>Recommandations relatives au transport des marchandises dangereuses, Manuel d’épreuves et de critères, septième édition révisée</w:t>
            </w:r>
          </w:p>
        </w:tc>
      </w:tr>
      <w:tr w:rsidR="00810CF7" w:rsidRPr="00810CF7" w14:paraId="32249D32" w14:textId="77777777" w:rsidTr="006B3262">
        <w:tc>
          <w:tcPr>
            <w:tcW w:w="3261" w:type="dxa"/>
            <w:hideMark/>
          </w:tcPr>
          <w:p w14:paraId="21E16770" w14:textId="77777777" w:rsidR="00810CF7" w:rsidRPr="00810CF7" w:rsidRDefault="00810CF7" w:rsidP="00F46F58">
            <w:pPr>
              <w:spacing w:before="40" w:after="120"/>
            </w:pPr>
            <w:r w:rsidRPr="00810CF7">
              <w:t>ST/SG/AC.10/30/Rev.8</w:t>
            </w:r>
          </w:p>
        </w:tc>
        <w:tc>
          <w:tcPr>
            <w:tcW w:w="4962" w:type="dxa"/>
            <w:hideMark/>
          </w:tcPr>
          <w:p w14:paraId="5F49ED61" w14:textId="77777777" w:rsidR="00810CF7" w:rsidRPr="00810CF7" w:rsidRDefault="00810CF7" w:rsidP="00F46F58">
            <w:pPr>
              <w:spacing w:before="40" w:after="120"/>
            </w:pPr>
            <w:r w:rsidRPr="00810CF7">
              <w:t>Système général harmonisé de classification et d’étiquetage des produits chimiques (SGH), septième édition révisée</w:t>
            </w:r>
          </w:p>
        </w:tc>
      </w:tr>
      <w:tr w:rsidR="00810CF7" w:rsidRPr="00810CF7" w14:paraId="3811C19D" w14:textId="77777777" w:rsidTr="006B3262"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F63C7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ST/SG/AC.10/C.3/110 et Add.1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39041" w14:textId="77777777" w:rsidR="00810CF7" w:rsidRPr="00810CF7" w:rsidRDefault="00810CF7" w:rsidP="00C220A4">
            <w:pPr>
              <w:spacing w:before="40" w:after="100"/>
            </w:pPr>
            <w:r w:rsidRPr="00810CF7">
              <w:t>Rapport du Sous-Comité d’experts du transport des</w:t>
            </w:r>
            <w:r w:rsidR="006B3262">
              <w:t> </w:t>
            </w:r>
            <w:r w:rsidRPr="00810CF7">
              <w:t>marchandises dangereuses sur sa cinquante-cinquième session</w:t>
            </w:r>
          </w:p>
        </w:tc>
      </w:tr>
      <w:tr w:rsidR="00810CF7" w:rsidRPr="00810CF7" w14:paraId="2022F6AF" w14:textId="77777777" w:rsidTr="006B3262"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8020" w14:textId="77777777" w:rsidR="00810CF7" w:rsidRPr="00810CF7" w:rsidRDefault="00810CF7" w:rsidP="00F46F58">
            <w:pPr>
              <w:spacing w:before="40" w:after="120"/>
            </w:pPr>
            <w:r w:rsidRPr="00810CF7">
              <w:t>ST/SG/AC.10/C.4/74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13A1" w14:textId="77777777" w:rsidR="00810CF7" w:rsidRPr="00810CF7" w:rsidRDefault="00810CF7" w:rsidP="00C220A4">
            <w:pPr>
              <w:spacing w:before="40" w:after="100"/>
            </w:pPr>
            <w:r w:rsidRPr="00810CF7">
              <w:t>Rapport du Sous-Comité d’experts du Système général harmonisé de classification et d’étiquetage des produits chimiques sur sa trente-septième session</w:t>
            </w:r>
          </w:p>
        </w:tc>
      </w:tr>
      <w:tr w:rsidR="00810CF7" w:rsidRPr="00810CF7" w14:paraId="0B168C2F" w14:textId="77777777" w:rsidTr="006B3262"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E6054" w14:textId="77777777" w:rsidR="00810CF7" w:rsidRPr="00810CF7" w:rsidRDefault="00810CF7" w:rsidP="00F46F58">
            <w:pPr>
              <w:spacing w:before="40" w:after="120"/>
            </w:pPr>
            <w:r w:rsidRPr="00810CF7">
              <w:t>ST/SG/AC.10/46 et Add.1 à 3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25EAA" w14:textId="77777777" w:rsidR="00810CF7" w:rsidRPr="00810CF7" w:rsidRDefault="00810CF7" w:rsidP="006B3262">
            <w:pPr>
              <w:spacing w:before="40"/>
            </w:pPr>
            <w:r w:rsidRPr="00810CF7">
              <w:t>Rapport du Comité d’experts du transport des marchandises dangereuses et du Système général harmonisé de</w:t>
            </w:r>
            <w:r w:rsidR="00C220A4">
              <w:t> </w:t>
            </w:r>
            <w:r w:rsidRPr="00810CF7">
              <w:t>classification et d’étiquetage des produits chimiques sur</w:t>
            </w:r>
            <w:r w:rsidR="006B3262">
              <w:t xml:space="preserve"> </w:t>
            </w:r>
            <w:r w:rsidRPr="00810CF7">
              <w:t>sa</w:t>
            </w:r>
            <w:r w:rsidR="00C220A4">
              <w:t> </w:t>
            </w:r>
            <w:r w:rsidRPr="00810CF7">
              <w:t>neuvième session</w:t>
            </w:r>
          </w:p>
        </w:tc>
      </w:tr>
    </w:tbl>
    <w:p w14:paraId="7B0C942E" w14:textId="77777777" w:rsidR="00810CF7" w:rsidRPr="00810CF7" w:rsidRDefault="00810CF7" w:rsidP="00810CF7">
      <w:pPr>
        <w:pStyle w:val="H1G"/>
      </w:pPr>
      <w:r w:rsidRPr="00810CF7">
        <w:lastRenderedPageBreak/>
        <w:tab/>
        <w:t>2.</w:t>
      </w:r>
      <w:r w:rsidRPr="00810CF7">
        <w:tab/>
        <w:t>Explosifs et questions connexes</w:t>
      </w:r>
    </w:p>
    <w:p w14:paraId="2C9D8FE4" w14:textId="77777777" w:rsidR="00810CF7" w:rsidRPr="00810CF7" w:rsidRDefault="00810CF7" w:rsidP="00810CF7">
      <w:pPr>
        <w:pStyle w:val="H23G"/>
      </w:pPr>
      <w:r w:rsidRPr="00810CF7">
        <w:tab/>
        <w:t>a)</w:t>
      </w:r>
      <w:r w:rsidRPr="00810CF7">
        <w:tab/>
        <w:t>Examen des épreuves de la série</w:t>
      </w:r>
      <w:r w:rsidR="000B43F4">
        <w:t> </w:t>
      </w:r>
      <w:r w:rsidRPr="00810CF7">
        <w:t>6</w:t>
      </w:r>
    </w:p>
    <w:p w14:paraId="33A5D5F3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7C0DA6FC" w14:textId="77777777" w:rsidR="00810CF7" w:rsidRPr="00810CF7" w:rsidRDefault="00810CF7" w:rsidP="00810CF7">
      <w:pPr>
        <w:pStyle w:val="H23G"/>
      </w:pPr>
      <w:r>
        <w:tab/>
      </w:r>
      <w:r w:rsidRPr="00810CF7">
        <w:t>b)</w:t>
      </w:r>
      <w:r w:rsidRPr="00810CF7">
        <w:tab/>
        <w:t>Amélioration des essais de la série</w:t>
      </w:r>
      <w:r w:rsidR="000B43F4">
        <w:t> </w:t>
      </w:r>
      <w:r w:rsidRPr="00810CF7">
        <w:t>8</w:t>
      </w:r>
    </w:p>
    <w:p w14:paraId="32CC1E57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5BB4AEC5" w14:textId="77777777" w:rsidR="00810CF7" w:rsidRPr="00810CF7" w:rsidRDefault="00810CF7" w:rsidP="00810CF7">
      <w:pPr>
        <w:pStyle w:val="H23G"/>
      </w:pPr>
      <w:r w:rsidRPr="00810CF7">
        <w:tab/>
        <w:t>c)</w:t>
      </w:r>
      <w:r w:rsidRPr="00810CF7">
        <w:tab/>
        <w:t>Révision des épreuves des parties</w:t>
      </w:r>
      <w:r w:rsidR="000B43F4">
        <w:t> </w:t>
      </w:r>
      <w:r w:rsidRPr="00810CF7">
        <w:t>I, II et III du Manuel d’épreuves et de critères</w:t>
      </w:r>
    </w:p>
    <w:p w14:paraId="3DA19A20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7BA2A04D" w14:textId="77777777" w:rsidR="00810CF7" w:rsidRPr="00810CF7" w:rsidRDefault="00810CF7" w:rsidP="00810CF7">
      <w:pPr>
        <w:pStyle w:val="H23G"/>
      </w:pPr>
      <w:r>
        <w:tab/>
      </w:r>
      <w:r w:rsidRPr="00810CF7">
        <w:t>d)</w:t>
      </w:r>
      <w:r w:rsidRPr="00810CF7">
        <w:tab/>
        <w:t>Détonateurs normalisés «</w:t>
      </w:r>
      <w:r w:rsidR="000B43F4">
        <w:t> </w:t>
      </w:r>
      <w:r w:rsidRPr="00810CF7">
        <w:t>UN</w:t>
      </w:r>
      <w:r w:rsidR="000B43F4">
        <w:t> </w:t>
      </w:r>
      <w:r w:rsidRPr="00810CF7">
        <w:t>»</w:t>
      </w:r>
    </w:p>
    <w:p w14:paraId="28ECB2A5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1B8E2369" w14:textId="77777777" w:rsidR="00810CF7" w:rsidRPr="00810CF7" w:rsidRDefault="00810CF7" w:rsidP="00810CF7">
      <w:pPr>
        <w:pStyle w:val="H23G"/>
      </w:pPr>
      <w:r w:rsidRPr="00810CF7">
        <w:tab/>
        <w:t>e)</w:t>
      </w:r>
      <w:r w:rsidRPr="00810CF7">
        <w:tab/>
        <w:t>Révision des instructions d’emballage relatives aux explosifs</w:t>
      </w:r>
    </w:p>
    <w:p w14:paraId="36F120DA" w14:textId="77777777" w:rsidR="00810CF7" w:rsidRPr="00810CF7" w:rsidRDefault="00810CF7" w:rsidP="00810CF7">
      <w:pPr>
        <w:pStyle w:val="SingleTxtG"/>
        <w:rPr>
          <w:b/>
          <w:bCs/>
        </w:rPr>
      </w:pPr>
      <w:r w:rsidRPr="00810CF7">
        <w:t>Aucun document n’avait été soumis au titre de ce point de l’ordre du jour au moment de la rédaction du présent document.</w:t>
      </w:r>
    </w:p>
    <w:p w14:paraId="5B861D64" w14:textId="77777777" w:rsidR="00810CF7" w:rsidRPr="00810CF7" w:rsidRDefault="00810CF7" w:rsidP="00810CF7">
      <w:pPr>
        <w:pStyle w:val="H23G"/>
      </w:pPr>
      <w:r w:rsidRPr="00810CF7">
        <w:tab/>
        <w:t>f)</w:t>
      </w:r>
      <w:r w:rsidRPr="00810CF7">
        <w:tab/>
        <w:t>Application des dispositions relatives à la sûreté aux explosifs relevant de rubriques N.</w:t>
      </w:r>
      <w:r w:rsidR="00207CFF">
        <w:t> </w:t>
      </w:r>
      <w:r w:rsidRPr="00810CF7">
        <w:t>S.</w:t>
      </w:r>
      <w:r w:rsidR="00207CFF">
        <w:t> </w:t>
      </w:r>
      <w:r w:rsidRPr="00810CF7">
        <w:t>A.</w:t>
      </w:r>
    </w:p>
    <w:p w14:paraId="43226922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1A281518" w14:textId="77777777" w:rsidR="00810CF7" w:rsidRPr="00810CF7" w:rsidRDefault="00810CF7" w:rsidP="00810CF7">
      <w:pPr>
        <w:pStyle w:val="H23G"/>
      </w:pPr>
      <w:r w:rsidRPr="00810CF7">
        <w:tab/>
        <w:t>g)</w:t>
      </w:r>
      <w:r w:rsidRPr="00810CF7">
        <w:tab/>
        <w:t>Épreuve N.1 pour les matières solides facilement inflammables</w:t>
      </w:r>
    </w:p>
    <w:p w14:paraId="0EBE0819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2B495A69" w14:textId="77777777" w:rsidR="00810CF7" w:rsidRPr="00810CF7" w:rsidRDefault="00810CF7" w:rsidP="00810CF7">
      <w:pPr>
        <w:pStyle w:val="H23G"/>
      </w:pPr>
      <w:r w:rsidRPr="00810CF7">
        <w:tab/>
        <w:t>h)</w:t>
      </w:r>
      <w:r w:rsidRPr="00810CF7">
        <w:tab/>
        <w:t>Révision du chapitre</w:t>
      </w:r>
      <w:r w:rsidR="000A05E6">
        <w:t> </w:t>
      </w:r>
      <w:r w:rsidRPr="00810CF7">
        <w:t>2.1 du SGH</w:t>
      </w:r>
    </w:p>
    <w:p w14:paraId="381E31E1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 (voir document informel INF.3 (point</w:t>
      </w:r>
      <w:r w:rsidR="000A05E6">
        <w:t> </w:t>
      </w:r>
      <w:r w:rsidRPr="00810CF7">
        <w:t>10</w:t>
      </w:r>
      <w:r w:rsidR="000A05E6">
        <w:t> </w:t>
      </w:r>
      <w:r w:rsidRPr="00810CF7">
        <w:t>d) de l’ordre du</w:t>
      </w:r>
      <w:r w:rsidR="000A05E6">
        <w:t> </w:t>
      </w:r>
      <w:r w:rsidRPr="00810CF7">
        <w:t>jour)).</w:t>
      </w:r>
    </w:p>
    <w:p w14:paraId="796C665E" w14:textId="77777777" w:rsidR="00810CF7" w:rsidRPr="00810CF7" w:rsidRDefault="00810CF7" w:rsidP="000A05E6">
      <w:pPr>
        <w:pStyle w:val="H23G"/>
      </w:pPr>
      <w:r w:rsidRPr="00810CF7">
        <w:tab/>
      </w:r>
      <w:r w:rsidR="000A05E6">
        <w:t>i)</w:t>
      </w:r>
      <w:r w:rsidR="000A05E6">
        <w:tab/>
      </w:r>
      <w:r w:rsidRPr="00810CF7">
        <w:t>Échantillons énergétiques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810CF7" w:rsidRPr="00810CF7" w14:paraId="1A310953" w14:textId="77777777" w:rsidTr="008E60E3">
        <w:tc>
          <w:tcPr>
            <w:tcW w:w="3402" w:type="dxa"/>
          </w:tcPr>
          <w:p w14:paraId="4EA017FD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ST/SG/AC.10/C.3/2019/64 (CEFIC)</w:t>
            </w:r>
          </w:p>
        </w:tc>
        <w:tc>
          <w:tcPr>
            <w:tcW w:w="4917" w:type="dxa"/>
          </w:tcPr>
          <w:p w14:paraId="6EC517DA" w14:textId="77777777" w:rsidR="00810CF7" w:rsidRPr="00810CF7" w:rsidRDefault="00810CF7" w:rsidP="00F46F58">
            <w:pPr>
              <w:spacing w:before="40" w:after="120"/>
            </w:pPr>
            <w:r w:rsidRPr="00810CF7">
              <w:t>Régulation de la température des échantillons énergétiques</w:t>
            </w:r>
          </w:p>
        </w:tc>
      </w:tr>
    </w:tbl>
    <w:p w14:paraId="663F63D5" w14:textId="77777777" w:rsidR="00810CF7" w:rsidRPr="00810CF7" w:rsidRDefault="00810CF7" w:rsidP="00810CF7">
      <w:pPr>
        <w:pStyle w:val="H23G"/>
      </w:pPr>
      <w:r w:rsidRPr="00810CF7">
        <w:tab/>
        <w:t>j)</w:t>
      </w:r>
      <w:r w:rsidRPr="00810CF7">
        <w:tab/>
        <w:t>Questions liées à la définition des explosifs</w:t>
      </w:r>
    </w:p>
    <w:p w14:paraId="28E5C270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11611749" w14:textId="77777777" w:rsidR="00810CF7" w:rsidRPr="00810CF7" w:rsidRDefault="000A05E6" w:rsidP="00810CF7">
      <w:pPr>
        <w:pStyle w:val="H23G"/>
      </w:pPr>
      <w:r>
        <w:tab/>
      </w:r>
      <w:r w:rsidR="00810CF7" w:rsidRPr="00810CF7">
        <w:t>k)</w:t>
      </w:r>
      <w:r w:rsidR="00810CF7" w:rsidRPr="00810CF7">
        <w:tab/>
        <w:t>Examen des prescriptions en matière d’emballage et de transport pour les ENA</w:t>
      </w:r>
    </w:p>
    <w:p w14:paraId="54C701C4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719BA985" w14:textId="77777777" w:rsidR="00810CF7" w:rsidRPr="00810CF7" w:rsidRDefault="00810CF7" w:rsidP="00810CF7">
      <w:pPr>
        <w:pStyle w:val="H23G"/>
      </w:pPr>
      <w:r w:rsidRPr="00810CF7">
        <w:tab/>
        <w:t>l)</w:t>
      </w:r>
      <w:r w:rsidRPr="00810CF7">
        <w:tab/>
        <w:t>Questions diverses</w:t>
      </w:r>
    </w:p>
    <w:p w14:paraId="7BC3540A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0F7C063C" w14:textId="77777777" w:rsidR="00810CF7" w:rsidRPr="00810CF7" w:rsidRDefault="00810CF7" w:rsidP="00810CF7">
      <w:pPr>
        <w:pStyle w:val="H1G"/>
      </w:pPr>
      <w:r w:rsidRPr="00810CF7">
        <w:br w:type="page"/>
      </w:r>
      <w:r>
        <w:lastRenderedPageBreak/>
        <w:tab/>
      </w:r>
      <w:r w:rsidRPr="00810CF7">
        <w:t>3.</w:t>
      </w:r>
      <w:r w:rsidRPr="00810CF7">
        <w:tab/>
        <w:t>Inscription, classement et emballage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810CF7" w:rsidRPr="00810CF7" w14:paraId="0FCAEF2A" w14:textId="77777777" w:rsidTr="008E60E3">
        <w:tc>
          <w:tcPr>
            <w:tcW w:w="3402" w:type="dxa"/>
          </w:tcPr>
          <w:p w14:paraId="2407F65A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ST/SG/AC.10/C.3/2019/42 (Allemagne)</w:t>
            </w:r>
          </w:p>
        </w:tc>
        <w:tc>
          <w:tcPr>
            <w:tcW w:w="4917" w:type="dxa"/>
          </w:tcPr>
          <w:p w14:paraId="6082AA44" w14:textId="77777777" w:rsidR="00810CF7" w:rsidRPr="00810CF7" w:rsidRDefault="00810CF7" w:rsidP="00F46F58">
            <w:pPr>
              <w:spacing w:before="40" w:after="120"/>
            </w:pPr>
            <w:r w:rsidRPr="00810CF7">
              <w:t>Transport de transformateurs avec des bouteilles de gaz</w:t>
            </w:r>
          </w:p>
        </w:tc>
      </w:tr>
      <w:tr w:rsidR="00810CF7" w:rsidRPr="00810CF7" w14:paraId="23399012" w14:textId="77777777" w:rsidTr="008E60E3">
        <w:tc>
          <w:tcPr>
            <w:tcW w:w="3402" w:type="dxa"/>
          </w:tcPr>
          <w:p w14:paraId="7745C66B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</w:t>
            </w:r>
            <w:r w:rsidRPr="00810CF7">
              <w:t>SG</w:t>
            </w:r>
            <w:r w:rsidRPr="00810CF7">
              <w:rPr>
                <w:lang w:val="en-US"/>
              </w:rPr>
              <w:t>/AC.10/C.3/2019/44 (Canada)</w:t>
            </w:r>
          </w:p>
        </w:tc>
        <w:tc>
          <w:tcPr>
            <w:tcW w:w="4917" w:type="dxa"/>
          </w:tcPr>
          <w:p w14:paraId="4AD9DE7F" w14:textId="77777777" w:rsidR="00810CF7" w:rsidRPr="00810CF7" w:rsidRDefault="00810CF7" w:rsidP="00F46F58">
            <w:pPr>
              <w:spacing w:before="40" w:after="120"/>
            </w:pPr>
            <w:r w:rsidRPr="00810CF7">
              <w:t>Quantités limitées et quantités exceptées</w:t>
            </w:r>
          </w:p>
        </w:tc>
      </w:tr>
      <w:tr w:rsidR="00810CF7" w:rsidRPr="00810CF7" w14:paraId="27C80975" w14:textId="77777777" w:rsidTr="008E60E3">
        <w:tc>
          <w:tcPr>
            <w:tcW w:w="3402" w:type="dxa"/>
          </w:tcPr>
          <w:p w14:paraId="7258C586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t>ST</w:t>
            </w:r>
            <w:r w:rsidRPr="00810CF7">
              <w:rPr>
                <w:lang w:val="en-US"/>
              </w:rPr>
              <w:t>/SG/AC.10/C.3/2019/47 (Chine)</w:t>
            </w:r>
          </w:p>
        </w:tc>
        <w:tc>
          <w:tcPr>
            <w:tcW w:w="4917" w:type="dxa"/>
          </w:tcPr>
          <w:p w14:paraId="529E8E5B" w14:textId="77777777" w:rsidR="00810CF7" w:rsidRPr="00810CF7" w:rsidRDefault="00810CF7" w:rsidP="00F46F58">
            <w:pPr>
              <w:spacing w:before="40" w:after="120"/>
            </w:pPr>
            <w:r w:rsidRPr="00810CF7">
              <w:t>Modification des quantités exceptées pour les Nos ONU 3269 et 3527</w:t>
            </w:r>
          </w:p>
        </w:tc>
      </w:tr>
      <w:tr w:rsidR="00810CF7" w:rsidRPr="00810CF7" w14:paraId="27DBD08C" w14:textId="77777777" w:rsidTr="008E60E3">
        <w:tc>
          <w:tcPr>
            <w:tcW w:w="3402" w:type="dxa"/>
          </w:tcPr>
          <w:p w14:paraId="401FA386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ST/SG/AC.10/C.3/2019/48 (Chine)</w:t>
            </w:r>
          </w:p>
        </w:tc>
        <w:tc>
          <w:tcPr>
            <w:tcW w:w="4917" w:type="dxa"/>
          </w:tcPr>
          <w:p w14:paraId="18D1133D" w14:textId="77777777" w:rsidR="00810CF7" w:rsidRPr="00810CF7" w:rsidRDefault="00810CF7" w:rsidP="00F46F58">
            <w:pPr>
              <w:spacing w:before="40" w:after="120"/>
            </w:pPr>
            <w:r w:rsidRPr="00810CF7">
              <w:t>Dispositions relatives aux accumulateurs (inversables remplis d’électrolyte liquide) installés dans les engins de transport</w:t>
            </w:r>
          </w:p>
        </w:tc>
      </w:tr>
      <w:tr w:rsidR="00810CF7" w:rsidRPr="00810CF7" w14:paraId="22FF2D3F" w14:textId="77777777" w:rsidTr="008E60E3">
        <w:tc>
          <w:tcPr>
            <w:tcW w:w="3402" w:type="dxa"/>
          </w:tcPr>
          <w:p w14:paraId="36DC45FB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ST/SG/AC.10/C.3/2019/56 (Suisse)</w:t>
            </w:r>
          </w:p>
        </w:tc>
        <w:tc>
          <w:tcPr>
            <w:tcW w:w="4917" w:type="dxa"/>
          </w:tcPr>
          <w:p w14:paraId="3B756DB9" w14:textId="77777777" w:rsidR="00810CF7" w:rsidRPr="00810CF7" w:rsidRDefault="00810CF7" w:rsidP="00F46F58">
            <w:pPr>
              <w:spacing w:before="40" w:after="120"/>
            </w:pPr>
            <w:r w:rsidRPr="00810CF7">
              <w:t>Champ d’application du 4.1.2.2</w:t>
            </w:r>
          </w:p>
        </w:tc>
      </w:tr>
      <w:tr w:rsidR="00810CF7" w:rsidRPr="00810CF7" w14:paraId="723B7B13" w14:textId="77777777" w:rsidTr="008E60E3">
        <w:tc>
          <w:tcPr>
            <w:tcW w:w="3402" w:type="dxa"/>
          </w:tcPr>
          <w:p w14:paraId="327797F7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ST/SG/AC.10/C.3/2019/61 (COSTHA)</w:t>
            </w:r>
          </w:p>
        </w:tc>
        <w:tc>
          <w:tcPr>
            <w:tcW w:w="4917" w:type="dxa"/>
          </w:tcPr>
          <w:p w14:paraId="310D9C8C" w14:textId="77777777" w:rsidR="00810CF7" w:rsidRPr="00810CF7" w:rsidRDefault="00810CF7" w:rsidP="00F46F58">
            <w:pPr>
              <w:spacing w:before="40" w:after="120"/>
            </w:pPr>
            <w:r w:rsidRPr="00810CF7">
              <w:t>Nouvelle rubrique pour les appareils d’extinction d’incendie par diffusion d’aérosols</w:t>
            </w:r>
          </w:p>
        </w:tc>
      </w:tr>
      <w:tr w:rsidR="00810CF7" w:rsidRPr="00810CF7" w14:paraId="0E12F7D6" w14:textId="77777777" w:rsidTr="008E60E3">
        <w:tc>
          <w:tcPr>
            <w:tcW w:w="3402" w:type="dxa"/>
          </w:tcPr>
          <w:p w14:paraId="6EED8E65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</w:t>
            </w:r>
            <w:r w:rsidRPr="00810CF7">
              <w:t>SG</w:t>
            </w:r>
            <w:r w:rsidRPr="00810CF7">
              <w:rPr>
                <w:lang w:val="en-US"/>
              </w:rPr>
              <w:t>/AC.10/C.3/2019/62 (COSTHA)</w:t>
            </w:r>
          </w:p>
        </w:tc>
        <w:tc>
          <w:tcPr>
            <w:tcW w:w="4917" w:type="dxa"/>
          </w:tcPr>
          <w:p w14:paraId="2A7CBAB2" w14:textId="77777777" w:rsidR="00810CF7" w:rsidRPr="00810CF7" w:rsidRDefault="00810CF7" w:rsidP="00F46F58">
            <w:pPr>
              <w:spacing w:before="40" w:after="120"/>
            </w:pPr>
            <w:r w:rsidRPr="00810CF7">
              <w:t>Disposition spéciale pour le No ONU 1013, dioxyde de carbone</w:t>
            </w:r>
          </w:p>
        </w:tc>
      </w:tr>
      <w:tr w:rsidR="00810CF7" w:rsidRPr="00810CF7" w14:paraId="280BE5B7" w14:textId="77777777" w:rsidTr="008E60E3">
        <w:tc>
          <w:tcPr>
            <w:tcW w:w="3402" w:type="dxa"/>
          </w:tcPr>
          <w:p w14:paraId="08BA96ED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ST/SG/AC.10/C.3/2019/63 (IATA)</w:t>
            </w:r>
          </w:p>
        </w:tc>
        <w:tc>
          <w:tcPr>
            <w:tcW w:w="4917" w:type="dxa"/>
          </w:tcPr>
          <w:p w14:paraId="793CAED4" w14:textId="77777777" w:rsidR="00810CF7" w:rsidRPr="00810CF7" w:rsidRDefault="00810CF7" w:rsidP="00F46F58">
            <w:pPr>
              <w:spacing w:before="40" w:after="120"/>
            </w:pPr>
            <w:r w:rsidRPr="00810CF7">
              <w:t>Examen des marchandises dangereuses autorisées au titre du No ONU 3363</w:t>
            </w:r>
          </w:p>
        </w:tc>
      </w:tr>
      <w:tr w:rsidR="00810CF7" w:rsidRPr="00810CF7" w14:paraId="7746F9A6" w14:textId="77777777" w:rsidTr="008E60E3">
        <w:tc>
          <w:tcPr>
            <w:tcW w:w="3402" w:type="dxa"/>
          </w:tcPr>
          <w:p w14:paraId="6B786A21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</w:t>
            </w:r>
            <w:r w:rsidRPr="00810CF7">
              <w:t>SG</w:t>
            </w:r>
            <w:r w:rsidRPr="00810CF7">
              <w:rPr>
                <w:lang w:val="en-US"/>
              </w:rPr>
              <w:t>/AC.10/C.3/2019/66 (COSTHA)</w:t>
            </w:r>
          </w:p>
        </w:tc>
        <w:tc>
          <w:tcPr>
            <w:tcW w:w="4917" w:type="dxa"/>
          </w:tcPr>
          <w:p w14:paraId="058C6D3A" w14:textId="77777777" w:rsidR="00810CF7" w:rsidRPr="00810CF7" w:rsidRDefault="00810CF7" w:rsidP="00F46F58">
            <w:pPr>
              <w:spacing w:before="40" w:after="120"/>
            </w:pPr>
            <w:r w:rsidRPr="00810CF7">
              <w:t>Désignations officielles de transport comprenant la mention NSA mais ne relevant pas des dispositions spéciales 220, 274 ou 318</w:t>
            </w:r>
          </w:p>
        </w:tc>
      </w:tr>
    </w:tbl>
    <w:p w14:paraId="78E43C41" w14:textId="77777777" w:rsidR="00810CF7" w:rsidRPr="00810CF7" w:rsidRDefault="00810CF7" w:rsidP="00810CF7">
      <w:pPr>
        <w:pStyle w:val="H1G"/>
      </w:pPr>
      <w:r w:rsidRPr="00810CF7">
        <w:tab/>
        <w:t>4.</w:t>
      </w:r>
      <w:r w:rsidRPr="00810CF7">
        <w:tab/>
        <w:t>Systèmes de stockage de l’électricité</w:t>
      </w:r>
    </w:p>
    <w:p w14:paraId="66E879A1" w14:textId="77777777" w:rsidR="00810CF7" w:rsidRPr="00810CF7" w:rsidRDefault="00810CF7" w:rsidP="00810CF7">
      <w:pPr>
        <w:pStyle w:val="H23G"/>
      </w:pPr>
      <w:r w:rsidRPr="00810CF7">
        <w:tab/>
        <w:t>a)</w:t>
      </w:r>
      <w:r w:rsidRPr="00810CF7">
        <w:tab/>
        <w:t>Épreuves pour batteries au lithium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810CF7" w:rsidRPr="00810CF7" w14:paraId="0D88F2EE" w14:textId="77777777" w:rsidTr="008E60E3">
        <w:tc>
          <w:tcPr>
            <w:tcW w:w="3544" w:type="dxa"/>
          </w:tcPr>
          <w:p w14:paraId="7F8F049A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</w:t>
            </w:r>
            <w:r w:rsidRPr="00810CF7">
              <w:t>2019</w:t>
            </w:r>
            <w:r w:rsidRPr="00810CF7">
              <w:rPr>
                <w:lang w:val="en-US"/>
              </w:rPr>
              <w:t>/50 (RECHARGE, PRBA)</w:t>
            </w:r>
          </w:p>
        </w:tc>
        <w:tc>
          <w:tcPr>
            <w:tcW w:w="4917" w:type="dxa"/>
          </w:tcPr>
          <w:p w14:paraId="2CB09676" w14:textId="77777777" w:rsidR="00810CF7" w:rsidRPr="00810CF7" w:rsidRDefault="00810CF7" w:rsidP="00F46F58">
            <w:pPr>
              <w:spacing w:before="40" w:after="120"/>
            </w:pPr>
            <w:r w:rsidRPr="00810CF7">
              <w:t>Modifications à apporter aux alinéas</w:t>
            </w:r>
            <w:r w:rsidR="003A6082">
              <w:t> </w:t>
            </w:r>
            <w:r w:rsidRPr="00810CF7">
              <w:t>d) et g) du paragraphe</w:t>
            </w:r>
            <w:r w:rsidR="003A6082">
              <w:t> </w:t>
            </w:r>
            <w:r w:rsidRPr="00810CF7">
              <w:t>38.3.3 du Manuel d’épreuves et de critères</w:t>
            </w:r>
          </w:p>
        </w:tc>
      </w:tr>
      <w:tr w:rsidR="00810CF7" w:rsidRPr="00810CF7" w14:paraId="43940F9B" w14:textId="77777777" w:rsidTr="008E60E3">
        <w:tc>
          <w:tcPr>
            <w:tcW w:w="3544" w:type="dxa"/>
          </w:tcPr>
          <w:p w14:paraId="59DC4191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</w:t>
            </w:r>
            <w:r w:rsidRPr="00810CF7">
              <w:t>SG</w:t>
            </w:r>
            <w:r w:rsidRPr="00810CF7">
              <w:rPr>
                <w:lang w:val="en-US"/>
              </w:rPr>
              <w:t>/AC.10/C.3/2019/60 (RECHARGE, PRBA)</w:t>
            </w:r>
          </w:p>
        </w:tc>
        <w:tc>
          <w:tcPr>
            <w:tcW w:w="4917" w:type="dxa"/>
          </w:tcPr>
          <w:p w14:paraId="71CC3ED9" w14:textId="77777777" w:rsidR="00810CF7" w:rsidRPr="00810CF7" w:rsidRDefault="00810CF7" w:rsidP="00F46F58">
            <w:pPr>
              <w:spacing w:before="40" w:after="120"/>
            </w:pPr>
            <w:r w:rsidRPr="00810CF7">
              <w:t>Précisions concernant l’instruction d’emballage P903</w:t>
            </w:r>
          </w:p>
        </w:tc>
      </w:tr>
    </w:tbl>
    <w:p w14:paraId="2227820E" w14:textId="77777777" w:rsidR="00810CF7" w:rsidRPr="00810CF7" w:rsidRDefault="00810CF7" w:rsidP="00810CF7">
      <w:pPr>
        <w:pStyle w:val="H23G"/>
      </w:pPr>
      <w:r w:rsidRPr="00810CF7">
        <w:tab/>
        <w:t>b)</w:t>
      </w:r>
      <w:r w:rsidRPr="00810CF7">
        <w:tab/>
        <w:t>Système de classification des batteries au lithium en fonction du danger</w:t>
      </w:r>
    </w:p>
    <w:p w14:paraId="60B51745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1E4A9726" w14:textId="77777777" w:rsidR="00810CF7" w:rsidRPr="00810CF7" w:rsidRDefault="00810CF7" w:rsidP="00810CF7">
      <w:pPr>
        <w:pStyle w:val="H23G"/>
      </w:pPr>
      <w:r w:rsidRPr="00810CF7">
        <w:tab/>
        <w:t>c)</w:t>
      </w:r>
      <w:r w:rsidRPr="00810CF7">
        <w:tab/>
        <w:t>Dispositions relatives au transport</w:t>
      </w:r>
    </w:p>
    <w:tbl>
      <w:tblPr>
        <w:tblW w:w="8319" w:type="dxa"/>
        <w:tblInd w:w="1158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810CF7" w:rsidRPr="00810CF7" w14:paraId="49DE358C" w14:textId="77777777" w:rsidTr="008E60E3">
        <w:tc>
          <w:tcPr>
            <w:tcW w:w="3402" w:type="dxa"/>
          </w:tcPr>
          <w:p w14:paraId="2E95418E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ST/SG/AC.10/C.3/2019/46 (Chine)</w:t>
            </w:r>
          </w:p>
        </w:tc>
        <w:tc>
          <w:tcPr>
            <w:tcW w:w="4917" w:type="dxa"/>
          </w:tcPr>
          <w:p w14:paraId="2F00B9A2" w14:textId="77777777" w:rsidR="00810CF7" w:rsidRPr="00810CF7" w:rsidRDefault="00810CF7" w:rsidP="00F46F58">
            <w:pPr>
              <w:spacing w:before="40" w:after="120"/>
            </w:pPr>
            <w:r w:rsidRPr="00810CF7">
              <w:t>Proposition visant à ajouter des dispositions relatives au</w:t>
            </w:r>
            <w:r w:rsidR="003A6082">
              <w:t> </w:t>
            </w:r>
            <w:r w:rsidRPr="00810CF7">
              <w:t>niveau de charge des piles et batteries au lithium ionique de grande taille pendant le transport</w:t>
            </w:r>
          </w:p>
        </w:tc>
      </w:tr>
    </w:tbl>
    <w:p w14:paraId="6CB91073" w14:textId="77777777" w:rsidR="00810CF7" w:rsidRPr="00810CF7" w:rsidRDefault="003A6082" w:rsidP="00810CF7">
      <w:pPr>
        <w:pStyle w:val="H23G"/>
      </w:pPr>
      <w:r>
        <w:tab/>
      </w:r>
      <w:r w:rsidR="00810CF7" w:rsidRPr="00810CF7">
        <w:t>d)</w:t>
      </w:r>
      <w:r w:rsidR="00810CF7" w:rsidRPr="00810CF7">
        <w:tab/>
        <w:t>Batteries au lithium endommagées ou défectueuses</w:t>
      </w:r>
    </w:p>
    <w:p w14:paraId="12B90EC1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6077C912" w14:textId="77777777" w:rsidR="00810CF7" w:rsidRPr="00810CF7" w:rsidRDefault="00810CF7" w:rsidP="00810CF7">
      <w:pPr>
        <w:pStyle w:val="H23G"/>
      </w:pPr>
      <w:r w:rsidRPr="00810CF7">
        <w:tab/>
        <w:t>e)</w:t>
      </w:r>
      <w:r w:rsidRPr="00810CF7">
        <w:tab/>
        <w:t>Batteries au sodium ionique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775"/>
      </w:tblGrid>
      <w:tr w:rsidR="00810CF7" w:rsidRPr="00810CF7" w14:paraId="57583458" w14:textId="77777777" w:rsidTr="008E60E3">
        <w:tc>
          <w:tcPr>
            <w:tcW w:w="3544" w:type="dxa"/>
          </w:tcPr>
          <w:p w14:paraId="6E6991E6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ST/SG/AC.10/C.3/2019/60 (PRBA, RECHARGE)</w:t>
            </w:r>
          </w:p>
        </w:tc>
        <w:tc>
          <w:tcPr>
            <w:tcW w:w="4775" w:type="dxa"/>
          </w:tcPr>
          <w:p w14:paraId="630F2701" w14:textId="77777777" w:rsidR="00810CF7" w:rsidRPr="00810CF7" w:rsidRDefault="00810CF7" w:rsidP="00F46F58">
            <w:pPr>
              <w:spacing w:before="40" w:after="120"/>
            </w:pPr>
            <w:r w:rsidRPr="00810CF7">
              <w:t>Précisions concernant l’instruction d’emballage P903</w:t>
            </w:r>
          </w:p>
        </w:tc>
      </w:tr>
    </w:tbl>
    <w:p w14:paraId="6DDCEBC8" w14:textId="77777777" w:rsidR="00810CF7" w:rsidRPr="00810CF7" w:rsidRDefault="00810CF7" w:rsidP="00810CF7">
      <w:pPr>
        <w:pStyle w:val="SingleTxtG"/>
      </w:pPr>
    </w:p>
    <w:p w14:paraId="4F4E535D" w14:textId="77777777" w:rsidR="00810CF7" w:rsidRPr="00810CF7" w:rsidRDefault="00810CF7" w:rsidP="00810CF7">
      <w:pPr>
        <w:pStyle w:val="H23G"/>
      </w:pPr>
      <w:r w:rsidRPr="00810CF7">
        <w:lastRenderedPageBreak/>
        <w:tab/>
        <w:t>f)</w:t>
      </w:r>
      <w:r w:rsidRPr="00810CF7">
        <w:tab/>
        <w:t>Questions diverses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491"/>
      </w:tblGrid>
      <w:tr w:rsidR="00810CF7" w:rsidRPr="00810CF7" w14:paraId="7A10709E" w14:textId="77777777" w:rsidTr="00AE7EEF">
        <w:tc>
          <w:tcPr>
            <w:tcW w:w="3828" w:type="dxa"/>
          </w:tcPr>
          <w:p w14:paraId="0AE0EC6F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ST/SG/AC.10/C.3/2019/54 (RECHARGE, PRBA)</w:t>
            </w:r>
          </w:p>
        </w:tc>
        <w:tc>
          <w:tcPr>
            <w:tcW w:w="4491" w:type="dxa"/>
          </w:tcPr>
          <w:p w14:paraId="71DB0309" w14:textId="77777777" w:rsidR="00810CF7" w:rsidRPr="00810CF7" w:rsidRDefault="00810CF7" w:rsidP="00F46F58">
            <w:pPr>
              <w:spacing w:before="40" w:after="120"/>
            </w:pPr>
            <w:r w:rsidRPr="00810CF7">
              <w:t>Correction de la disposition spéciale 377</w:t>
            </w:r>
          </w:p>
        </w:tc>
      </w:tr>
    </w:tbl>
    <w:p w14:paraId="63BD6371" w14:textId="77777777" w:rsidR="00810CF7" w:rsidRPr="00810CF7" w:rsidRDefault="00810CF7" w:rsidP="00810CF7">
      <w:pPr>
        <w:pStyle w:val="H1G"/>
      </w:pPr>
      <w:r w:rsidRPr="00810CF7">
        <w:tab/>
        <w:t>5.</w:t>
      </w:r>
      <w:r w:rsidRPr="00810CF7">
        <w:tab/>
        <w:t>Transport de gaz</w:t>
      </w:r>
    </w:p>
    <w:p w14:paraId="739CE49A" w14:textId="77777777" w:rsidR="00810CF7" w:rsidRPr="00810CF7" w:rsidRDefault="00810CF7" w:rsidP="00810CF7">
      <w:pPr>
        <w:pStyle w:val="H23G"/>
      </w:pPr>
      <w:r w:rsidRPr="00810CF7">
        <w:tab/>
        <w:t>a)</w:t>
      </w:r>
      <w:r w:rsidRPr="00810CF7">
        <w:tab/>
        <w:t>Reconnaissance universelle des récipients à pression ONU et non-ONU</w:t>
      </w:r>
    </w:p>
    <w:p w14:paraId="64FAE021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07753951" w14:textId="77777777" w:rsidR="00810CF7" w:rsidRPr="00810CF7" w:rsidRDefault="00AE7EEF" w:rsidP="00810CF7">
      <w:pPr>
        <w:pStyle w:val="H23G"/>
      </w:pPr>
      <w:r>
        <w:tab/>
      </w:r>
      <w:r w:rsidR="00810CF7" w:rsidRPr="00810CF7">
        <w:t>b)</w:t>
      </w:r>
      <w:r w:rsidR="00810CF7" w:rsidRPr="00810CF7">
        <w:tab/>
        <w:t>Questions diverses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633"/>
      </w:tblGrid>
      <w:tr w:rsidR="00810CF7" w:rsidRPr="00810CF7" w14:paraId="67191B3D" w14:textId="77777777" w:rsidTr="00AE7EEF">
        <w:tc>
          <w:tcPr>
            <w:tcW w:w="3828" w:type="dxa"/>
          </w:tcPr>
          <w:p w14:paraId="37249E69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ST/SG/AC.10/C.3/2019/43 (ISO)</w:t>
            </w:r>
          </w:p>
        </w:tc>
        <w:tc>
          <w:tcPr>
            <w:tcW w:w="4633" w:type="dxa"/>
          </w:tcPr>
          <w:p w14:paraId="12DDEEA6" w14:textId="77777777" w:rsidR="00810CF7" w:rsidRPr="00810CF7" w:rsidRDefault="00810CF7" w:rsidP="00F46F58">
            <w:pPr>
              <w:spacing w:before="40" w:after="120"/>
            </w:pPr>
            <w:r w:rsidRPr="00810CF7">
              <w:t>Normes ISO mises à jour dans la classe</w:t>
            </w:r>
            <w:r w:rsidR="00B566EF">
              <w:t> </w:t>
            </w:r>
            <w:r w:rsidRPr="00810CF7">
              <w:t>2</w:t>
            </w:r>
          </w:p>
        </w:tc>
      </w:tr>
      <w:tr w:rsidR="00810CF7" w:rsidRPr="00810CF7" w14:paraId="599BABC0" w14:textId="77777777" w:rsidTr="00AE7EEF">
        <w:tc>
          <w:tcPr>
            <w:tcW w:w="3828" w:type="dxa"/>
          </w:tcPr>
          <w:p w14:paraId="4936D132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ST/SG/AC.10/C.3/2019/52 (EIGA, CGA, ECMA)</w:t>
            </w:r>
          </w:p>
        </w:tc>
        <w:tc>
          <w:tcPr>
            <w:tcW w:w="4633" w:type="dxa"/>
          </w:tcPr>
          <w:p w14:paraId="5704436E" w14:textId="77777777" w:rsidR="00810CF7" w:rsidRPr="00810CF7" w:rsidRDefault="00810CF7" w:rsidP="00F46F58">
            <w:pPr>
              <w:spacing w:before="40" w:after="120"/>
            </w:pPr>
            <w:r w:rsidRPr="00810CF7">
              <w:t>Dispositions concernant les récipients à pression et leurs fermetures : Modifications apportées au document ST/SG/AC.10/C.3/2019/21</w:t>
            </w:r>
          </w:p>
        </w:tc>
      </w:tr>
    </w:tbl>
    <w:p w14:paraId="4418C7F5" w14:textId="77777777" w:rsidR="00810CF7" w:rsidRPr="00810CF7" w:rsidRDefault="00B566EF" w:rsidP="00810CF7">
      <w:pPr>
        <w:pStyle w:val="H1G"/>
      </w:pPr>
      <w:r>
        <w:tab/>
      </w:r>
      <w:r w:rsidR="00810CF7" w:rsidRPr="00810CF7">
        <w:t>6.</w:t>
      </w:r>
      <w:r w:rsidR="00810CF7" w:rsidRPr="00810CF7">
        <w:tab/>
        <w:t xml:space="preserve">Propositions diverses d’amendements au Règlement type </w:t>
      </w:r>
      <w:r>
        <w:br/>
      </w:r>
      <w:r w:rsidR="00810CF7" w:rsidRPr="00810CF7">
        <w:t>pour le transport des marchandises dangereuses</w:t>
      </w:r>
    </w:p>
    <w:p w14:paraId="05BBC85E" w14:textId="77777777" w:rsidR="00810CF7" w:rsidRPr="00810CF7" w:rsidRDefault="00810CF7" w:rsidP="00810CF7">
      <w:pPr>
        <w:pStyle w:val="H23G"/>
      </w:pPr>
      <w:r w:rsidRPr="00810CF7">
        <w:tab/>
        <w:t>a)</w:t>
      </w:r>
      <w:r w:rsidRPr="00810CF7">
        <w:tab/>
        <w:t>Marquage et étiquetage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491"/>
      </w:tblGrid>
      <w:tr w:rsidR="00810CF7" w:rsidRPr="00810CF7" w14:paraId="301FD21A" w14:textId="77777777" w:rsidTr="00AE7EEF">
        <w:tc>
          <w:tcPr>
            <w:tcW w:w="3828" w:type="dxa"/>
          </w:tcPr>
          <w:p w14:paraId="100260C5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ST/SG/AC.10/C.3/2019/65 (COSTHA)</w:t>
            </w:r>
          </w:p>
        </w:tc>
        <w:tc>
          <w:tcPr>
            <w:tcW w:w="4491" w:type="dxa"/>
          </w:tcPr>
          <w:p w14:paraId="464715E5" w14:textId="77777777" w:rsidR="00810CF7" w:rsidRPr="00810CF7" w:rsidRDefault="00810CF7" w:rsidP="00F46F58">
            <w:pPr>
              <w:spacing w:before="40" w:after="120"/>
            </w:pPr>
            <w:r w:rsidRPr="00810CF7">
              <w:t>Communication des dangers relatifs aux oxydants et</w:t>
            </w:r>
            <w:r w:rsidR="00B566EF">
              <w:t> </w:t>
            </w:r>
            <w:r w:rsidRPr="00810CF7">
              <w:t>aux peroxydes organiques</w:t>
            </w:r>
          </w:p>
        </w:tc>
      </w:tr>
    </w:tbl>
    <w:p w14:paraId="4FCBF61A" w14:textId="77777777" w:rsidR="00810CF7" w:rsidRPr="00810CF7" w:rsidRDefault="00810CF7" w:rsidP="00810CF7">
      <w:pPr>
        <w:pStyle w:val="H23G"/>
      </w:pPr>
      <w:r w:rsidRPr="00810CF7">
        <w:tab/>
        <w:t>b)</w:t>
      </w:r>
      <w:r w:rsidRPr="00810CF7">
        <w:tab/>
        <w:t>Emballages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633"/>
      </w:tblGrid>
      <w:tr w:rsidR="00810CF7" w:rsidRPr="00810CF7" w14:paraId="13453E1F" w14:textId="77777777" w:rsidTr="00AE7EEF">
        <w:tc>
          <w:tcPr>
            <w:tcW w:w="3828" w:type="dxa"/>
          </w:tcPr>
          <w:p w14:paraId="5EAD284C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ST/SG/AC.10/C.3/2019/49 (RECHARGE, OICA, PRBA, COSTHA)</w:t>
            </w:r>
          </w:p>
        </w:tc>
        <w:tc>
          <w:tcPr>
            <w:tcW w:w="4633" w:type="dxa"/>
          </w:tcPr>
          <w:p w14:paraId="33EFD82E" w14:textId="77777777" w:rsidR="00810CF7" w:rsidRPr="00810CF7" w:rsidRDefault="00810CF7" w:rsidP="00F46F58">
            <w:pPr>
              <w:spacing w:before="40" w:after="120"/>
            </w:pPr>
            <w:r w:rsidRPr="00810CF7">
              <w:t>Applicabilité de l’instruction d’emballage LP906 et</w:t>
            </w:r>
            <w:r w:rsidR="00F56A0A">
              <w:t> </w:t>
            </w:r>
            <w:r w:rsidRPr="00810CF7">
              <w:t>clarification de l’instruction d’emballage P911</w:t>
            </w:r>
          </w:p>
        </w:tc>
      </w:tr>
      <w:tr w:rsidR="00810CF7" w:rsidRPr="00810CF7" w14:paraId="287818D6" w14:textId="77777777" w:rsidTr="00AE7EEF">
        <w:tc>
          <w:tcPr>
            <w:tcW w:w="3828" w:type="dxa"/>
          </w:tcPr>
          <w:p w14:paraId="626CE3D5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</w:t>
            </w:r>
            <w:r w:rsidRPr="00810CF7">
              <w:t>2019</w:t>
            </w:r>
            <w:r w:rsidRPr="00810CF7">
              <w:rPr>
                <w:lang w:val="en-US"/>
              </w:rPr>
              <w:t>/51 (ICPP, ICCR)</w:t>
            </w:r>
          </w:p>
        </w:tc>
        <w:tc>
          <w:tcPr>
            <w:tcW w:w="4633" w:type="dxa"/>
          </w:tcPr>
          <w:p w14:paraId="066D418B" w14:textId="77777777" w:rsidR="00810CF7" w:rsidRPr="00810CF7" w:rsidRDefault="00810CF7" w:rsidP="00F46F58">
            <w:pPr>
              <w:spacing w:before="40" w:after="120"/>
            </w:pPr>
            <w:r w:rsidRPr="00810CF7">
              <w:t>Utilisation de matières plastiques recyclées : Élargissement à tous les emballages en plastique rigides</w:t>
            </w:r>
          </w:p>
        </w:tc>
      </w:tr>
    </w:tbl>
    <w:p w14:paraId="225D8B15" w14:textId="77777777" w:rsidR="00810CF7" w:rsidRPr="00810CF7" w:rsidRDefault="00810CF7" w:rsidP="00810CF7">
      <w:pPr>
        <w:pStyle w:val="H23G"/>
      </w:pPr>
      <w:r w:rsidRPr="00810CF7">
        <w:tab/>
        <w:t>c)</w:t>
      </w:r>
      <w:r w:rsidRPr="00810CF7">
        <w:tab/>
        <w:t>Citernes mobiles en matière plastique renforcée de fibres</w:t>
      </w:r>
    </w:p>
    <w:p w14:paraId="79AD6716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0C58BB9E" w14:textId="77777777" w:rsidR="00810CF7" w:rsidRPr="00810CF7" w:rsidRDefault="00810CF7" w:rsidP="00810CF7">
      <w:pPr>
        <w:pStyle w:val="H23G"/>
      </w:pPr>
      <w:r w:rsidRPr="00810CF7">
        <w:tab/>
        <w:t>d)</w:t>
      </w:r>
      <w:r w:rsidRPr="00810CF7">
        <w:tab/>
        <w:t>Citernes mobiles (autres que les citernes mobiles en matière plastique renforcée de</w:t>
      </w:r>
      <w:r w:rsidR="00F56A0A">
        <w:t> </w:t>
      </w:r>
      <w:r w:rsidRPr="00810CF7">
        <w:t>fibres)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491"/>
      </w:tblGrid>
      <w:tr w:rsidR="00810CF7" w:rsidRPr="00810CF7" w14:paraId="58612F52" w14:textId="77777777" w:rsidTr="00AE7EEF">
        <w:tc>
          <w:tcPr>
            <w:tcW w:w="3828" w:type="dxa"/>
          </w:tcPr>
          <w:p w14:paraId="4322635B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ST/SG/AC.10/C.3/2019/59 (Royaume-Uni)</w:t>
            </w:r>
          </w:p>
        </w:tc>
        <w:tc>
          <w:tcPr>
            <w:tcW w:w="4491" w:type="dxa"/>
          </w:tcPr>
          <w:p w14:paraId="194A746D" w14:textId="77777777" w:rsidR="00810CF7" w:rsidRPr="00810CF7" w:rsidRDefault="00810CF7" w:rsidP="00F46F58">
            <w:pPr>
              <w:spacing w:before="40" w:after="120"/>
            </w:pPr>
            <w:r w:rsidRPr="00810CF7">
              <w:t>Utilisation du titane dans la construction des</w:t>
            </w:r>
            <w:r w:rsidR="00F56A0A">
              <w:t> </w:t>
            </w:r>
            <w:r w:rsidRPr="00810CF7">
              <w:t>réservoirs de citernes mobiles ONU</w:t>
            </w:r>
          </w:p>
        </w:tc>
      </w:tr>
    </w:tbl>
    <w:p w14:paraId="23613FB2" w14:textId="77777777" w:rsidR="00810CF7" w:rsidRPr="00810CF7" w:rsidRDefault="00810CF7" w:rsidP="00810CF7">
      <w:pPr>
        <w:pStyle w:val="H23G"/>
      </w:pPr>
      <w:r w:rsidRPr="00810CF7">
        <w:tab/>
        <w:t>e)</w:t>
      </w:r>
      <w:r w:rsidRPr="00810CF7">
        <w:tab/>
        <w:t>Autres propositions diverses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491"/>
      </w:tblGrid>
      <w:tr w:rsidR="00810CF7" w:rsidRPr="00810CF7" w14:paraId="1B85FD48" w14:textId="77777777" w:rsidTr="00AE7EEF">
        <w:tc>
          <w:tcPr>
            <w:tcW w:w="3828" w:type="dxa"/>
          </w:tcPr>
          <w:p w14:paraId="64D56083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ST/SG/AC.10/C.3/2019/39 (Belgique)</w:t>
            </w:r>
          </w:p>
        </w:tc>
        <w:tc>
          <w:tcPr>
            <w:tcW w:w="4491" w:type="dxa"/>
          </w:tcPr>
          <w:p w14:paraId="68E45B0D" w14:textId="77777777" w:rsidR="00810CF7" w:rsidRPr="00810CF7" w:rsidRDefault="00810CF7" w:rsidP="00F46F58">
            <w:pPr>
              <w:spacing w:before="40" w:after="120"/>
            </w:pPr>
            <w:r w:rsidRPr="00810CF7">
              <w:t>Corrections à apporter aux types d’acier à utiliser pour le classement en fonction de la corrosivité</w:t>
            </w:r>
          </w:p>
        </w:tc>
      </w:tr>
      <w:tr w:rsidR="00810CF7" w:rsidRPr="00810CF7" w14:paraId="772800BB" w14:textId="77777777" w:rsidTr="00AE7EEF">
        <w:tc>
          <w:tcPr>
            <w:tcW w:w="3828" w:type="dxa"/>
          </w:tcPr>
          <w:p w14:paraId="7E527AC9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ST/SG/AC.10/C.3/2019/40 (Allemagne, CEFIC)</w:t>
            </w:r>
          </w:p>
        </w:tc>
        <w:tc>
          <w:tcPr>
            <w:tcW w:w="4491" w:type="dxa"/>
          </w:tcPr>
          <w:p w14:paraId="3D3D63BC" w14:textId="77777777" w:rsidR="00810CF7" w:rsidRPr="00810CF7" w:rsidRDefault="00810CF7" w:rsidP="00F46F58">
            <w:pPr>
              <w:spacing w:before="40" w:after="120"/>
            </w:pPr>
            <w:r w:rsidRPr="00810CF7">
              <w:t>Harmonisation de la prescription « structurellement propre à l’emploi »</w:t>
            </w:r>
          </w:p>
        </w:tc>
      </w:tr>
      <w:tr w:rsidR="00810CF7" w:rsidRPr="00810CF7" w14:paraId="4DE64EC2" w14:textId="77777777" w:rsidTr="00AE7EEF">
        <w:tc>
          <w:tcPr>
            <w:tcW w:w="3828" w:type="dxa"/>
          </w:tcPr>
          <w:p w14:paraId="54B0F32E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ST/SG/AC.10/C.3/2019/41 (Allemagne)</w:t>
            </w:r>
          </w:p>
        </w:tc>
        <w:tc>
          <w:tcPr>
            <w:tcW w:w="4491" w:type="dxa"/>
          </w:tcPr>
          <w:p w14:paraId="236DFF42" w14:textId="77777777" w:rsidR="00810CF7" w:rsidRPr="00810CF7" w:rsidRDefault="00810CF7" w:rsidP="00F46F58">
            <w:pPr>
              <w:spacing w:before="40" w:after="120"/>
            </w:pPr>
            <w:r w:rsidRPr="00810CF7">
              <w:t>Informations à indiquer dans le document de transport lors de l’utilisation d’emballages non agréés comme emballages de secours</w:t>
            </w:r>
          </w:p>
        </w:tc>
      </w:tr>
      <w:tr w:rsidR="00810CF7" w:rsidRPr="00810CF7" w14:paraId="54BBE6D1" w14:textId="77777777" w:rsidTr="00AE7EEF">
        <w:tc>
          <w:tcPr>
            <w:tcW w:w="3828" w:type="dxa"/>
          </w:tcPr>
          <w:p w14:paraId="176842C5" w14:textId="77777777" w:rsidR="00810CF7" w:rsidRPr="00810CF7" w:rsidRDefault="00810CF7" w:rsidP="00F46F58">
            <w:pPr>
              <w:spacing w:before="40" w:after="120"/>
            </w:pPr>
            <w:r w:rsidRPr="00810CF7">
              <w:lastRenderedPageBreak/>
              <w:t>ST/SG/AC.10/C.3/2019/45 (Espagne)</w:t>
            </w:r>
          </w:p>
        </w:tc>
        <w:tc>
          <w:tcPr>
            <w:tcW w:w="4491" w:type="dxa"/>
          </w:tcPr>
          <w:p w14:paraId="15D62E53" w14:textId="77777777" w:rsidR="00810CF7" w:rsidRPr="00810CF7" w:rsidRDefault="00810CF7" w:rsidP="00F46F58">
            <w:pPr>
              <w:spacing w:before="40" w:after="120"/>
            </w:pPr>
            <w:r w:rsidRPr="00810CF7">
              <w:t>La mention « À HAUTE TEMPÉRATURE » comme partie intégrante de la désignation officielle de transport (version espagnole)</w:t>
            </w:r>
          </w:p>
        </w:tc>
      </w:tr>
      <w:tr w:rsidR="00810CF7" w:rsidRPr="00810CF7" w14:paraId="7008676E" w14:textId="77777777" w:rsidTr="00AE7EEF">
        <w:tc>
          <w:tcPr>
            <w:tcW w:w="3828" w:type="dxa"/>
          </w:tcPr>
          <w:p w14:paraId="4792B066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ST/SG/AC.10/C.3/2019/55 (FEA, HCPA)</w:t>
            </w:r>
          </w:p>
        </w:tc>
        <w:tc>
          <w:tcPr>
            <w:tcW w:w="4491" w:type="dxa"/>
          </w:tcPr>
          <w:p w14:paraId="6186160A" w14:textId="77777777" w:rsidR="00810CF7" w:rsidRPr="00810CF7" w:rsidRDefault="00810CF7" w:rsidP="00F46F58">
            <w:pPr>
              <w:spacing w:before="40" w:after="120"/>
            </w:pPr>
            <w:r w:rsidRPr="00810CF7">
              <w:t>Augmentation de la pression interne maximale autorisée pour les générateurs d’aérosols</w:t>
            </w:r>
          </w:p>
        </w:tc>
      </w:tr>
      <w:tr w:rsidR="00810CF7" w:rsidRPr="00810CF7" w14:paraId="0DEA1407" w14:textId="77777777" w:rsidTr="00AE7EEF">
        <w:tc>
          <w:tcPr>
            <w:tcW w:w="3828" w:type="dxa"/>
          </w:tcPr>
          <w:p w14:paraId="0D74D316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ST/SG/AC.10/C.3/2019/57 (Suisse)</w:t>
            </w:r>
          </w:p>
        </w:tc>
        <w:tc>
          <w:tcPr>
            <w:tcW w:w="4491" w:type="dxa"/>
          </w:tcPr>
          <w:p w14:paraId="55D2AAAA" w14:textId="77777777" w:rsidR="00810CF7" w:rsidRPr="00810CF7" w:rsidRDefault="00810CF7" w:rsidP="00F46F58">
            <w:pPr>
              <w:spacing w:before="40" w:after="120"/>
            </w:pPr>
            <w:r w:rsidRPr="00810CF7">
              <w:t xml:space="preserve">Transport par voie postale des colis exceptés </w:t>
            </w:r>
            <w:r w:rsidR="000918D2">
              <w:br/>
            </w:r>
            <w:r w:rsidRPr="00810CF7">
              <w:t>de la classe</w:t>
            </w:r>
            <w:r w:rsidR="000918D2">
              <w:t> </w:t>
            </w:r>
            <w:r w:rsidRPr="00810CF7">
              <w:t>7 présentant une activité limitée</w:t>
            </w:r>
          </w:p>
        </w:tc>
      </w:tr>
      <w:tr w:rsidR="00810CF7" w:rsidRPr="00810CF7" w14:paraId="30779B55" w14:textId="77777777" w:rsidTr="00AE7EEF">
        <w:tc>
          <w:tcPr>
            <w:tcW w:w="3828" w:type="dxa"/>
          </w:tcPr>
          <w:p w14:paraId="680F02F8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ST/SG/AC.10/C.3/2019/71 (Secrétariat)</w:t>
            </w:r>
          </w:p>
        </w:tc>
        <w:tc>
          <w:tcPr>
            <w:tcW w:w="4491" w:type="dxa"/>
          </w:tcPr>
          <w:p w14:paraId="22F1C74D" w14:textId="77777777" w:rsidR="00810CF7" w:rsidRPr="00810CF7" w:rsidRDefault="00810CF7" w:rsidP="00F46F58">
            <w:pPr>
              <w:spacing w:before="40" w:after="120"/>
            </w:pPr>
            <w:r w:rsidRPr="00810CF7">
              <w:t>Réorganisation de la section</w:t>
            </w:r>
            <w:r w:rsidR="000918D2">
              <w:t> </w:t>
            </w:r>
            <w:r w:rsidRPr="00810CF7">
              <w:t>37.4</w:t>
            </w:r>
          </w:p>
        </w:tc>
      </w:tr>
    </w:tbl>
    <w:p w14:paraId="778ED4DB" w14:textId="77777777" w:rsidR="00810CF7" w:rsidRPr="00810CF7" w:rsidRDefault="000918D2" w:rsidP="00810CF7">
      <w:pPr>
        <w:pStyle w:val="H1G"/>
      </w:pPr>
      <w:r>
        <w:tab/>
      </w:r>
      <w:r w:rsidR="00810CF7" w:rsidRPr="00810CF7">
        <w:t>7.</w:t>
      </w:r>
      <w:r w:rsidR="00810CF7" w:rsidRPr="00810CF7">
        <w:tab/>
        <w:t>Harmonisation générale des règlements de transport des marchandises dangereuses avec le Règlement type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491"/>
      </w:tblGrid>
      <w:tr w:rsidR="00810CF7" w:rsidRPr="00810CF7" w14:paraId="6007DA71" w14:textId="77777777" w:rsidTr="00CD26D6">
        <w:tc>
          <w:tcPr>
            <w:tcW w:w="3828" w:type="dxa"/>
          </w:tcPr>
          <w:p w14:paraId="3D88D29D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ST/SG/AC.10/C.3/2019/58 (OACI)</w:t>
            </w:r>
          </w:p>
        </w:tc>
        <w:tc>
          <w:tcPr>
            <w:tcW w:w="4491" w:type="dxa"/>
          </w:tcPr>
          <w:p w14:paraId="4504B105" w14:textId="77777777" w:rsidR="00810CF7" w:rsidRPr="00810CF7" w:rsidRDefault="00810CF7" w:rsidP="00F46F58">
            <w:pPr>
              <w:spacing w:before="40" w:after="120"/>
            </w:pPr>
            <w:r w:rsidRPr="00810CF7">
              <w:t>Recommandations du Groupe d’experts sur les marchandises dangereuses de l’OACI</w:t>
            </w:r>
          </w:p>
        </w:tc>
      </w:tr>
      <w:tr w:rsidR="00810CF7" w:rsidRPr="00810CF7" w14:paraId="4568EBD5" w14:textId="77777777" w:rsidTr="00CD26D6">
        <w:tc>
          <w:tcPr>
            <w:tcW w:w="3828" w:type="dxa"/>
          </w:tcPr>
          <w:p w14:paraId="285401C9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ST/SG/AC.10/C.3/2019/69 (Secrétariat)</w:t>
            </w:r>
          </w:p>
        </w:tc>
        <w:tc>
          <w:tcPr>
            <w:tcW w:w="4491" w:type="dxa"/>
          </w:tcPr>
          <w:p w14:paraId="39D5429A" w14:textId="77777777" w:rsidR="00810CF7" w:rsidRPr="00810CF7" w:rsidRDefault="00810CF7" w:rsidP="00F46F58">
            <w:pPr>
              <w:spacing w:before="40" w:after="120"/>
            </w:pPr>
            <w:r w:rsidRPr="00810CF7">
              <w:t>Harmonisation des Règlements RID/ADR/ADN avec la 21</w:t>
            </w:r>
            <w:r w:rsidRPr="00810CF7">
              <w:rPr>
                <w:vertAlign w:val="superscript"/>
              </w:rPr>
              <w:t>e</w:t>
            </w:r>
            <w:r w:rsidR="008B2388">
              <w:t> </w:t>
            </w:r>
            <w:r w:rsidRPr="00810CF7">
              <w:t>édition révisée des Recommandations de l’ONU relatives au transport des marchandises dangereuses, Règlement type</w:t>
            </w:r>
          </w:p>
        </w:tc>
      </w:tr>
    </w:tbl>
    <w:p w14:paraId="652C14B5" w14:textId="77777777" w:rsidR="00810CF7" w:rsidRPr="00810CF7" w:rsidRDefault="008B2388" w:rsidP="00810CF7">
      <w:pPr>
        <w:pStyle w:val="H1G"/>
      </w:pPr>
      <w:r>
        <w:tab/>
      </w:r>
      <w:r w:rsidR="00810CF7" w:rsidRPr="00810CF7">
        <w:t>8.</w:t>
      </w:r>
      <w:r w:rsidR="00810CF7" w:rsidRPr="00810CF7">
        <w:tab/>
        <w:t>Coopération avec l’Agence internationale de l’énergie atomique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491"/>
      </w:tblGrid>
      <w:tr w:rsidR="00810CF7" w:rsidRPr="00810CF7" w14:paraId="1BC8D6B9" w14:textId="77777777" w:rsidTr="00CD26D6">
        <w:tc>
          <w:tcPr>
            <w:tcW w:w="3828" w:type="dxa"/>
          </w:tcPr>
          <w:p w14:paraId="672344C9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ST/SG/AC.10/C.3/2019/70 (Secrétariat)</w:t>
            </w:r>
          </w:p>
        </w:tc>
        <w:tc>
          <w:tcPr>
            <w:tcW w:w="4491" w:type="dxa"/>
          </w:tcPr>
          <w:p w14:paraId="4F12B57A" w14:textId="77777777" w:rsidR="00810CF7" w:rsidRPr="00810CF7" w:rsidRDefault="00810CF7" w:rsidP="00F46F58">
            <w:pPr>
              <w:spacing w:before="40" w:after="120"/>
            </w:pPr>
            <w:r w:rsidRPr="00810CF7">
              <w:t>Harmonisation avec le Règlement de transport des</w:t>
            </w:r>
            <w:r w:rsidR="008B2388">
              <w:t> </w:t>
            </w:r>
            <w:r w:rsidRPr="00810CF7">
              <w:t>matières radioactives de l’Agence internationale de</w:t>
            </w:r>
            <w:r w:rsidR="008B2388">
              <w:t> </w:t>
            </w:r>
            <w:r w:rsidRPr="00810CF7">
              <w:t>l’énergie atomique</w:t>
            </w:r>
          </w:p>
        </w:tc>
      </w:tr>
    </w:tbl>
    <w:p w14:paraId="02E2430A" w14:textId="77777777" w:rsidR="00810CF7" w:rsidRPr="00810CF7" w:rsidRDefault="008B2388" w:rsidP="00810CF7">
      <w:pPr>
        <w:pStyle w:val="H1G"/>
      </w:pPr>
      <w:r>
        <w:tab/>
      </w:r>
      <w:r w:rsidR="00810CF7" w:rsidRPr="00810CF7">
        <w:t>9.</w:t>
      </w:r>
      <w:r w:rsidR="00810CF7" w:rsidRPr="00810CF7">
        <w:tab/>
        <w:t>Principes directeurs du Règlement type</w:t>
      </w:r>
    </w:p>
    <w:p w14:paraId="3D328337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55E0B1BE" w14:textId="77777777" w:rsidR="00810CF7" w:rsidRPr="00810CF7" w:rsidRDefault="008B2388" w:rsidP="00810CF7">
      <w:pPr>
        <w:pStyle w:val="H1G"/>
      </w:pPr>
      <w:r>
        <w:tab/>
      </w:r>
      <w:r w:rsidR="00810CF7" w:rsidRPr="00810CF7">
        <w:t>10.</w:t>
      </w:r>
      <w:r w:rsidR="00810CF7" w:rsidRPr="00810CF7">
        <w:tab/>
        <w:t>Questions relatives au Système général harmonisé de classification et</w:t>
      </w:r>
      <w:r>
        <w:t> </w:t>
      </w:r>
      <w:r w:rsidR="00810CF7" w:rsidRPr="00810CF7">
        <w:t>d’étiquetage des produits chimiques (SGH)</w:t>
      </w:r>
    </w:p>
    <w:p w14:paraId="280FB1EC" w14:textId="77777777" w:rsidR="00810CF7" w:rsidRPr="00810CF7" w:rsidRDefault="00810CF7" w:rsidP="00810CF7">
      <w:pPr>
        <w:pStyle w:val="H23G"/>
      </w:pPr>
      <w:r w:rsidRPr="00810CF7">
        <w:tab/>
        <w:t>a)</w:t>
      </w:r>
      <w:r w:rsidRPr="00810CF7">
        <w:tab/>
        <w:t>Épreuves relatives aux matières comburantes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491"/>
      </w:tblGrid>
      <w:tr w:rsidR="00810CF7" w:rsidRPr="00810CF7" w14:paraId="0D5E83F0" w14:textId="77777777" w:rsidTr="00CD26D6">
        <w:tc>
          <w:tcPr>
            <w:tcW w:w="3828" w:type="dxa"/>
          </w:tcPr>
          <w:p w14:paraId="7D2973C9" w14:textId="77777777" w:rsidR="00810CF7" w:rsidRPr="00810CF7" w:rsidRDefault="00810CF7" w:rsidP="00F46F58">
            <w:pPr>
              <w:spacing w:before="40" w:after="120"/>
              <w:rPr>
                <w:lang w:val="en-US"/>
              </w:rPr>
            </w:pPr>
            <w:r w:rsidRPr="00810CF7">
              <w:rPr>
                <w:lang w:val="en-US"/>
              </w:rPr>
              <w:t>ST/SG/AC.10/C.3/2019/68 (France)</w:t>
            </w:r>
          </w:p>
        </w:tc>
        <w:tc>
          <w:tcPr>
            <w:tcW w:w="4491" w:type="dxa"/>
          </w:tcPr>
          <w:p w14:paraId="3A4BEA0B" w14:textId="77777777" w:rsidR="00810CF7" w:rsidRPr="00810CF7" w:rsidRDefault="00810CF7" w:rsidP="00F46F58">
            <w:pPr>
              <w:spacing w:before="40" w:after="120"/>
            </w:pPr>
            <w:r w:rsidRPr="00810CF7">
              <w:t>Épreuves relatives aux matières comburantes liquides ou solides</w:t>
            </w:r>
            <w:r w:rsidR="008B2388">
              <w:t> </w:t>
            </w:r>
            <w:r w:rsidRPr="00810CF7">
              <w:t>: amélioration de la prise en considération de la taille des particules, des matériaux friables ou</w:t>
            </w:r>
            <w:r w:rsidR="008B2388">
              <w:t> </w:t>
            </w:r>
            <w:r w:rsidRPr="00810CF7">
              <w:t>des matériaux revêtus</w:t>
            </w:r>
          </w:p>
        </w:tc>
      </w:tr>
    </w:tbl>
    <w:p w14:paraId="7DF83CCA" w14:textId="77777777" w:rsidR="00810CF7" w:rsidRPr="00810CF7" w:rsidRDefault="00810CF7" w:rsidP="00810CF7">
      <w:pPr>
        <w:pStyle w:val="H23G"/>
      </w:pPr>
      <w:r w:rsidRPr="00810CF7">
        <w:tab/>
        <w:t>b)</w:t>
      </w:r>
      <w:r w:rsidRPr="00810CF7">
        <w:tab/>
        <w:t>Produits chimiques sous pression</w:t>
      </w:r>
    </w:p>
    <w:p w14:paraId="374110D6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562FBA88" w14:textId="77777777" w:rsidR="00810CF7" w:rsidRPr="00810CF7" w:rsidRDefault="00810CF7" w:rsidP="00810CF7">
      <w:pPr>
        <w:pStyle w:val="H23G"/>
      </w:pPr>
      <w:r w:rsidRPr="00810CF7">
        <w:tab/>
        <w:t>c)</w:t>
      </w:r>
      <w:r w:rsidRPr="00810CF7">
        <w:tab/>
        <w:t>Mise à jour des références aux directives de l’OCDE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248"/>
      </w:tblGrid>
      <w:tr w:rsidR="00810CF7" w:rsidRPr="00810CF7" w14:paraId="394AEAAC" w14:textId="77777777" w:rsidTr="008B238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013D69E" w14:textId="77777777" w:rsidR="00810CF7" w:rsidRPr="00810CF7" w:rsidRDefault="00810CF7" w:rsidP="00F46F58">
            <w:pPr>
              <w:spacing w:before="40" w:after="120"/>
            </w:pPr>
            <w:r w:rsidRPr="00810CF7">
              <w:t xml:space="preserve">ST/SG/AC.10/C.3/2019/53 </w:t>
            </w:r>
            <w:r w:rsidR="005C28A8">
              <w:br/>
            </w:r>
            <w:r w:rsidRPr="00810CF7">
              <w:t>(Union européenne et Pays-Bas)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41D0B65" w14:textId="77777777" w:rsidR="00810CF7" w:rsidRPr="00810CF7" w:rsidRDefault="00810CF7" w:rsidP="00F46F58">
            <w:pPr>
              <w:spacing w:before="40" w:after="120"/>
            </w:pPr>
            <w:r w:rsidRPr="00810CF7">
              <w:t>Révision mineure du paragraphe</w:t>
            </w:r>
            <w:r w:rsidR="008B2388">
              <w:t> </w:t>
            </w:r>
            <w:r w:rsidRPr="00810CF7">
              <w:t>2.8.3.2</w:t>
            </w:r>
          </w:p>
        </w:tc>
      </w:tr>
    </w:tbl>
    <w:p w14:paraId="0A19ACD6" w14:textId="77777777" w:rsidR="00810CF7" w:rsidRPr="00810CF7" w:rsidRDefault="00810CF7" w:rsidP="00810CF7">
      <w:pPr>
        <w:pStyle w:val="H23G"/>
      </w:pPr>
      <w:r w:rsidRPr="00810CF7">
        <w:lastRenderedPageBreak/>
        <w:tab/>
        <w:t>d)</w:t>
      </w:r>
      <w:r w:rsidRPr="00810CF7">
        <w:tab/>
        <w:t>Révision du chapitre</w:t>
      </w:r>
      <w:r w:rsidR="00AB4322">
        <w:t> </w:t>
      </w:r>
      <w:r w:rsidRPr="00810CF7">
        <w:t>2.1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491"/>
      </w:tblGrid>
      <w:tr w:rsidR="00810CF7" w:rsidRPr="00810CF7" w14:paraId="10E49531" w14:textId="77777777" w:rsidTr="00AB4322">
        <w:tc>
          <w:tcPr>
            <w:tcW w:w="3828" w:type="dxa"/>
          </w:tcPr>
          <w:p w14:paraId="160841AC" w14:textId="77777777" w:rsidR="00810CF7" w:rsidRPr="00810CF7" w:rsidRDefault="00810CF7" w:rsidP="00F46F58">
            <w:pPr>
              <w:spacing w:before="40" w:after="120"/>
            </w:pPr>
            <w:r w:rsidRPr="00810CF7">
              <w:t>Document informel INF.3 (Suède)</w:t>
            </w:r>
          </w:p>
        </w:tc>
        <w:tc>
          <w:tcPr>
            <w:tcW w:w="4491" w:type="dxa"/>
          </w:tcPr>
          <w:p w14:paraId="55CC123D" w14:textId="77777777" w:rsidR="00810CF7" w:rsidRPr="00810CF7" w:rsidRDefault="00810CF7" w:rsidP="00F46F58">
            <w:pPr>
              <w:spacing w:before="40" w:after="120"/>
            </w:pPr>
            <w:r w:rsidRPr="00810CF7">
              <w:t>Révision du chapitre</w:t>
            </w:r>
            <w:r w:rsidR="00AB4322">
              <w:t> </w:t>
            </w:r>
            <w:r w:rsidRPr="00810CF7">
              <w:t>2.1 du SGH (explosifs)</w:t>
            </w:r>
          </w:p>
        </w:tc>
      </w:tr>
    </w:tbl>
    <w:p w14:paraId="2C3C22E9" w14:textId="77777777" w:rsidR="00810CF7" w:rsidRPr="00810CF7" w:rsidRDefault="00810CF7" w:rsidP="00810CF7">
      <w:pPr>
        <w:pStyle w:val="H23G"/>
      </w:pPr>
      <w:r w:rsidRPr="00810CF7">
        <w:tab/>
        <w:t>e)</w:t>
      </w:r>
      <w:r w:rsidRPr="00810CF7">
        <w:tab/>
        <w:t>Classification simultanée des dangers physiques et ordre de prépondérance des</w:t>
      </w:r>
      <w:r w:rsidR="00AB4322">
        <w:t> </w:t>
      </w:r>
      <w:r w:rsidRPr="00810CF7">
        <w:t>dangers</w:t>
      </w:r>
    </w:p>
    <w:p w14:paraId="1A1421A2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115B074A" w14:textId="77777777" w:rsidR="00810CF7" w:rsidRPr="00810CF7" w:rsidRDefault="00810CF7" w:rsidP="00810CF7">
      <w:pPr>
        <w:pStyle w:val="H23G"/>
      </w:pPr>
      <w:r w:rsidRPr="00810CF7">
        <w:tab/>
        <w:t>f)</w:t>
      </w:r>
      <w:r w:rsidRPr="00810CF7">
        <w:tab/>
        <w:t>Questions diverses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491"/>
      </w:tblGrid>
      <w:tr w:rsidR="00810CF7" w:rsidRPr="00810CF7" w14:paraId="46E86B94" w14:textId="77777777" w:rsidTr="00AB4322">
        <w:tc>
          <w:tcPr>
            <w:tcW w:w="3828" w:type="dxa"/>
          </w:tcPr>
          <w:p w14:paraId="6C3367A4" w14:textId="77777777" w:rsidR="00810CF7" w:rsidRPr="00810CF7" w:rsidRDefault="00810CF7" w:rsidP="00F46F58">
            <w:pPr>
              <w:spacing w:before="40" w:after="120"/>
            </w:pPr>
            <w:r w:rsidRPr="00810CF7">
              <w:t>ST/SG/AC.10/C.3/2019/67 (Royaume-Uni)</w:t>
            </w:r>
          </w:p>
        </w:tc>
        <w:tc>
          <w:tcPr>
            <w:tcW w:w="4491" w:type="dxa"/>
          </w:tcPr>
          <w:p w14:paraId="0B1BDC8B" w14:textId="77777777" w:rsidR="00810CF7" w:rsidRPr="00810CF7" w:rsidRDefault="00810CF7" w:rsidP="00F46F58">
            <w:pPr>
              <w:spacing w:before="40" w:after="120"/>
            </w:pPr>
            <w:r w:rsidRPr="00810CF7">
              <w:t>Propositions de modifications à apporter à l’annexe</w:t>
            </w:r>
            <w:r w:rsidR="009B5B05">
              <w:t> </w:t>
            </w:r>
            <w:r w:rsidRPr="00810CF7">
              <w:t>1 du SGH</w:t>
            </w:r>
          </w:p>
        </w:tc>
      </w:tr>
    </w:tbl>
    <w:p w14:paraId="5D73F79D" w14:textId="77777777" w:rsidR="00810CF7" w:rsidRPr="00810CF7" w:rsidRDefault="009B5B05" w:rsidP="00810CF7">
      <w:pPr>
        <w:pStyle w:val="H1G"/>
      </w:pPr>
      <w:r>
        <w:tab/>
      </w:r>
      <w:r w:rsidR="00810CF7" w:rsidRPr="00810CF7">
        <w:t>11.</w:t>
      </w:r>
      <w:r w:rsidR="00810CF7" w:rsidRPr="00810CF7">
        <w:tab/>
        <w:t>Questions diverses</w:t>
      </w:r>
    </w:p>
    <w:p w14:paraId="44EF1CA0" w14:textId="77777777" w:rsidR="00810CF7" w:rsidRPr="00810CF7" w:rsidRDefault="00810CF7" w:rsidP="00810CF7">
      <w:pPr>
        <w:pStyle w:val="SingleTxtG"/>
      </w:pPr>
      <w:r w:rsidRPr="00810CF7">
        <w:t>Aucun document n’avait été soumis au titre de ce point de l’ordre du jour au moment de la rédaction du présent document.</w:t>
      </w:r>
    </w:p>
    <w:p w14:paraId="2429F0C1" w14:textId="77777777" w:rsidR="00810CF7" w:rsidRPr="00810CF7" w:rsidRDefault="009B5B05" w:rsidP="00810CF7">
      <w:pPr>
        <w:pStyle w:val="H1G"/>
      </w:pPr>
      <w:r>
        <w:tab/>
      </w:r>
      <w:r w:rsidR="00810CF7" w:rsidRPr="00810CF7">
        <w:t>12.</w:t>
      </w:r>
      <w:r w:rsidR="00810CF7" w:rsidRPr="00810CF7">
        <w:tab/>
        <w:t>Adoption du rapport</w:t>
      </w:r>
    </w:p>
    <w:p w14:paraId="7805F2A7" w14:textId="77777777" w:rsidR="00810CF7" w:rsidRPr="00810CF7" w:rsidRDefault="00810CF7" w:rsidP="00810CF7">
      <w:pPr>
        <w:pStyle w:val="SingleTxtG"/>
      </w:pPr>
      <w:r w:rsidRPr="00810CF7">
        <w:t>Conformément à l’usage, le Sous-Comité souhaitera sans doute adopter le rapport de sa cinquante-sixième session et ses annexes sur la base d’un projet établi par le secrétariat.</w:t>
      </w:r>
    </w:p>
    <w:p w14:paraId="173AE901" w14:textId="77777777" w:rsidR="00446FE5" w:rsidRPr="00524BF9" w:rsidRDefault="00524BF9" w:rsidP="00524B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524BF9" w:rsidSect="00C558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8A25" w14:textId="77777777" w:rsidR="0041105C" w:rsidRDefault="0041105C" w:rsidP="00F95C08">
      <w:pPr>
        <w:spacing w:line="240" w:lineRule="auto"/>
      </w:pPr>
    </w:p>
  </w:endnote>
  <w:endnote w:type="continuationSeparator" w:id="0">
    <w:p w14:paraId="63760547" w14:textId="77777777" w:rsidR="0041105C" w:rsidRPr="00AC3823" w:rsidRDefault="0041105C" w:rsidP="00AC3823">
      <w:pPr>
        <w:pStyle w:val="Footer"/>
      </w:pPr>
    </w:p>
  </w:endnote>
  <w:endnote w:type="continuationNotice" w:id="1">
    <w:p w14:paraId="64FADE7C" w14:textId="77777777" w:rsidR="0041105C" w:rsidRDefault="004110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613C" w14:textId="77777777" w:rsidR="00C55838" w:rsidRPr="00C55838" w:rsidRDefault="00C55838" w:rsidP="00C55838">
    <w:pPr>
      <w:pStyle w:val="Footer"/>
      <w:tabs>
        <w:tab w:val="right" w:pos="9638"/>
      </w:tabs>
    </w:pPr>
    <w:r w:rsidRPr="00C55838">
      <w:rPr>
        <w:b/>
        <w:sz w:val="18"/>
      </w:rPr>
      <w:fldChar w:fldCharType="begin"/>
    </w:r>
    <w:r w:rsidRPr="00C55838">
      <w:rPr>
        <w:b/>
        <w:sz w:val="18"/>
      </w:rPr>
      <w:instrText xml:space="preserve"> PAGE  \* MERGEFORMAT </w:instrText>
    </w:r>
    <w:r w:rsidRPr="00C55838">
      <w:rPr>
        <w:b/>
        <w:sz w:val="18"/>
      </w:rPr>
      <w:fldChar w:fldCharType="separate"/>
    </w:r>
    <w:r w:rsidRPr="00C55838">
      <w:rPr>
        <w:b/>
        <w:noProof/>
        <w:sz w:val="18"/>
      </w:rPr>
      <w:t>2</w:t>
    </w:r>
    <w:r w:rsidRPr="00C55838">
      <w:rPr>
        <w:b/>
        <w:sz w:val="18"/>
      </w:rPr>
      <w:fldChar w:fldCharType="end"/>
    </w:r>
    <w:r>
      <w:rPr>
        <w:b/>
        <w:sz w:val="18"/>
      </w:rPr>
      <w:tab/>
    </w:r>
    <w:r>
      <w:t>GE.19-16191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3E7E" w14:textId="77777777" w:rsidR="00C55838" w:rsidRPr="00C55838" w:rsidRDefault="00C55838" w:rsidP="00C55838">
    <w:pPr>
      <w:pStyle w:val="Footer"/>
      <w:tabs>
        <w:tab w:val="right" w:pos="9638"/>
      </w:tabs>
      <w:rPr>
        <w:b/>
        <w:sz w:val="18"/>
      </w:rPr>
    </w:pPr>
    <w:r>
      <w:t>GE.19-16191</w:t>
    </w:r>
    <w:r>
      <w:tab/>
    </w:r>
    <w:r w:rsidRPr="00C55838">
      <w:rPr>
        <w:b/>
        <w:sz w:val="18"/>
      </w:rPr>
      <w:fldChar w:fldCharType="begin"/>
    </w:r>
    <w:r w:rsidRPr="00C55838">
      <w:rPr>
        <w:b/>
        <w:sz w:val="18"/>
      </w:rPr>
      <w:instrText xml:space="preserve"> PAGE  \* MERGEFORMAT </w:instrText>
    </w:r>
    <w:r w:rsidRPr="00C55838">
      <w:rPr>
        <w:b/>
        <w:sz w:val="18"/>
      </w:rPr>
      <w:fldChar w:fldCharType="separate"/>
    </w:r>
    <w:r w:rsidRPr="00C55838">
      <w:rPr>
        <w:b/>
        <w:noProof/>
        <w:sz w:val="18"/>
      </w:rPr>
      <w:t>3</w:t>
    </w:r>
    <w:r w:rsidRPr="00C558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A1AD" w14:textId="77777777" w:rsidR="0068456F" w:rsidRPr="00C55838" w:rsidRDefault="00C55838" w:rsidP="00C55838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098016B" wp14:editId="227B2EC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16191  (</w:t>
    </w:r>
    <w:proofErr w:type="gramEnd"/>
    <w:r>
      <w:rPr>
        <w:sz w:val="20"/>
      </w:rPr>
      <w:t>F)    111019    111019</w:t>
    </w:r>
    <w:r>
      <w:rPr>
        <w:sz w:val="20"/>
      </w:rPr>
      <w:br/>
    </w:r>
    <w:r w:rsidRPr="00C55838">
      <w:rPr>
        <w:rFonts w:ascii="C39T30Lfz" w:hAnsi="C39T30Lfz"/>
        <w:sz w:val="56"/>
      </w:rPr>
      <w:t></w:t>
    </w:r>
    <w:r w:rsidRPr="00C55838">
      <w:rPr>
        <w:rFonts w:ascii="C39T30Lfz" w:hAnsi="C39T30Lfz"/>
        <w:sz w:val="56"/>
      </w:rPr>
      <w:t></w:t>
    </w:r>
    <w:r w:rsidRPr="00C55838">
      <w:rPr>
        <w:rFonts w:ascii="C39T30Lfz" w:hAnsi="C39T30Lfz"/>
        <w:sz w:val="56"/>
      </w:rPr>
      <w:t></w:t>
    </w:r>
    <w:r w:rsidRPr="00C55838">
      <w:rPr>
        <w:rFonts w:ascii="C39T30Lfz" w:hAnsi="C39T30Lfz"/>
        <w:sz w:val="56"/>
      </w:rPr>
      <w:t></w:t>
    </w:r>
    <w:r w:rsidRPr="00C55838">
      <w:rPr>
        <w:rFonts w:ascii="C39T30Lfz" w:hAnsi="C39T30Lfz"/>
        <w:sz w:val="56"/>
      </w:rPr>
      <w:t></w:t>
    </w:r>
    <w:r w:rsidRPr="00C55838">
      <w:rPr>
        <w:rFonts w:ascii="C39T30Lfz" w:hAnsi="C39T30Lfz"/>
        <w:sz w:val="56"/>
      </w:rPr>
      <w:t></w:t>
    </w:r>
    <w:r w:rsidRPr="00C55838">
      <w:rPr>
        <w:rFonts w:ascii="C39T30Lfz" w:hAnsi="C39T30Lfz"/>
        <w:sz w:val="56"/>
      </w:rPr>
      <w:t></w:t>
    </w:r>
    <w:r w:rsidRPr="00C55838">
      <w:rPr>
        <w:rFonts w:ascii="C39T30Lfz" w:hAnsi="C39T30Lfz"/>
        <w:sz w:val="56"/>
      </w:rPr>
      <w:t></w:t>
    </w:r>
    <w:r w:rsidRPr="00C5583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ABE5804" wp14:editId="2343757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11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11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1672" w14:textId="77777777" w:rsidR="0041105C" w:rsidRPr="00AC3823" w:rsidRDefault="004110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B5D4E3" w14:textId="77777777" w:rsidR="0041105C" w:rsidRPr="00AC3823" w:rsidRDefault="004110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A2A449" w14:textId="77777777" w:rsidR="0041105C" w:rsidRPr="00AC3823" w:rsidRDefault="0041105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2DE8" w14:textId="19CBDE02" w:rsidR="00C55838" w:rsidRPr="00C55838" w:rsidRDefault="00244CD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ST/SG/AC.10/C.3/111/Add.1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2160" w14:textId="4201735B" w:rsidR="00C55838" w:rsidRPr="00C55838" w:rsidRDefault="00244CDE" w:rsidP="00C5583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ST/SG/AC.10/C.3/111/Add.1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5C"/>
    <w:rsid w:val="00017F94"/>
    <w:rsid w:val="00023842"/>
    <w:rsid w:val="000305D3"/>
    <w:rsid w:val="000334F9"/>
    <w:rsid w:val="0007796D"/>
    <w:rsid w:val="000918D2"/>
    <w:rsid w:val="000A05E6"/>
    <w:rsid w:val="000B43F4"/>
    <w:rsid w:val="000B7790"/>
    <w:rsid w:val="00111F2F"/>
    <w:rsid w:val="00132EA9"/>
    <w:rsid w:val="0014365E"/>
    <w:rsid w:val="00176178"/>
    <w:rsid w:val="001F525A"/>
    <w:rsid w:val="001F5F4D"/>
    <w:rsid w:val="00207CFF"/>
    <w:rsid w:val="00223272"/>
    <w:rsid w:val="00244CDE"/>
    <w:rsid w:val="0024779E"/>
    <w:rsid w:val="00283190"/>
    <w:rsid w:val="002832AC"/>
    <w:rsid w:val="002D7C93"/>
    <w:rsid w:val="003A6082"/>
    <w:rsid w:val="0041105C"/>
    <w:rsid w:val="00441C3B"/>
    <w:rsid w:val="00446FE5"/>
    <w:rsid w:val="00452396"/>
    <w:rsid w:val="004E468C"/>
    <w:rsid w:val="00515388"/>
    <w:rsid w:val="00524BF9"/>
    <w:rsid w:val="005505B7"/>
    <w:rsid w:val="00573BE5"/>
    <w:rsid w:val="00584DC4"/>
    <w:rsid w:val="00586ED3"/>
    <w:rsid w:val="00596AA9"/>
    <w:rsid w:val="005C28A8"/>
    <w:rsid w:val="005D3C1B"/>
    <w:rsid w:val="0068456F"/>
    <w:rsid w:val="006B3262"/>
    <w:rsid w:val="0071601D"/>
    <w:rsid w:val="007A62E6"/>
    <w:rsid w:val="007F460B"/>
    <w:rsid w:val="0080684C"/>
    <w:rsid w:val="00810CF7"/>
    <w:rsid w:val="00871C75"/>
    <w:rsid w:val="008776DC"/>
    <w:rsid w:val="008B2388"/>
    <w:rsid w:val="008B40CD"/>
    <w:rsid w:val="009705C8"/>
    <w:rsid w:val="009B5B05"/>
    <w:rsid w:val="009C1CF4"/>
    <w:rsid w:val="00A30353"/>
    <w:rsid w:val="00A876ED"/>
    <w:rsid w:val="00AB4322"/>
    <w:rsid w:val="00AC3823"/>
    <w:rsid w:val="00AE323C"/>
    <w:rsid w:val="00AE7EEF"/>
    <w:rsid w:val="00B00181"/>
    <w:rsid w:val="00B00B0D"/>
    <w:rsid w:val="00B566EF"/>
    <w:rsid w:val="00B765F7"/>
    <w:rsid w:val="00B94444"/>
    <w:rsid w:val="00BA0CA9"/>
    <w:rsid w:val="00C02897"/>
    <w:rsid w:val="00C220A4"/>
    <w:rsid w:val="00C55838"/>
    <w:rsid w:val="00CD26D6"/>
    <w:rsid w:val="00D3439C"/>
    <w:rsid w:val="00DB1831"/>
    <w:rsid w:val="00DD3BFD"/>
    <w:rsid w:val="00DF6678"/>
    <w:rsid w:val="00EF2E22"/>
    <w:rsid w:val="00F01738"/>
    <w:rsid w:val="00F46F58"/>
    <w:rsid w:val="00F56A0A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76AE4"/>
  <w15:docId w15:val="{75FC757A-A289-4DC0-BD04-810E8D45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ST/SG/AC.10/C.3/111/Add.1</vt:lpstr>
      <vt:lpstr>ST/SG/AC.10/C.3/111/Add.1</vt:lpstr>
    </vt:vector>
  </TitlesOfParts>
  <Company>DCM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ST/SG/AC.10/C.3/111/Add.1</dc:title>
  <dc:subject/>
  <dc:creator>Brianne MAGNAT</dc:creator>
  <cp:keywords/>
  <cp:lastModifiedBy>Laurence Berthet</cp:lastModifiedBy>
  <cp:revision>3</cp:revision>
  <cp:lastPrinted>2019-10-14T07:30:00Z</cp:lastPrinted>
  <dcterms:created xsi:type="dcterms:W3CDTF">2019-10-14T07:29:00Z</dcterms:created>
  <dcterms:modified xsi:type="dcterms:W3CDTF">2019-10-14T07:31:00Z</dcterms:modified>
</cp:coreProperties>
</file>