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237"/>
        <w:gridCol w:w="3216"/>
        <w:gridCol w:w="2932"/>
      </w:tblGrid>
      <w:tr w:rsidR="005E0F7B" w:rsidRPr="00471D64" w14:paraId="0FFE53DE" w14:textId="77777777" w:rsidTr="00D76673">
        <w:trPr>
          <w:trHeight w:val="851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D4941" w14:textId="77777777" w:rsidR="005E0F7B" w:rsidRDefault="005E0F7B">
            <w:pPr>
              <w:spacing w:after="80" w:line="340" w:lineRule="exact"/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AF3A2A" w14:textId="77777777" w:rsidR="005E0F7B" w:rsidRDefault="005E0F7B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2E9A4C" w14:textId="7FDC5ECD" w:rsidR="005E0F7B" w:rsidRDefault="005E0F7B" w:rsidP="00DC6892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ST</w:t>
            </w:r>
            <w:r w:rsidR="00F41498">
              <w:t>/SG/AC.10/C.3/201</w:t>
            </w:r>
            <w:r w:rsidR="00A6743D">
              <w:t>9</w:t>
            </w:r>
            <w:r w:rsidR="00EB5EFC">
              <w:t>/</w:t>
            </w:r>
            <w:r w:rsidR="00277336">
              <w:t>6</w:t>
            </w:r>
            <w:r w:rsidR="00DC6892">
              <w:t>-</w:t>
            </w:r>
            <w:r w:rsidR="00DC6892">
              <w:rPr>
                <w:sz w:val="40"/>
              </w:rPr>
              <w:t>ST</w:t>
            </w:r>
            <w:r w:rsidR="00DC6892">
              <w:t>/SG/AC.10/C.4/2019/</w:t>
            </w:r>
            <w:r w:rsidR="00277336">
              <w:t>1</w:t>
            </w:r>
          </w:p>
        </w:tc>
      </w:tr>
      <w:tr w:rsidR="005E0F7B" w:rsidRPr="005E0F7B" w14:paraId="077A4DB1" w14:textId="77777777" w:rsidTr="00D76673">
        <w:trPr>
          <w:trHeight w:val="2835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F7AEA23" w14:textId="77777777" w:rsidR="005E0F7B" w:rsidRDefault="00FD21A9">
            <w:pPr>
              <w:spacing w:before="120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0E49450" wp14:editId="07777777">
                  <wp:extent cx="717550" cy="590550"/>
                  <wp:effectExtent l="0" t="0" r="635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27E9B05" w14:textId="77777777" w:rsidR="005E0F7B" w:rsidRDefault="005E0F7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5BDA0C" w14:textId="77777777" w:rsidR="005E0F7B" w:rsidRDefault="005E0F7B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B7B42BD" w14:textId="1D97B678" w:rsidR="005E0F7B" w:rsidRPr="005C67A3" w:rsidRDefault="00C31773">
            <w:pPr>
              <w:suppressAutoHyphens w:val="0"/>
            </w:pPr>
            <w:r>
              <w:t>26</w:t>
            </w:r>
            <w:r w:rsidR="006D5AAE">
              <w:t xml:space="preserve"> </w:t>
            </w:r>
            <w:r w:rsidR="00E91706">
              <w:t>March</w:t>
            </w:r>
            <w:r w:rsidR="00A065BA">
              <w:t xml:space="preserve"> 201</w:t>
            </w:r>
            <w:r w:rsidR="00E91706">
              <w:t>9</w:t>
            </w:r>
          </w:p>
          <w:p w14:paraId="2A5374FE" w14:textId="77777777" w:rsidR="005E0F7B" w:rsidRDefault="005E0F7B">
            <w:pPr>
              <w:suppressAutoHyphens w:val="0"/>
            </w:pPr>
          </w:p>
          <w:p w14:paraId="68A24DD9" w14:textId="77777777" w:rsidR="005E0F7B" w:rsidRDefault="005E0F7B">
            <w:pPr>
              <w:suppressAutoHyphens w:val="0"/>
            </w:pPr>
            <w:r>
              <w:t>Original: English</w:t>
            </w:r>
          </w:p>
        </w:tc>
      </w:tr>
    </w:tbl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A6743D" w:rsidRPr="00D76B09" w14:paraId="7F11AE8F" w14:textId="77777777" w:rsidTr="00A6743D">
        <w:tc>
          <w:tcPr>
            <w:tcW w:w="4593" w:type="dxa"/>
            <w:shd w:val="clear" w:color="auto" w:fill="auto"/>
          </w:tcPr>
          <w:p w14:paraId="579A627B" w14:textId="77777777" w:rsidR="00A6743D" w:rsidRPr="00D76B09" w:rsidRDefault="00A6743D" w:rsidP="00A6743D">
            <w:pPr>
              <w:spacing w:before="120" w:after="120"/>
              <w:rPr>
                <w:b/>
              </w:rPr>
            </w:pPr>
            <w:r w:rsidRPr="00D76B09">
              <w:rPr>
                <w:b/>
              </w:rPr>
              <w:t xml:space="preserve">Sub-Committee of Experts on the Transport </w:t>
            </w:r>
            <w:r w:rsidRPr="00D76B09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58C0FF5E" w14:textId="77777777" w:rsidR="00A6743D" w:rsidRPr="00D76B09" w:rsidRDefault="00A6743D" w:rsidP="00A6743D">
            <w:pPr>
              <w:spacing w:before="120"/>
              <w:rPr>
                <w:b/>
              </w:rPr>
            </w:pPr>
            <w:r w:rsidRPr="00D76B09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A6743D" w:rsidRPr="00D76B09" w14:paraId="4C950D29" w14:textId="77777777" w:rsidTr="00A6743D">
        <w:tc>
          <w:tcPr>
            <w:tcW w:w="4593" w:type="dxa"/>
            <w:shd w:val="clear" w:color="auto" w:fill="auto"/>
          </w:tcPr>
          <w:p w14:paraId="646295FD" w14:textId="5D81D91C" w:rsidR="00A6743D" w:rsidRPr="00D76B09" w:rsidRDefault="00A6743D" w:rsidP="00A6743D">
            <w:pPr>
              <w:rPr>
                <w:b/>
              </w:rPr>
            </w:pPr>
            <w:r w:rsidRPr="00D76B09">
              <w:rPr>
                <w:b/>
              </w:rPr>
              <w:t>Fifty-</w:t>
            </w:r>
            <w:r>
              <w:rPr>
                <w:b/>
              </w:rPr>
              <w:t>fifth</w:t>
            </w:r>
            <w:r w:rsidRPr="00D76B09">
              <w:rPr>
                <w:b/>
              </w:rPr>
              <w:t xml:space="preserve"> session</w:t>
            </w:r>
          </w:p>
        </w:tc>
        <w:tc>
          <w:tcPr>
            <w:tcW w:w="5046" w:type="dxa"/>
            <w:shd w:val="clear" w:color="auto" w:fill="auto"/>
          </w:tcPr>
          <w:p w14:paraId="3520F649" w14:textId="42E55FC7" w:rsidR="00A6743D" w:rsidRPr="00D76B09" w:rsidRDefault="00A6743D" w:rsidP="00A6743D">
            <w:pPr>
              <w:rPr>
                <w:b/>
              </w:rPr>
            </w:pPr>
            <w:r w:rsidRPr="00D76B09">
              <w:rPr>
                <w:b/>
              </w:rPr>
              <w:t>Thirty-</w:t>
            </w:r>
            <w:r>
              <w:rPr>
                <w:b/>
              </w:rPr>
              <w:t>seventh</w:t>
            </w:r>
            <w:r w:rsidRPr="00D76B09">
              <w:rPr>
                <w:b/>
              </w:rPr>
              <w:t xml:space="preserve"> session</w:t>
            </w:r>
          </w:p>
        </w:tc>
      </w:tr>
      <w:tr w:rsidR="00A6743D" w:rsidRPr="00012035" w14:paraId="1228EDAD" w14:textId="77777777" w:rsidTr="00A6743D">
        <w:trPr>
          <w:trHeight w:val="1016"/>
        </w:trPr>
        <w:tc>
          <w:tcPr>
            <w:tcW w:w="4593" w:type="dxa"/>
            <w:shd w:val="clear" w:color="auto" w:fill="auto"/>
          </w:tcPr>
          <w:p w14:paraId="0D26B20B" w14:textId="45E95A20" w:rsidR="00A6743D" w:rsidRDefault="00A6743D" w:rsidP="00A6743D">
            <w:pPr>
              <w:ind w:right="57"/>
            </w:pPr>
            <w:r>
              <w:t>Geneva, 1-5 July 2019</w:t>
            </w:r>
          </w:p>
          <w:p w14:paraId="208902CD" w14:textId="20323685" w:rsidR="00A6743D" w:rsidRPr="005A0185" w:rsidRDefault="00A6743D" w:rsidP="00A6743D">
            <w:pPr>
              <w:ind w:right="57"/>
            </w:pPr>
            <w:r w:rsidRPr="005A0185">
              <w:t xml:space="preserve">Item </w:t>
            </w:r>
            <w:r>
              <w:t>2</w:t>
            </w:r>
            <w:r w:rsidRPr="005A0185">
              <w:t xml:space="preserve"> (</w:t>
            </w:r>
            <w:r>
              <w:t>b</w:t>
            </w:r>
            <w:r w:rsidRPr="005A0185">
              <w:t>) of the provisional agenda</w:t>
            </w:r>
          </w:p>
          <w:p w14:paraId="1CC5E2DD" w14:textId="59317BE6" w:rsidR="00A6743D" w:rsidRPr="00277336" w:rsidRDefault="00277336" w:rsidP="00A6743D">
            <w:pPr>
              <w:ind w:right="57"/>
              <w:rPr>
                <w:b/>
                <w:bCs/>
              </w:rPr>
            </w:pPr>
            <w:r w:rsidRPr="00277336">
              <w:rPr>
                <w:b/>
                <w:bCs/>
              </w:rPr>
              <w:t>Explosives and related matters:</w:t>
            </w:r>
            <w:r>
              <w:rPr>
                <w:b/>
                <w:bCs/>
              </w:rPr>
              <w:br/>
            </w:r>
            <w:r w:rsidRPr="00277336">
              <w:rPr>
                <w:b/>
                <w:bCs/>
              </w:rPr>
              <w:t>improvement of test series 8</w:t>
            </w:r>
          </w:p>
        </w:tc>
        <w:tc>
          <w:tcPr>
            <w:tcW w:w="5046" w:type="dxa"/>
            <w:shd w:val="clear" w:color="auto" w:fill="auto"/>
          </w:tcPr>
          <w:p w14:paraId="6E9D0323" w14:textId="5B9A45D0" w:rsidR="00A6743D" w:rsidRDefault="00A6743D" w:rsidP="00A6743D">
            <w:r>
              <w:t>Geneva, 8-10 July 2019</w:t>
            </w:r>
          </w:p>
          <w:p w14:paraId="188E412A" w14:textId="316E2E9C" w:rsidR="00A6743D" w:rsidRPr="005A0185" w:rsidRDefault="00A6743D" w:rsidP="00A6743D">
            <w:r w:rsidRPr="005A0185">
              <w:t xml:space="preserve">Item </w:t>
            </w:r>
            <w:r w:rsidR="000A6BBA">
              <w:t>2</w:t>
            </w:r>
            <w:r>
              <w:t xml:space="preserve"> (a)</w:t>
            </w:r>
            <w:r w:rsidRPr="005A0185">
              <w:t xml:space="preserve"> of the provisional agenda</w:t>
            </w:r>
          </w:p>
          <w:p w14:paraId="2466ADDE" w14:textId="77777777" w:rsidR="00A6743D" w:rsidRPr="00012035" w:rsidRDefault="00A6743D" w:rsidP="00A6743D">
            <w:pPr>
              <w:rPr>
                <w:b/>
                <w:bCs/>
              </w:rPr>
            </w:pPr>
            <w:r w:rsidRPr="00012035">
              <w:rPr>
                <w:b/>
                <w:bCs/>
              </w:rPr>
              <w:t>Classification criteria and related hazard communication:</w:t>
            </w:r>
            <w:r w:rsidRPr="00012035">
              <w:rPr>
                <w:b/>
                <w:bCs/>
              </w:rPr>
              <w:br/>
              <w:t>work of the Sub-Committee of Experts on the Transport of Dangerous Goods (TDG) on matters of interest to the GHS Sub-Committee</w:t>
            </w:r>
          </w:p>
        </w:tc>
      </w:tr>
    </w:tbl>
    <w:p w14:paraId="435AB9E1" w14:textId="647572A6" w:rsidR="00E41283" w:rsidRDefault="00363CCA" w:rsidP="000809F3">
      <w:pPr>
        <w:pStyle w:val="HChG"/>
      </w:pPr>
      <w:r>
        <w:tab/>
      </w:r>
      <w:r>
        <w:tab/>
      </w:r>
      <w:r w:rsidR="00F670E3">
        <w:t>E</w:t>
      </w:r>
      <w:proofErr w:type="spellStart"/>
      <w:r w:rsidR="00F670E3">
        <w:rPr>
          <w:lang w:val="en-US"/>
        </w:rPr>
        <w:t>xplanatory</w:t>
      </w:r>
      <w:proofErr w:type="spellEnd"/>
      <w:r w:rsidR="00F670E3">
        <w:rPr>
          <w:lang w:val="en-US"/>
        </w:rPr>
        <w:t xml:space="preserve"> text about applicable temperature limits in Appendix 6 of the Manual of Tests and Criteria</w:t>
      </w:r>
    </w:p>
    <w:p w14:paraId="75FD3243" w14:textId="614670AC" w:rsidR="00E41283" w:rsidRPr="00E41283" w:rsidRDefault="00E41283" w:rsidP="00E41283">
      <w:pPr>
        <w:pStyle w:val="H1G"/>
      </w:pPr>
      <w:r>
        <w:tab/>
      </w:r>
      <w:r>
        <w:tab/>
      </w:r>
      <w:r w:rsidR="006A5661" w:rsidRPr="0064541A">
        <w:rPr>
          <w:lang w:val="en-US"/>
        </w:rPr>
        <w:t>Transmitted by the European Chemical Industry Council (</w:t>
      </w:r>
      <w:r w:rsidR="009B4111">
        <w:rPr>
          <w:lang w:val="en-US"/>
        </w:rPr>
        <w:t>CEFIC</w:t>
      </w:r>
      <w:r w:rsidR="006A5661" w:rsidRPr="0064541A">
        <w:rPr>
          <w:lang w:val="en-US"/>
        </w:rPr>
        <w:t>)</w:t>
      </w:r>
      <w:r w:rsidR="009B35D8">
        <w:rPr>
          <w:rStyle w:val="FootnoteReference"/>
          <w:lang w:val="en-US"/>
        </w:rPr>
        <w:footnoteReference w:customMarkFollows="1" w:id="2"/>
        <w:t>*</w:t>
      </w:r>
    </w:p>
    <w:p w14:paraId="74159490" w14:textId="77777777" w:rsidR="00E41283" w:rsidRDefault="00E41283" w:rsidP="00E41283">
      <w:pPr>
        <w:pStyle w:val="HChG"/>
        <w:rPr>
          <w:szCs w:val="28"/>
        </w:rPr>
      </w:pPr>
      <w:r>
        <w:tab/>
      </w:r>
      <w:r>
        <w:tab/>
        <w:t>Introduction</w:t>
      </w:r>
    </w:p>
    <w:p w14:paraId="2C4D07F7" w14:textId="09B53BA0" w:rsidR="00A47091" w:rsidRPr="00FE40BE" w:rsidRDefault="00A47091" w:rsidP="00A47091">
      <w:pPr>
        <w:pStyle w:val="SingleTxtG"/>
        <w:numPr>
          <w:ilvl w:val="0"/>
          <w:numId w:val="17"/>
        </w:numPr>
        <w:tabs>
          <w:tab w:val="left" w:pos="1701"/>
        </w:tabs>
        <w:ind w:left="1134" w:firstLine="0"/>
      </w:pPr>
      <w:r w:rsidRPr="00A47091">
        <w:rPr>
          <w:lang w:val="en-US"/>
        </w:rPr>
        <w:t xml:space="preserve">Appendix 6 “Screening Procedures” of the Manual of Tests and Criteria contains a set of useful </w:t>
      </w:r>
      <w:r>
        <w:rPr>
          <w:lang w:val="en-US"/>
        </w:rPr>
        <w:t>criteria</w:t>
      </w:r>
      <w:r w:rsidRPr="00A47091">
        <w:rPr>
          <w:lang w:val="en-US"/>
        </w:rPr>
        <w:t xml:space="preserve"> to </w:t>
      </w:r>
      <w:r w:rsidR="00E91706">
        <w:rPr>
          <w:lang w:val="en-US"/>
        </w:rPr>
        <w:t>identify the need for testing</w:t>
      </w:r>
      <w:r w:rsidRPr="00A47091">
        <w:rPr>
          <w:lang w:val="en-US"/>
        </w:rPr>
        <w:t xml:space="preserve"> for </w:t>
      </w:r>
      <w:r w:rsidR="004A39F9">
        <w:rPr>
          <w:lang w:val="en-US"/>
        </w:rPr>
        <w:t>classification purposes</w:t>
      </w:r>
      <w:r w:rsidRPr="00A47091">
        <w:rPr>
          <w:lang w:val="en-US"/>
        </w:rPr>
        <w:t>.</w:t>
      </w:r>
    </w:p>
    <w:p w14:paraId="39C59CDA" w14:textId="305AB358" w:rsidR="00722589" w:rsidRPr="00722589" w:rsidRDefault="00FE40BE" w:rsidP="00722589">
      <w:pPr>
        <w:pStyle w:val="SingleTxtG"/>
        <w:numPr>
          <w:ilvl w:val="0"/>
          <w:numId w:val="17"/>
        </w:numPr>
        <w:tabs>
          <w:tab w:val="left" w:pos="1701"/>
        </w:tabs>
        <w:ind w:left="1134" w:firstLine="0"/>
        <w:rPr>
          <w:lang w:val="en-US"/>
        </w:rPr>
      </w:pPr>
      <w:r>
        <w:rPr>
          <w:lang w:val="en-US"/>
        </w:rPr>
        <w:t xml:space="preserve">Section 3.3 (c) in that </w:t>
      </w:r>
      <w:r w:rsidR="00E91706">
        <w:rPr>
          <w:lang w:val="en-US"/>
        </w:rPr>
        <w:t>appendix</w:t>
      </w:r>
      <w:r w:rsidR="00722589">
        <w:rPr>
          <w:lang w:val="en-US"/>
        </w:rPr>
        <w:t xml:space="preserve"> stipulates</w:t>
      </w:r>
      <w:r>
        <w:rPr>
          <w:lang w:val="en-US"/>
        </w:rPr>
        <w:t xml:space="preserve"> that for organic substances containing chemical groups associated with explosive properties the Class 1 acceptance procedure does not have to be applied:</w:t>
      </w:r>
    </w:p>
    <w:p w14:paraId="057EAD1B" w14:textId="77777777" w:rsidR="00FE40BE" w:rsidRPr="00052876" w:rsidRDefault="00FE40BE" w:rsidP="00FE40BE">
      <w:pPr>
        <w:pStyle w:val="SingleTxtG"/>
        <w:numPr>
          <w:ilvl w:val="1"/>
          <w:numId w:val="17"/>
        </w:numPr>
        <w:ind w:left="2268" w:hanging="567"/>
        <w:rPr>
          <w:lang w:val="en-US"/>
        </w:rPr>
      </w:pPr>
      <w:r>
        <w:rPr>
          <w:lang w:val="en-US"/>
        </w:rPr>
        <w:t>W</w:t>
      </w:r>
      <w:r w:rsidRPr="00052876">
        <w:rPr>
          <w:lang w:val="en-US"/>
        </w:rPr>
        <w:t>hen the exothermic decomposition energy is less than 500 J/g, or</w:t>
      </w:r>
    </w:p>
    <w:p w14:paraId="67C38E3E" w14:textId="6AFED2E9" w:rsidR="00FE40BE" w:rsidRPr="00052876" w:rsidRDefault="00FE40BE" w:rsidP="00FE40BE">
      <w:pPr>
        <w:pStyle w:val="SingleTxtG"/>
        <w:numPr>
          <w:ilvl w:val="1"/>
          <w:numId w:val="17"/>
        </w:numPr>
        <w:ind w:left="1701" w:firstLine="0"/>
        <w:rPr>
          <w:lang w:val="en-US"/>
        </w:rPr>
      </w:pPr>
      <w:r>
        <w:rPr>
          <w:lang w:val="en-US"/>
        </w:rPr>
        <w:t>W</w:t>
      </w:r>
      <w:r w:rsidRPr="00052876">
        <w:rPr>
          <w:lang w:val="en-US"/>
        </w:rPr>
        <w:t xml:space="preserve">hen the onset of exothermic decomposition is 500 °C or above as </w:t>
      </w:r>
      <w:r w:rsidRPr="00052876">
        <w:rPr>
          <w:lang w:val="en-US"/>
        </w:rPr>
        <w:tab/>
        <w:t>indicated by Table A6.2.</w:t>
      </w:r>
    </w:p>
    <w:p w14:paraId="5434CB85" w14:textId="7BC5E186" w:rsidR="00FE40BE" w:rsidRDefault="00FE40BE" w:rsidP="00FE40BE">
      <w:pPr>
        <w:pStyle w:val="SingleTxtG"/>
        <w:numPr>
          <w:ilvl w:val="0"/>
          <w:numId w:val="17"/>
        </w:numPr>
        <w:tabs>
          <w:tab w:val="left" w:pos="1701"/>
        </w:tabs>
        <w:ind w:left="1134" w:firstLine="0"/>
        <w:rPr>
          <w:lang w:val="en-US"/>
        </w:rPr>
      </w:pPr>
      <w:r>
        <w:rPr>
          <w:lang w:val="en-US"/>
        </w:rPr>
        <w:t>This text was adopted at the forty-third session of the Sub</w:t>
      </w:r>
      <w:r>
        <w:rPr>
          <w:lang w:val="en-US"/>
        </w:rPr>
        <w:noBreakHyphen/>
        <w:t xml:space="preserve">Committee (June 2013) as a result of a proposal submitted by Sweden (see ST/SG/AC.10/C.3/2013/8) with the intention of clarification. </w:t>
      </w:r>
      <w:r w:rsidR="00722589">
        <w:rPr>
          <w:lang w:val="en-US"/>
        </w:rPr>
        <w:t>Unfortunately,</w:t>
      </w:r>
      <w:r>
        <w:rPr>
          <w:lang w:val="en-US"/>
        </w:rPr>
        <w:t xml:space="preserve"> in this context an important information in the original text was </w:t>
      </w:r>
      <w:r w:rsidR="00E91706">
        <w:rPr>
          <w:lang w:val="en-US"/>
        </w:rPr>
        <w:t>deleted</w:t>
      </w:r>
      <w:r>
        <w:rPr>
          <w:lang w:val="en-US"/>
        </w:rPr>
        <w:t xml:space="preserve"> with respect to the temperature limit of 500 °C: </w:t>
      </w:r>
      <w:r w:rsidRPr="00052876">
        <w:rPr>
          <w:lang w:val="en-US"/>
        </w:rPr>
        <w:t xml:space="preserve">“The temperature limit is to prevent the procedure being applied to a large number of organic materials which are not explosive but which will decompose slowly above </w:t>
      </w:r>
      <w:r>
        <w:rPr>
          <w:lang w:val="en-US"/>
        </w:rPr>
        <w:t>500 ºC to release more than 500 </w:t>
      </w:r>
      <w:r w:rsidRPr="00052876">
        <w:rPr>
          <w:lang w:val="en-US"/>
        </w:rPr>
        <w:t>J/g”</w:t>
      </w:r>
      <w:r>
        <w:rPr>
          <w:lang w:val="en-US"/>
        </w:rPr>
        <w:t>.</w:t>
      </w:r>
    </w:p>
    <w:p w14:paraId="1DEF8DBA" w14:textId="093DAD1C" w:rsidR="00F74CAF" w:rsidRPr="005F4826" w:rsidRDefault="00F74CAF" w:rsidP="00FE40BE">
      <w:pPr>
        <w:pStyle w:val="SingleTxtG"/>
        <w:numPr>
          <w:ilvl w:val="0"/>
          <w:numId w:val="17"/>
        </w:numPr>
        <w:tabs>
          <w:tab w:val="left" w:pos="1701"/>
        </w:tabs>
        <w:ind w:left="1134" w:firstLine="0"/>
        <w:rPr>
          <w:lang w:val="en-US"/>
        </w:rPr>
      </w:pPr>
      <w:r>
        <w:rPr>
          <w:lang w:val="en-US"/>
        </w:rPr>
        <w:lastRenderedPageBreak/>
        <w:t>C</w:t>
      </w:r>
      <w:r w:rsidR="00C31773">
        <w:rPr>
          <w:lang w:val="en-US"/>
        </w:rPr>
        <w:t>EFIC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is of the opinion that</w:t>
      </w:r>
      <w:proofErr w:type="gramEnd"/>
      <w:r>
        <w:rPr>
          <w:lang w:val="en-US"/>
        </w:rPr>
        <w:t xml:space="preserve"> it would be helpful to re-introduce this sentence into the screening procedures for purposes of clarification.</w:t>
      </w:r>
    </w:p>
    <w:p w14:paraId="1A4A990E" w14:textId="720E14CD" w:rsidR="00775393" w:rsidRPr="006D26EA" w:rsidRDefault="00FE40BE" w:rsidP="00FE40BE">
      <w:pPr>
        <w:pStyle w:val="HChG"/>
        <w:rPr>
          <w:lang w:val="en-US"/>
        </w:rPr>
      </w:pPr>
      <w:r>
        <w:tab/>
      </w:r>
      <w:r>
        <w:tab/>
      </w:r>
      <w:r w:rsidR="00775393" w:rsidRPr="00775393">
        <w:t>Discussion</w:t>
      </w:r>
    </w:p>
    <w:p w14:paraId="22013B50" w14:textId="6697500C" w:rsidR="00CE1355" w:rsidRPr="00F74CAF" w:rsidRDefault="00FE40BE" w:rsidP="00FE40BE">
      <w:pPr>
        <w:pStyle w:val="SingleTxtG"/>
        <w:numPr>
          <w:ilvl w:val="0"/>
          <w:numId w:val="17"/>
        </w:numPr>
        <w:tabs>
          <w:tab w:val="left" w:pos="1701"/>
        </w:tabs>
        <w:ind w:left="1134" w:firstLine="0"/>
        <w:rPr>
          <w:lang w:val="en-US"/>
        </w:rPr>
      </w:pPr>
      <w:r>
        <w:rPr>
          <w:lang w:val="en-US"/>
        </w:rPr>
        <w:t>Currently, the second column of table A6.2 only mentions the decomposition onset but does not specify any upper limit for the evaluation of the measurement.</w:t>
      </w:r>
      <w:r w:rsidR="00F74CAF">
        <w:rPr>
          <w:lang w:val="en-US"/>
        </w:rPr>
        <w:t xml:space="preserve"> According to the third line of table 6.2, the Class 1 acceptance procedure should be performed in cases where a substance has a decomposition energy of </w:t>
      </w:r>
      <w:r w:rsidR="00F74CAF" w:rsidRPr="00EE16CC">
        <w:t>≥ 500</w:t>
      </w:r>
      <w:r w:rsidR="00F74CAF">
        <w:t xml:space="preserve"> J/g in combination with a decomposition onset below 500 °C. </w:t>
      </w:r>
    </w:p>
    <w:p w14:paraId="5B4C868B" w14:textId="45010621" w:rsidR="0079264E" w:rsidRPr="0079264E" w:rsidRDefault="00F74CAF" w:rsidP="00FE40BE">
      <w:pPr>
        <w:pStyle w:val="SingleTxtG"/>
        <w:numPr>
          <w:ilvl w:val="0"/>
          <w:numId w:val="17"/>
        </w:numPr>
        <w:tabs>
          <w:tab w:val="left" w:pos="1701"/>
        </w:tabs>
        <w:ind w:left="1134" w:firstLine="0"/>
        <w:rPr>
          <w:lang w:val="en-US"/>
        </w:rPr>
      </w:pPr>
      <w:r>
        <w:t>In case a substance has several decomposition peaks</w:t>
      </w:r>
      <w:r w:rsidR="00722589">
        <w:t xml:space="preserve"> in the DSC measurement</w:t>
      </w:r>
      <w:r>
        <w:t xml:space="preserve"> – for example 400 J/g in the range of 200-350 °C and 150 J/g in the range of 480 to 700 °C </w:t>
      </w:r>
      <w:r w:rsidR="000A6BBA">
        <w:t>–</w:t>
      </w:r>
      <w:r>
        <w:t xml:space="preserve"> this could be interpreted as having </w:t>
      </w:r>
      <w:r w:rsidR="0079264E">
        <w:t xml:space="preserve">a total of </w:t>
      </w:r>
      <w:r>
        <w:t xml:space="preserve">550 J/g </w:t>
      </w:r>
      <w:r w:rsidR="0079264E">
        <w:t>with an onset below 500 °C and thus establishing the need to test for Class 1.</w:t>
      </w:r>
    </w:p>
    <w:p w14:paraId="365902EB" w14:textId="5A161095" w:rsidR="0079264E" w:rsidRPr="0079264E" w:rsidRDefault="0079264E" w:rsidP="00FE40BE">
      <w:pPr>
        <w:pStyle w:val="SingleTxtG"/>
        <w:numPr>
          <w:ilvl w:val="0"/>
          <w:numId w:val="17"/>
        </w:numPr>
        <w:tabs>
          <w:tab w:val="left" w:pos="1701"/>
        </w:tabs>
        <w:ind w:left="1134" w:firstLine="0"/>
        <w:rPr>
          <w:lang w:val="en-US"/>
        </w:rPr>
      </w:pPr>
      <w:r>
        <w:t xml:space="preserve">According to the original explanatory text above, such interpretation would not be correct. </w:t>
      </w:r>
      <w:r w:rsidR="00C52B1C">
        <w:t>In the example above, only the first exotherm of 400 J/g should count, and the class</w:t>
      </w:r>
      <w:r w:rsidR="004A39F9">
        <w:t> </w:t>
      </w:r>
      <w:r w:rsidR="00C52B1C">
        <w:t>1 acceptance procedure should be waived.</w:t>
      </w:r>
    </w:p>
    <w:p w14:paraId="7F3D9A11" w14:textId="4EBDF0FA" w:rsidR="0079264E" w:rsidRPr="0079264E" w:rsidRDefault="00C52B1C" w:rsidP="00FE40BE">
      <w:pPr>
        <w:pStyle w:val="SingleTxtG"/>
        <w:numPr>
          <w:ilvl w:val="0"/>
          <w:numId w:val="17"/>
        </w:numPr>
        <w:tabs>
          <w:tab w:val="left" w:pos="1701"/>
        </w:tabs>
        <w:ind w:left="1134" w:firstLine="0"/>
        <w:rPr>
          <w:lang w:val="en-US"/>
        </w:rPr>
      </w:pPr>
      <w:r>
        <w:t>It is commonly known that all energetic organic molecules are decomposed up to 500</w:t>
      </w:r>
      <w:r w:rsidR="000A6BBA">
        <w:t> </w:t>
      </w:r>
      <w:r>
        <w:t xml:space="preserve">°C; only slow secondary reactions between inorganic compounds may take place at or above such temperatures. </w:t>
      </w:r>
      <w:r w:rsidR="0079264E">
        <w:t>These reactions do not contribute to a rapid explosive decomposition and thus are of no relevance for the evaluation with respect to explosive properties.</w:t>
      </w:r>
    </w:p>
    <w:p w14:paraId="55E6D7B1" w14:textId="275101A0" w:rsidR="00F74CAF" w:rsidRPr="0079264E" w:rsidRDefault="0079264E" w:rsidP="0079264E">
      <w:pPr>
        <w:pStyle w:val="SingleTxtG"/>
        <w:numPr>
          <w:ilvl w:val="0"/>
          <w:numId w:val="17"/>
        </w:numPr>
        <w:tabs>
          <w:tab w:val="left" w:pos="1701"/>
        </w:tabs>
        <w:ind w:left="1134" w:firstLine="0"/>
        <w:rPr>
          <w:lang w:val="en-US"/>
        </w:rPr>
      </w:pPr>
      <w:r>
        <w:rPr>
          <w:lang w:val="en-US"/>
        </w:rPr>
        <w:t>Therefore, it would be helpful to clarify that the upper range for the evaluation of the decomposition energy should be 500 °C. Substances with a decomposition energy less than 500 J/g in a temperature range up to 500 °C should not be classified as explosive of Class 1.</w:t>
      </w:r>
      <w:r>
        <w:t xml:space="preserve"> </w:t>
      </w:r>
      <w:r w:rsidR="00F74CAF">
        <w:t xml:space="preserve"> </w:t>
      </w:r>
    </w:p>
    <w:p w14:paraId="4DB74EF2" w14:textId="28CF6CE3" w:rsidR="002E10DE" w:rsidRDefault="00687D2F" w:rsidP="002E10DE">
      <w:pPr>
        <w:pStyle w:val="HChG"/>
      </w:pPr>
      <w:r>
        <w:tab/>
      </w:r>
      <w:r>
        <w:tab/>
      </w:r>
      <w:r w:rsidR="002E10DE">
        <w:t>Proposal</w:t>
      </w:r>
    </w:p>
    <w:p w14:paraId="412685FB" w14:textId="2FA26372" w:rsidR="001D5BCE" w:rsidRPr="001D5BCE" w:rsidRDefault="000A6BBA" w:rsidP="000A6BBA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</w:r>
      <w:r>
        <w:rPr>
          <w:lang w:val="en-US"/>
        </w:rPr>
        <w:tab/>
      </w:r>
      <w:r w:rsidR="001D5BCE">
        <w:rPr>
          <w:lang w:val="en-US"/>
        </w:rPr>
        <w:t xml:space="preserve">Reintroduce the explanatory text about the temperature limit in the Manual of Tests and Criteria, Appendix 6, section 3.3 (c) to read </w:t>
      </w:r>
      <w:r w:rsidR="001D5BCE">
        <w:t xml:space="preserve">(new text is </w:t>
      </w:r>
      <w:r w:rsidR="001D5BCE" w:rsidRPr="00CD747F">
        <w:rPr>
          <w:u w:val="single"/>
        </w:rPr>
        <w:t>underlined</w:t>
      </w:r>
      <w:r w:rsidR="001D5BCE">
        <w:t xml:space="preserve">; deleted text is </w:t>
      </w:r>
      <w:r w:rsidR="001D5BCE" w:rsidRPr="00CD747F">
        <w:rPr>
          <w:strike/>
        </w:rPr>
        <w:t>crossed out</w:t>
      </w:r>
      <w:r w:rsidR="001D5BCE">
        <w:t>):</w:t>
      </w:r>
    </w:p>
    <w:p w14:paraId="17530C74" w14:textId="779CA233" w:rsidR="001D5BCE" w:rsidRPr="001D5BCE" w:rsidRDefault="00C029EA" w:rsidP="006A3BD5">
      <w:pPr>
        <w:pStyle w:val="SingleTxtG"/>
        <w:tabs>
          <w:tab w:val="left" w:pos="1701"/>
        </w:tabs>
        <w:ind w:left="1701" w:hanging="141"/>
        <w:rPr>
          <w:lang w:val="en-US"/>
        </w:rPr>
      </w:pPr>
      <w:r>
        <w:rPr>
          <w:rFonts w:ascii="TimesNewRomanPSMT" w:hAnsi="TimesNewRomanPSMT" w:cs="TimesNewRomanPSMT"/>
          <w:sz w:val="22"/>
          <w:szCs w:val="22"/>
          <w:lang w:val="en-US" w:eastAsia="en-GB"/>
        </w:rPr>
        <w:t>“</w:t>
      </w:r>
      <w:r w:rsidR="007348BB">
        <w:rPr>
          <w:rFonts w:ascii="TimesNewRomanPSMT" w:hAnsi="TimesNewRomanPSMT" w:cs="TimesNewRomanPSMT"/>
          <w:sz w:val="22"/>
          <w:szCs w:val="22"/>
          <w:lang w:val="en-US" w:eastAsia="en-GB"/>
        </w:rPr>
        <w:t>(</w:t>
      </w:r>
      <w:r w:rsidR="001D5BCE" w:rsidRPr="001D5BCE">
        <w:rPr>
          <w:lang w:val="en-US"/>
        </w:rPr>
        <w:t>c) For the organic substance or a homogenous mixture of organic substances containing</w:t>
      </w:r>
      <w:r w:rsidR="001D5BCE">
        <w:rPr>
          <w:lang w:val="en-US"/>
        </w:rPr>
        <w:t xml:space="preserve"> </w:t>
      </w:r>
      <w:r w:rsidR="001D5BCE" w:rsidRPr="001D5BCE">
        <w:rPr>
          <w:lang w:val="en-US"/>
        </w:rPr>
        <w:t>chemical group (or groups) associated with explosive properties:</w:t>
      </w:r>
    </w:p>
    <w:p w14:paraId="6811786F" w14:textId="4CA37637" w:rsidR="001D5BCE" w:rsidRPr="001D5BCE" w:rsidRDefault="00C029EA" w:rsidP="00C76C20">
      <w:pPr>
        <w:pStyle w:val="SingleTxtG"/>
        <w:tabs>
          <w:tab w:val="left" w:pos="1418"/>
        </w:tabs>
        <w:ind w:left="1560"/>
        <w:rPr>
          <w:lang w:val="en-US"/>
        </w:rPr>
      </w:pPr>
      <w:r>
        <w:rPr>
          <w:lang w:val="en-US"/>
        </w:rPr>
        <w:tab/>
        <w:t>-</w:t>
      </w:r>
      <w:r w:rsidR="00C76C20">
        <w:rPr>
          <w:lang w:val="en-US"/>
        </w:rPr>
        <w:tab/>
      </w:r>
      <w:r w:rsidR="001D5BCE" w:rsidRPr="001D5BCE">
        <w:rPr>
          <w:lang w:val="en-US"/>
        </w:rPr>
        <w:t>when the exothermic decomposition energy is less than 500 J/g, or</w:t>
      </w:r>
    </w:p>
    <w:p w14:paraId="753C22A1" w14:textId="20264E26" w:rsidR="001D5BCE" w:rsidRDefault="001D5BCE" w:rsidP="00202885">
      <w:pPr>
        <w:pStyle w:val="SingleTxtG"/>
        <w:tabs>
          <w:tab w:val="left" w:pos="1418"/>
        </w:tabs>
        <w:ind w:left="2268" w:hanging="567"/>
        <w:rPr>
          <w:lang w:val="en-US"/>
        </w:rPr>
      </w:pPr>
      <w:r w:rsidRPr="001D5BCE">
        <w:rPr>
          <w:lang w:val="en-US"/>
        </w:rPr>
        <w:t xml:space="preserve">- </w:t>
      </w:r>
      <w:r w:rsidR="00C76C20">
        <w:rPr>
          <w:lang w:val="en-US"/>
        </w:rPr>
        <w:tab/>
      </w:r>
      <w:r w:rsidRPr="001D5BCE">
        <w:rPr>
          <w:lang w:val="en-US"/>
        </w:rPr>
        <w:t>when the onset of exothermic decomposition is 500 °C or above as indicated by</w:t>
      </w:r>
      <w:r>
        <w:rPr>
          <w:lang w:val="en-US"/>
        </w:rPr>
        <w:t xml:space="preserve"> Table A6.2</w:t>
      </w:r>
      <w:r w:rsidR="004A39F9">
        <w:rPr>
          <w:lang w:val="en-US"/>
        </w:rPr>
        <w:t>.</w:t>
      </w:r>
      <w:r>
        <w:rPr>
          <w:lang w:val="en-US"/>
        </w:rPr>
        <w:t xml:space="preserve"> </w:t>
      </w:r>
    </w:p>
    <w:p w14:paraId="7E52FCED" w14:textId="27FE395E" w:rsidR="00EE16CC" w:rsidRPr="00EE16CC" w:rsidRDefault="00EE16CC" w:rsidP="00EE16CC">
      <w:pPr>
        <w:pStyle w:val="SingleTxtG"/>
        <w:rPr>
          <w:b/>
          <w:bCs/>
        </w:rPr>
      </w:pPr>
      <w:r w:rsidRPr="00EE16CC">
        <w:rPr>
          <w:b/>
          <w:bCs/>
        </w:rPr>
        <w:tab/>
        <w:t>Table A6.2</w:t>
      </w:r>
      <w:r w:rsidRPr="00EE16CC">
        <w:rPr>
          <w:b/>
          <w:bCs/>
        </w:rPr>
        <w:tab/>
        <w:t xml:space="preserve"> DECISION TO APPLY THE ACCEPTANCE PROCEDURE FOR CLASS 1 FOR AN ORGANIC SUBSTANCE OR A HOMOGENOUS MIXTURE OF ORGANIC SUBSTANCES</w:t>
      </w: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2835"/>
      </w:tblGrid>
      <w:tr w:rsidR="00EE16CC" w:rsidRPr="00EE16CC" w14:paraId="12368D8B" w14:textId="77777777" w:rsidTr="008B1843">
        <w:tc>
          <w:tcPr>
            <w:tcW w:w="2127" w:type="dxa"/>
            <w:shd w:val="clear" w:color="auto" w:fill="auto"/>
          </w:tcPr>
          <w:p w14:paraId="232B9243" w14:textId="77777777" w:rsidR="00EE16CC" w:rsidRPr="00EE16CC" w:rsidRDefault="00EE16CC" w:rsidP="008B1843">
            <w:pPr>
              <w:ind w:left="476"/>
              <w:rPr>
                <w:b/>
              </w:rPr>
            </w:pPr>
            <w:r w:rsidRPr="00EE16CC">
              <w:rPr>
                <w:b/>
              </w:rPr>
              <w:t>Decomposition</w:t>
            </w:r>
            <w:r w:rsidRPr="00EE16CC">
              <w:rPr>
                <w:b/>
              </w:rPr>
              <w:br/>
              <w:t>energy (J/g)</w:t>
            </w:r>
          </w:p>
        </w:tc>
        <w:tc>
          <w:tcPr>
            <w:tcW w:w="2409" w:type="dxa"/>
            <w:shd w:val="clear" w:color="auto" w:fill="auto"/>
          </w:tcPr>
          <w:p w14:paraId="5996CEC8" w14:textId="77777777" w:rsidR="00EE16CC" w:rsidRPr="00EE16CC" w:rsidRDefault="00EE16CC" w:rsidP="008B1843">
            <w:pPr>
              <w:ind w:left="284"/>
              <w:rPr>
                <w:b/>
              </w:rPr>
            </w:pPr>
            <w:r w:rsidRPr="00EE16CC">
              <w:rPr>
                <w:b/>
              </w:rPr>
              <w:t>Decomposition onset temperature (</w:t>
            </w:r>
            <w:r w:rsidRPr="00EE16CC">
              <w:t>°C)</w:t>
            </w:r>
          </w:p>
        </w:tc>
        <w:tc>
          <w:tcPr>
            <w:tcW w:w="2835" w:type="dxa"/>
            <w:shd w:val="clear" w:color="auto" w:fill="auto"/>
          </w:tcPr>
          <w:p w14:paraId="0987C293" w14:textId="77777777" w:rsidR="00EE16CC" w:rsidRPr="00EE16CC" w:rsidRDefault="00EE16CC" w:rsidP="008B1843">
            <w:pPr>
              <w:ind w:left="142"/>
              <w:jc w:val="center"/>
              <w:rPr>
                <w:b/>
              </w:rPr>
            </w:pPr>
            <w:r w:rsidRPr="00EE16CC">
              <w:rPr>
                <w:b/>
              </w:rPr>
              <w:t>Apply acceptance procedure for Class 1?</w:t>
            </w:r>
          </w:p>
          <w:p w14:paraId="384034CE" w14:textId="77777777" w:rsidR="00EE16CC" w:rsidRPr="00EE16CC" w:rsidRDefault="00EE16CC" w:rsidP="008B1843">
            <w:pPr>
              <w:ind w:left="142"/>
              <w:jc w:val="center"/>
              <w:rPr>
                <w:b/>
              </w:rPr>
            </w:pPr>
            <w:r w:rsidRPr="00EE16CC">
              <w:rPr>
                <w:b/>
              </w:rPr>
              <w:t>(Yes/No)</w:t>
            </w:r>
          </w:p>
        </w:tc>
      </w:tr>
      <w:tr w:rsidR="00EE16CC" w:rsidRPr="00EE16CC" w14:paraId="6129E266" w14:textId="77777777" w:rsidTr="008B1843">
        <w:tc>
          <w:tcPr>
            <w:tcW w:w="2127" w:type="dxa"/>
            <w:shd w:val="clear" w:color="auto" w:fill="auto"/>
          </w:tcPr>
          <w:p w14:paraId="51E0C4A4" w14:textId="77777777" w:rsidR="00EE16CC" w:rsidRPr="00EE16CC" w:rsidRDefault="00EE16CC" w:rsidP="008B1843">
            <w:pPr>
              <w:ind w:left="476"/>
              <w:jc w:val="center"/>
            </w:pPr>
            <w:r w:rsidRPr="00EE16CC">
              <w:t>&lt; 500</w:t>
            </w:r>
          </w:p>
        </w:tc>
        <w:tc>
          <w:tcPr>
            <w:tcW w:w="2409" w:type="dxa"/>
            <w:shd w:val="clear" w:color="auto" w:fill="auto"/>
          </w:tcPr>
          <w:p w14:paraId="36E4BBCB" w14:textId="77777777" w:rsidR="00EE16CC" w:rsidRPr="00EE16CC" w:rsidRDefault="00EE16CC" w:rsidP="008B1843">
            <w:pPr>
              <w:ind w:left="476"/>
              <w:jc w:val="center"/>
            </w:pPr>
            <w:r w:rsidRPr="00EE16CC">
              <w:t>&lt; 500</w:t>
            </w:r>
          </w:p>
        </w:tc>
        <w:tc>
          <w:tcPr>
            <w:tcW w:w="2835" w:type="dxa"/>
            <w:shd w:val="clear" w:color="auto" w:fill="auto"/>
          </w:tcPr>
          <w:p w14:paraId="00052A06" w14:textId="77777777" w:rsidR="00EE16CC" w:rsidRPr="00EE16CC" w:rsidRDefault="00EE16CC" w:rsidP="008B1843">
            <w:pPr>
              <w:ind w:left="142"/>
              <w:jc w:val="center"/>
            </w:pPr>
            <w:r w:rsidRPr="00EE16CC">
              <w:t>No</w:t>
            </w:r>
          </w:p>
        </w:tc>
      </w:tr>
      <w:tr w:rsidR="00EE16CC" w:rsidRPr="00EE16CC" w14:paraId="594F77E9" w14:textId="77777777" w:rsidTr="008B1843">
        <w:tc>
          <w:tcPr>
            <w:tcW w:w="2127" w:type="dxa"/>
            <w:shd w:val="clear" w:color="auto" w:fill="auto"/>
          </w:tcPr>
          <w:p w14:paraId="1EDF4211" w14:textId="77777777" w:rsidR="00EE16CC" w:rsidRPr="00EE16CC" w:rsidRDefault="00EE16CC" w:rsidP="008B1843">
            <w:pPr>
              <w:ind w:left="476"/>
              <w:jc w:val="center"/>
            </w:pPr>
            <w:r w:rsidRPr="00EE16CC">
              <w:t>&lt; 500</w:t>
            </w:r>
          </w:p>
        </w:tc>
        <w:tc>
          <w:tcPr>
            <w:tcW w:w="2409" w:type="dxa"/>
            <w:shd w:val="clear" w:color="auto" w:fill="auto"/>
          </w:tcPr>
          <w:p w14:paraId="75F653CC" w14:textId="77777777" w:rsidR="00EE16CC" w:rsidRPr="00EE16CC" w:rsidRDefault="00EE16CC" w:rsidP="008B1843">
            <w:pPr>
              <w:ind w:left="476"/>
              <w:jc w:val="center"/>
            </w:pPr>
            <w:r w:rsidRPr="00EE16CC">
              <w:t>≥ 500</w:t>
            </w:r>
          </w:p>
        </w:tc>
        <w:tc>
          <w:tcPr>
            <w:tcW w:w="2835" w:type="dxa"/>
            <w:shd w:val="clear" w:color="auto" w:fill="auto"/>
          </w:tcPr>
          <w:p w14:paraId="05F9C035" w14:textId="77777777" w:rsidR="00EE16CC" w:rsidRPr="00EE16CC" w:rsidRDefault="00EE16CC" w:rsidP="008B1843">
            <w:pPr>
              <w:ind w:left="142"/>
              <w:jc w:val="center"/>
            </w:pPr>
            <w:r w:rsidRPr="00EE16CC">
              <w:t>No</w:t>
            </w:r>
          </w:p>
        </w:tc>
      </w:tr>
      <w:tr w:rsidR="00EE16CC" w:rsidRPr="00EE16CC" w14:paraId="196426D5" w14:textId="77777777" w:rsidTr="008B1843">
        <w:tc>
          <w:tcPr>
            <w:tcW w:w="2127" w:type="dxa"/>
            <w:shd w:val="clear" w:color="auto" w:fill="auto"/>
          </w:tcPr>
          <w:p w14:paraId="58B80A7F" w14:textId="77777777" w:rsidR="00EE16CC" w:rsidRPr="00EE16CC" w:rsidRDefault="00EE16CC" w:rsidP="008B1843">
            <w:pPr>
              <w:ind w:left="476"/>
              <w:jc w:val="center"/>
            </w:pPr>
            <w:r w:rsidRPr="00EE16CC">
              <w:t>≥ 500</w:t>
            </w:r>
          </w:p>
        </w:tc>
        <w:tc>
          <w:tcPr>
            <w:tcW w:w="2409" w:type="dxa"/>
            <w:shd w:val="clear" w:color="auto" w:fill="auto"/>
          </w:tcPr>
          <w:p w14:paraId="277796B6" w14:textId="77777777" w:rsidR="00EE16CC" w:rsidRPr="00EE16CC" w:rsidRDefault="00EE16CC" w:rsidP="008B1843">
            <w:pPr>
              <w:ind w:left="476"/>
              <w:jc w:val="center"/>
            </w:pPr>
            <w:r w:rsidRPr="00EE16CC">
              <w:t>&lt; 500</w:t>
            </w:r>
          </w:p>
        </w:tc>
        <w:tc>
          <w:tcPr>
            <w:tcW w:w="2835" w:type="dxa"/>
            <w:shd w:val="clear" w:color="auto" w:fill="auto"/>
          </w:tcPr>
          <w:p w14:paraId="31DD7F29" w14:textId="77777777" w:rsidR="00EE16CC" w:rsidRPr="00EE16CC" w:rsidRDefault="00EE16CC" w:rsidP="008B1843">
            <w:pPr>
              <w:ind w:left="142"/>
              <w:jc w:val="center"/>
            </w:pPr>
            <w:r w:rsidRPr="00EE16CC">
              <w:t>Yes</w:t>
            </w:r>
          </w:p>
        </w:tc>
      </w:tr>
      <w:tr w:rsidR="00EE16CC" w:rsidRPr="00EE16CC" w14:paraId="1CDFB247" w14:textId="77777777" w:rsidTr="008B1843">
        <w:tc>
          <w:tcPr>
            <w:tcW w:w="2127" w:type="dxa"/>
            <w:shd w:val="clear" w:color="auto" w:fill="auto"/>
          </w:tcPr>
          <w:p w14:paraId="3232722D" w14:textId="77777777" w:rsidR="00EE16CC" w:rsidRPr="00EE16CC" w:rsidRDefault="00EE16CC" w:rsidP="008B1843">
            <w:pPr>
              <w:ind w:left="476"/>
              <w:jc w:val="center"/>
            </w:pPr>
            <w:r w:rsidRPr="00EE16CC">
              <w:t>≥ 500</w:t>
            </w:r>
          </w:p>
        </w:tc>
        <w:tc>
          <w:tcPr>
            <w:tcW w:w="2409" w:type="dxa"/>
            <w:shd w:val="clear" w:color="auto" w:fill="auto"/>
          </w:tcPr>
          <w:p w14:paraId="5452F60C" w14:textId="77777777" w:rsidR="00EE16CC" w:rsidRPr="00EE16CC" w:rsidRDefault="00EE16CC" w:rsidP="008B1843">
            <w:pPr>
              <w:ind w:left="476"/>
              <w:jc w:val="center"/>
            </w:pPr>
            <w:r w:rsidRPr="00EE16CC">
              <w:t>≥ 500</w:t>
            </w:r>
          </w:p>
        </w:tc>
        <w:tc>
          <w:tcPr>
            <w:tcW w:w="2835" w:type="dxa"/>
            <w:shd w:val="clear" w:color="auto" w:fill="auto"/>
          </w:tcPr>
          <w:p w14:paraId="0DB61210" w14:textId="77777777" w:rsidR="00EE16CC" w:rsidRPr="00EE16CC" w:rsidRDefault="00EE16CC" w:rsidP="008B1843">
            <w:pPr>
              <w:ind w:left="142"/>
              <w:jc w:val="center"/>
            </w:pPr>
            <w:r w:rsidRPr="00EE16CC">
              <w:t>No</w:t>
            </w:r>
          </w:p>
        </w:tc>
      </w:tr>
    </w:tbl>
    <w:p w14:paraId="002A7B33" w14:textId="7890CFF5" w:rsidR="001D5BCE" w:rsidRPr="007348BB" w:rsidRDefault="004A39F9" w:rsidP="009B3CAF">
      <w:pPr>
        <w:pStyle w:val="SingleTxtG"/>
        <w:tabs>
          <w:tab w:val="left" w:pos="1701"/>
        </w:tabs>
        <w:spacing w:before="120"/>
        <w:rPr>
          <w:lang w:val="en-US"/>
        </w:rPr>
      </w:pPr>
      <w:r>
        <w:rPr>
          <w:u w:val="single"/>
          <w:lang w:val="en-US"/>
        </w:rPr>
        <w:lastRenderedPageBreak/>
        <w:t>T</w:t>
      </w:r>
      <w:r w:rsidRPr="001D5BCE">
        <w:rPr>
          <w:u w:val="single"/>
          <w:lang w:val="en-US"/>
        </w:rPr>
        <w:t>he temperature limit is to prevent the procedure being applied to a large number of organic molecules which are not explosive but which will decompose slowly above 500 °C to release more than 500 J/g.</w:t>
      </w:r>
      <w:r>
        <w:rPr>
          <w:u w:val="single"/>
          <w:lang w:val="en-US"/>
        </w:rPr>
        <w:t xml:space="preserve"> </w:t>
      </w:r>
      <w:r w:rsidR="001D5BCE" w:rsidRPr="007348BB">
        <w:rPr>
          <w:lang w:val="en-US"/>
        </w:rPr>
        <w:t xml:space="preserve">The exothermic decomposition energy </w:t>
      </w:r>
      <w:r w:rsidR="00C52B1C" w:rsidRPr="00C52B1C">
        <w:rPr>
          <w:u w:val="single"/>
          <w:lang w:val="en-US"/>
        </w:rPr>
        <w:t>should therefore be evaluated with an upper temperature limit of 500 °C and</w:t>
      </w:r>
      <w:r w:rsidR="00C52B1C">
        <w:rPr>
          <w:lang w:val="en-US"/>
        </w:rPr>
        <w:t xml:space="preserve"> </w:t>
      </w:r>
      <w:r w:rsidR="001D5BCE" w:rsidRPr="007348BB">
        <w:rPr>
          <w:lang w:val="en-US"/>
        </w:rPr>
        <w:t>may be determined using a suitable calorimetric technique (see 20.3.3.3); or”</w:t>
      </w:r>
    </w:p>
    <w:p w14:paraId="6E435B9F" w14:textId="6CA35BE1" w:rsidR="002E10DE" w:rsidRPr="002E10DE" w:rsidRDefault="002E10DE" w:rsidP="002E10DE">
      <w:pPr>
        <w:pStyle w:val="ListParagraph"/>
        <w:tabs>
          <w:tab w:val="left" w:pos="1855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2E10DE" w:rsidRPr="002E10DE" w:rsidSect="00D86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5FBEA" w14:textId="77777777" w:rsidR="00A6743D" w:rsidRDefault="00A6743D"/>
  </w:endnote>
  <w:endnote w:type="continuationSeparator" w:id="0">
    <w:p w14:paraId="6AF16231" w14:textId="77777777" w:rsidR="00A6743D" w:rsidRDefault="00A6743D"/>
  </w:endnote>
  <w:endnote w:type="continuationNotice" w:id="1">
    <w:p w14:paraId="3D16D383" w14:textId="77777777" w:rsidR="00A6743D" w:rsidRDefault="00A67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6404" w14:textId="6C36FCE8" w:rsidR="00A6743D" w:rsidRPr="00556E07" w:rsidRDefault="00A6743D" w:rsidP="00556E07">
    <w:pPr>
      <w:pStyle w:val="Footer"/>
      <w:rPr>
        <w:sz w:val="18"/>
        <w:szCs w:val="22"/>
      </w:rPr>
    </w:pPr>
    <w:r w:rsidRPr="00556E07">
      <w:rPr>
        <w:b/>
        <w:sz w:val="18"/>
        <w:szCs w:val="22"/>
      </w:rPr>
      <w:fldChar w:fldCharType="begin"/>
    </w:r>
    <w:r w:rsidRPr="00556E07">
      <w:rPr>
        <w:b/>
        <w:sz w:val="18"/>
        <w:szCs w:val="22"/>
      </w:rPr>
      <w:instrText xml:space="preserve"> PAGE   \* MERGEFORMAT </w:instrText>
    </w:r>
    <w:r w:rsidRPr="00556E07">
      <w:rPr>
        <w:b/>
        <w:sz w:val="18"/>
        <w:szCs w:val="22"/>
      </w:rPr>
      <w:fldChar w:fldCharType="separate"/>
    </w:r>
    <w:r w:rsidR="00DC6892">
      <w:rPr>
        <w:b/>
        <w:noProof/>
        <w:sz w:val="18"/>
        <w:szCs w:val="22"/>
      </w:rPr>
      <w:t>2</w:t>
    </w:r>
    <w:r w:rsidRPr="00556E07">
      <w:rPr>
        <w:b/>
        <w:noProof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A8CE" w14:textId="028966BC" w:rsidR="00A6743D" w:rsidRPr="00432CFD" w:rsidRDefault="00A6743D" w:rsidP="00556E07">
    <w:pPr>
      <w:pStyle w:val="Footer"/>
      <w:jc w:val="right"/>
    </w:pPr>
    <w:r w:rsidRPr="009D58C1">
      <w:rPr>
        <w:b/>
        <w:sz w:val="18"/>
        <w:szCs w:val="18"/>
      </w:rPr>
      <w:fldChar w:fldCharType="begin"/>
    </w:r>
    <w:r w:rsidRPr="009D58C1">
      <w:rPr>
        <w:b/>
        <w:sz w:val="18"/>
        <w:szCs w:val="18"/>
      </w:rPr>
      <w:instrText xml:space="preserve"> PAGE   \* MERGEFORMAT </w:instrText>
    </w:r>
    <w:r w:rsidRPr="009D58C1">
      <w:rPr>
        <w:b/>
        <w:sz w:val="18"/>
        <w:szCs w:val="18"/>
      </w:rPr>
      <w:fldChar w:fldCharType="separate"/>
    </w:r>
    <w:r w:rsidR="00DC6892">
      <w:rPr>
        <w:b/>
        <w:noProof/>
        <w:sz w:val="18"/>
        <w:szCs w:val="18"/>
      </w:rPr>
      <w:t>3</w:t>
    </w:r>
    <w:r w:rsidRPr="009D58C1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5373" w14:textId="77777777" w:rsidR="00C31773" w:rsidRDefault="00C31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C7CFD" w14:textId="77777777" w:rsidR="00A6743D" w:rsidRPr="000B175B" w:rsidRDefault="00A6743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3A3A62" w14:textId="77777777" w:rsidR="00A6743D" w:rsidRPr="00FC68B7" w:rsidRDefault="00A6743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5D52392" w14:textId="77777777" w:rsidR="00A6743D" w:rsidRDefault="00A6743D"/>
  </w:footnote>
  <w:footnote w:id="2">
    <w:p w14:paraId="18730571" w14:textId="6ADC57F7" w:rsidR="00A6743D" w:rsidRPr="009B35D8" w:rsidRDefault="00A6743D" w:rsidP="009B35D8">
      <w:pPr>
        <w:pStyle w:val="FootnoteText"/>
        <w:tabs>
          <w:tab w:val="left" w:pos="1560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="000A6BBA">
        <w:rPr>
          <w:lang w:val="en-US"/>
        </w:rPr>
        <w:t xml:space="preserve">In accordance with </w:t>
      </w:r>
      <w:r w:rsidR="000A6BBA" w:rsidRPr="00C77DF8">
        <w:t>the programme</w:t>
      </w:r>
      <w:r w:rsidR="000A6BBA">
        <w:rPr>
          <w:lang w:val="en-US"/>
        </w:rPr>
        <w:t xml:space="preserve"> of work of the Sub-Committee for 2019-2020 approved by the Committee at its ninth session (see ST/SG/AC.10/C.3/108, paragraph 141 and ST/SG/AC.10/46, paragraph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8B37" w14:textId="1F660801" w:rsidR="00A6743D" w:rsidRPr="000A6BBA" w:rsidRDefault="00DC6892" w:rsidP="00DC6892">
    <w:pPr>
      <w:pStyle w:val="Header"/>
    </w:pPr>
    <w:r w:rsidRPr="000A6BBA">
      <w:t>ST/SG/AC.10/C.3/2019/</w:t>
    </w:r>
    <w:r w:rsidR="000A6BBA" w:rsidRPr="000A6BBA">
      <w:t>6</w:t>
    </w:r>
    <w:bookmarkStart w:id="0" w:name="_GoBack"/>
    <w:bookmarkEnd w:id="0"/>
    <w:r w:rsidR="000A6BBA" w:rsidRPr="000A6BBA">
      <w:br/>
    </w:r>
    <w:r w:rsidRPr="00C31773">
      <w:rPr>
        <w:iCs/>
      </w:rPr>
      <w:t>ST/SG/AC.10/C.4/2019/</w:t>
    </w:r>
    <w:r w:rsidR="000A6BBA" w:rsidRPr="00C31773">
      <w:rPr>
        <w:iCs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0980" w14:textId="69467C16" w:rsidR="00A6743D" w:rsidRPr="00DC6892" w:rsidRDefault="00DC6892" w:rsidP="00DC6892">
    <w:pPr>
      <w:pStyle w:val="Header"/>
      <w:jc w:val="right"/>
    </w:pPr>
    <w:r w:rsidRPr="00AF6EE1">
      <w:rPr>
        <w:lang w:val="en-US"/>
      </w:rPr>
      <w:t>ST/SG/AC.10/C.3/2019/</w:t>
    </w:r>
    <w:r w:rsidR="000A6BBA">
      <w:rPr>
        <w:lang w:val="en-US"/>
      </w:rPr>
      <w:t>6</w:t>
    </w:r>
    <w:r w:rsidR="000A6BBA">
      <w:rPr>
        <w:lang w:val="en-US"/>
      </w:rPr>
      <w:br/>
    </w:r>
    <w:r w:rsidRPr="00AF6EE1">
      <w:rPr>
        <w:lang w:val="en-US"/>
      </w:rPr>
      <w:t>ST/SG/AC.10/C.4/2019/</w:t>
    </w:r>
    <w:r w:rsidR="000A6BBA">
      <w:rPr>
        <w:lang w:val="en-US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8D43" w14:textId="77777777" w:rsidR="00A6743D" w:rsidRPr="00F82A8B" w:rsidRDefault="00A6743D" w:rsidP="00F82A8B">
    <w:pPr>
      <w:pStyle w:val="Header"/>
      <w:pBdr>
        <w:bottom w:val="none" w:sz="0" w:space="0" w:color="auto"/>
      </w:pBdr>
      <w:rPr>
        <w:b w:val="0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27469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89D32B8"/>
    <w:multiLevelType w:val="hybridMultilevel"/>
    <w:tmpl w:val="3CD889FE"/>
    <w:lvl w:ilvl="0" w:tplc="4664D14E">
      <w:start w:val="3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54A6171"/>
    <w:multiLevelType w:val="hybridMultilevel"/>
    <w:tmpl w:val="F572D808"/>
    <w:lvl w:ilvl="0" w:tplc="001C8B80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DF1450"/>
    <w:multiLevelType w:val="hybridMultilevel"/>
    <w:tmpl w:val="9AFAD11A"/>
    <w:lvl w:ilvl="0" w:tplc="4240DF22">
      <w:start w:val="9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9" w:hanging="360"/>
      </w:pPr>
    </w:lvl>
    <w:lvl w:ilvl="2" w:tplc="0809001B" w:tentative="1">
      <w:start w:val="1"/>
      <w:numFmt w:val="lowerRoman"/>
      <w:lvlText w:val="%3."/>
      <w:lvlJc w:val="right"/>
      <w:pPr>
        <w:ind w:left="3489" w:hanging="180"/>
      </w:pPr>
    </w:lvl>
    <w:lvl w:ilvl="3" w:tplc="0809000F" w:tentative="1">
      <w:start w:val="1"/>
      <w:numFmt w:val="decimal"/>
      <w:lvlText w:val="%4."/>
      <w:lvlJc w:val="left"/>
      <w:pPr>
        <w:ind w:left="4209" w:hanging="360"/>
      </w:pPr>
    </w:lvl>
    <w:lvl w:ilvl="4" w:tplc="08090019" w:tentative="1">
      <w:start w:val="1"/>
      <w:numFmt w:val="lowerLetter"/>
      <w:lvlText w:val="%5."/>
      <w:lvlJc w:val="left"/>
      <w:pPr>
        <w:ind w:left="4929" w:hanging="360"/>
      </w:pPr>
    </w:lvl>
    <w:lvl w:ilvl="5" w:tplc="0809001B" w:tentative="1">
      <w:start w:val="1"/>
      <w:numFmt w:val="lowerRoman"/>
      <w:lvlText w:val="%6."/>
      <w:lvlJc w:val="right"/>
      <w:pPr>
        <w:ind w:left="5649" w:hanging="180"/>
      </w:pPr>
    </w:lvl>
    <w:lvl w:ilvl="6" w:tplc="0809000F" w:tentative="1">
      <w:start w:val="1"/>
      <w:numFmt w:val="decimal"/>
      <w:lvlText w:val="%7."/>
      <w:lvlJc w:val="left"/>
      <w:pPr>
        <w:ind w:left="6369" w:hanging="360"/>
      </w:pPr>
    </w:lvl>
    <w:lvl w:ilvl="7" w:tplc="08090019" w:tentative="1">
      <w:start w:val="1"/>
      <w:numFmt w:val="lowerLetter"/>
      <w:lvlText w:val="%8."/>
      <w:lvlJc w:val="left"/>
      <w:pPr>
        <w:ind w:left="7089" w:hanging="360"/>
      </w:pPr>
    </w:lvl>
    <w:lvl w:ilvl="8" w:tplc="08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6" w15:restartNumberingAfterBreak="0">
    <w:nsid w:val="298F191A"/>
    <w:multiLevelType w:val="hybridMultilevel"/>
    <w:tmpl w:val="2B1ADD9E"/>
    <w:lvl w:ilvl="0" w:tplc="B8BCB884">
      <w:start w:val="9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2D541F15"/>
    <w:multiLevelType w:val="hybridMultilevel"/>
    <w:tmpl w:val="34983152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A14934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ABE1E11"/>
    <w:multiLevelType w:val="hybridMultilevel"/>
    <w:tmpl w:val="367EF882"/>
    <w:lvl w:ilvl="0" w:tplc="C59A5018">
      <w:start w:val="9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B8157A2"/>
    <w:multiLevelType w:val="hybridMultilevel"/>
    <w:tmpl w:val="748E0422"/>
    <w:lvl w:ilvl="0" w:tplc="001C8B80">
      <w:start w:val="1"/>
      <w:numFmt w:val="lowerRoman"/>
      <w:lvlText w:val="(%1)"/>
      <w:lvlJc w:val="left"/>
      <w:pPr>
        <w:ind w:left="29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54" w:hanging="360"/>
      </w:pPr>
    </w:lvl>
    <w:lvl w:ilvl="2" w:tplc="0407001B" w:tentative="1">
      <w:start w:val="1"/>
      <w:numFmt w:val="lowerRoman"/>
      <w:lvlText w:val="%3."/>
      <w:lvlJc w:val="right"/>
      <w:pPr>
        <w:ind w:left="4374" w:hanging="180"/>
      </w:pPr>
    </w:lvl>
    <w:lvl w:ilvl="3" w:tplc="0407000F" w:tentative="1">
      <w:start w:val="1"/>
      <w:numFmt w:val="decimal"/>
      <w:lvlText w:val="%4."/>
      <w:lvlJc w:val="left"/>
      <w:pPr>
        <w:ind w:left="5094" w:hanging="360"/>
      </w:pPr>
    </w:lvl>
    <w:lvl w:ilvl="4" w:tplc="04070019" w:tentative="1">
      <w:start w:val="1"/>
      <w:numFmt w:val="lowerLetter"/>
      <w:lvlText w:val="%5."/>
      <w:lvlJc w:val="left"/>
      <w:pPr>
        <w:ind w:left="5814" w:hanging="360"/>
      </w:pPr>
    </w:lvl>
    <w:lvl w:ilvl="5" w:tplc="0407001B" w:tentative="1">
      <w:start w:val="1"/>
      <w:numFmt w:val="lowerRoman"/>
      <w:lvlText w:val="%6."/>
      <w:lvlJc w:val="right"/>
      <w:pPr>
        <w:ind w:left="6534" w:hanging="180"/>
      </w:pPr>
    </w:lvl>
    <w:lvl w:ilvl="6" w:tplc="0407000F" w:tentative="1">
      <w:start w:val="1"/>
      <w:numFmt w:val="decimal"/>
      <w:lvlText w:val="%7."/>
      <w:lvlJc w:val="left"/>
      <w:pPr>
        <w:ind w:left="7254" w:hanging="360"/>
      </w:pPr>
    </w:lvl>
    <w:lvl w:ilvl="7" w:tplc="04070019" w:tentative="1">
      <w:start w:val="1"/>
      <w:numFmt w:val="lowerLetter"/>
      <w:lvlText w:val="%8."/>
      <w:lvlJc w:val="left"/>
      <w:pPr>
        <w:ind w:left="7974" w:hanging="360"/>
      </w:pPr>
    </w:lvl>
    <w:lvl w:ilvl="8" w:tplc="0407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 w15:restartNumberingAfterBreak="0">
    <w:nsid w:val="4CA517BD"/>
    <w:multiLevelType w:val="multilevel"/>
    <w:tmpl w:val="6D30530E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E76534F"/>
    <w:multiLevelType w:val="hybridMultilevel"/>
    <w:tmpl w:val="A572AA9C"/>
    <w:lvl w:ilvl="0" w:tplc="F0DCCFB0">
      <w:start w:val="1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F5FD1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35F448C"/>
    <w:multiLevelType w:val="hybridMultilevel"/>
    <w:tmpl w:val="55BC5F4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ACE6750A">
      <w:start w:val="3"/>
      <w:numFmt w:val="lowerRoman"/>
      <w:lvlText w:val="(%4)"/>
      <w:lvlJc w:val="left"/>
      <w:pPr>
        <w:ind w:left="4374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32A02"/>
    <w:multiLevelType w:val="hybridMultilevel"/>
    <w:tmpl w:val="6D3053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F0DCCFB0">
      <w:start w:val="1"/>
      <w:numFmt w:val="lowerLetter"/>
      <w:lvlText w:val="(%2)"/>
      <w:lvlJc w:val="left"/>
      <w:pPr>
        <w:ind w:left="2574" w:hanging="360"/>
      </w:pPr>
      <w:rPr>
        <w:rFonts w:hint="default"/>
      </w:rPr>
    </w:lvl>
    <w:lvl w:ilvl="2" w:tplc="C1F8BC24">
      <w:start w:val="2"/>
      <w:numFmt w:val="bullet"/>
      <w:lvlText w:val="-"/>
      <w:lvlJc w:val="left"/>
      <w:pPr>
        <w:ind w:left="347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4"/>
  </w:num>
  <w:num w:numId="13">
    <w:abstractNumId w:val="11"/>
  </w:num>
  <w:num w:numId="14">
    <w:abstractNumId w:val="24"/>
  </w:num>
  <w:num w:numId="15">
    <w:abstractNumId w:val="27"/>
  </w:num>
  <w:num w:numId="16">
    <w:abstractNumId w:val="17"/>
  </w:num>
  <w:num w:numId="17">
    <w:abstractNumId w:val="26"/>
  </w:num>
  <w:num w:numId="18">
    <w:abstractNumId w:val="13"/>
  </w:num>
  <w:num w:numId="19">
    <w:abstractNumId w:val="19"/>
  </w:num>
  <w:num w:numId="20">
    <w:abstractNumId w:val="25"/>
  </w:num>
  <w:num w:numId="21">
    <w:abstractNumId w:val="28"/>
  </w:num>
  <w:num w:numId="22">
    <w:abstractNumId w:val="18"/>
  </w:num>
  <w:num w:numId="23">
    <w:abstractNumId w:val="21"/>
  </w:num>
  <w:num w:numId="24">
    <w:abstractNumId w:val="20"/>
  </w:num>
  <w:num w:numId="25">
    <w:abstractNumId w:val="22"/>
  </w:num>
  <w:num w:numId="26">
    <w:abstractNumId w:val="10"/>
  </w:num>
  <w:num w:numId="27">
    <w:abstractNumId w:val="15"/>
  </w:num>
  <w:num w:numId="28">
    <w:abstractNumId w:val="12"/>
  </w:num>
  <w:num w:numId="2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~}¢Î]"/>
    <w:docVar w:name="85TrailerDateField" w:val="~}£Î\"/>
    <w:docVar w:name="85TrailerDraft" w:val="~}’Îm"/>
    <w:docVar w:name="85TrailerTime" w:val="~}–Îi"/>
    <w:docVar w:name="85TrailerType" w:val="~}”Îllo"/>
    <w:docVar w:name="MPDocID" w:val="~}“Îwª²«¤©°°^ © ]¤¯°¦¬¦®¤©¤­¥¬¤¶^ª²«¤©°°~~^­«­­²¨]­­[^rll]¤®­\±¢¡]±ª°¬·¯ \¬£[¬µ_®¬¢´°¦­­[¦²§¤±ª^°±£±¤¡°^l[°¢£\onpl\e¨©©gm« "/>
    <w:docVar w:name="NewDocStampType" w:val="~}“Îs"/>
  </w:docVars>
  <w:rsids>
    <w:rsidRoot w:val="00DA67AD"/>
    <w:rsid w:val="00001E98"/>
    <w:rsid w:val="0000447A"/>
    <w:rsid w:val="00010403"/>
    <w:rsid w:val="00010840"/>
    <w:rsid w:val="000115A4"/>
    <w:rsid w:val="000134CF"/>
    <w:rsid w:val="00014BA7"/>
    <w:rsid w:val="00021A34"/>
    <w:rsid w:val="000230A1"/>
    <w:rsid w:val="00025E4D"/>
    <w:rsid w:val="00026046"/>
    <w:rsid w:val="0002626C"/>
    <w:rsid w:val="00027FBE"/>
    <w:rsid w:val="00030CFD"/>
    <w:rsid w:val="00031FF3"/>
    <w:rsid w:val="00034B57"/>
    <w:rsid w:val="00037FD8"/>
    <w:rsid w:val="00044B65"/>
    <w:rsid w:val="00044DE9"/>
    <w:rsid w:val="00050F6B"/>
    <w:rsid w:val="00051062"/>
    <w:rsid w:val="00052876"/>
    <w:rsid w:val="000540AC"/>
    <w:rsid w:val="00056542"/>
    <w:rsid w:val="00060E74"/>
    <w:rsid w:val="00062F47"/>
    <w:rsid w:val="00064A74"/>
    <w:rsid w:val="00066A19"/>
    <w:rsid w:val="000675CC"/>
    <w:rsid w:val="00071BCB"/>
    <w:rsid w:val="00072C8C"/>
    <w:rsid w:val="0007360D"/>
    <w:rsid w:val="000737C7"/>
    <w:rsid w:val="00074065"/>
    <w:rsid w:val="000809F3"/>
    <w:rsid w:val="00080A0C"/>
    <w:rsid w:val="00086FBE"/>
    <w:rsid w:val="000900D2"/>
    <w:rsid w:val="00091419"/>
    <w:rsid w:val="000931C0"/>
    <w:rsid w:val="00094B11"/>
    <w:rsid w:val="000A25EF"/>
    <w:rsid w:val="000A47C9"/>
    <w:rsid w:val="000A57F2"/>
    <w:rsid w:val="000A6BBA"/>
    <w:rsid w:val="000B0A3E"/>
    <w:rsid w:val="000B175B"/>
    <w:rsid w:val="000B3A0F"/>
    <w:rsid w:val="000C0BD8"/>
    <w:rsid w:val="000C52A3"/>
    <w:rsid w:val="000C7CC1"/>
    <w:rsid w:val="000D21CE"/>
    <w:rsid w:val="000D2DB2"/>
    <w:rsid w:val="000D5F16"/>
    <w:rsid w:val="000E0415"/>
    <w:rsid w:val="000E2643"/>
    <w:rsid w:val="000F2380"/>
    <w:rsid w:val="000F5031"/>
    <w:rsid w:val="00100242"/>
    <w:rsid w:val="00105D5C"/>
    <w:rsid w:val="0010735D"/>
    <w:rsid w:val="00115198"/>
    <w:rsid w:val="00117787"/>
    <w:rsid w:val="00130B2B"/>
    <w:rsid w:val="00131714"/>
    <w:rsid w:val="00131767"/>
    <w:rsid w:val="00131D42"/>
    <w:rsid w:val="00131D60"/>
    <w:rsid w:val="001329B7"/>
    <w:rsid w:val="00134644"/>
    <w:rsid w:val="001359E2"/>
    <w:rsid w:val="001415AC"/>
    <w:rsid w:val="00141AC5"/>
    <w:rsid w:val="0014274C"/>
    <w:rsid w:val="0014749F"/>
    <w:rsid w:val="00147BFD"/>
    <w:rsid w:val="00150A37"/>
    <w:rsid w:val="0015390C"/>
    <w:rsid w:val="001559C5"/>
    <w:rsid w:val="00155A9F"/>
    <w:rsid w:val="00155CD9"/>
    <w:rsid w:val="0016239A"/>
    <w:rsid w:val="001633FB"/>
    <w:rsid w:val="00186AE8"/>
    <w:rsid w:val="0018709C"/>
    <w:rsid w:val="00191FC2"/>
    <w:rsid w:val="001A08B8"/>
    <w:rsid w:val="001A0D51"/>
    <w:rsid w:val="001A543B"/>
    <w:rsid w:val="001B1A57"/>
    <w:rsid w:val="001B4B04"/>
    <w:rsid w:val="001C08BC"/>
    <w:rsid w:val="001C3F03"/>
    <w:rsid w:val="001C4992"/>
    <w:rsid w:val="001C6663"/>
    <w:rsid w:val="001C70FB"/>
    <w:rsid w:val="001C7895"/>
    <w:rsid w:val="001D029A"/>
    <w:rsid w:val="001D26DF"/>
    <w:rsid w:val="001D2FDC"/>
    <w:rsid w:val="001D510E"/>
    <w:rsid w:val="001D5121"/>
    <w:rsid w:val="001D5BCE"/>
    <w:rsid w:val="001E5B82"/>
    <w:rsid w:val="001F7DAC"/>
    <w:rsid w:val="00202885"/>
    <w:rsid w:val="00204D75"/>
    <w:rsid w:val="002054BE"/>
    <w:rsid w:val="0020640F"/>
    <w:rsid w:val="00211E0B"/>
    <w:rsid w:val="00212046"/>
    <w:rsid w:val="002213FA"/>
    <w:rsid w:val="0022446F"/>
    <w:rsid w:val="002262D3"/>
    <w:rsid w:val="002309A7"/>
    <w:rsid w:val="00230CED"/>
    <w:rsid w:val="00230F2E"/>
    <w:rsid w:val="00235937"/>
    <w:rsid w:val="00235CD8"/>
    <w:rsid w:val="002370FA"/>
    <w:rsid w:val="00237785"/>
    <w:rsid w:val="00241466"/>
    <w:rsid w:val="002417A0"/>
    <w:rsid w:val="0024188D"/>
    <w:rsid w:val="00244BA0"/>
    <w:rsid w:val="00253374"/>
    <w:rsid w:val="002568BA"/>
    <w:rsid w:val="00265251"/>
    <w:rsid w:val="00265A8C"/>
    <w:rsid w:val="00271844"/>
    <w:rsid w:val="00271FD4"/>
    <w:rsid w:val="002725CA"/>
    <w:rsid w:val="00273765"/>
    <w:rsid w:val="00276796"/>
    <w:rsid w:val="00277336"/>
    <w:rsid w:val="0027776D"/>
    <w:rsid w:val="002807B9"/>
    <w:rsid w:val="00280EB7"/>
    <w:rsid w:val="00283B0C"/>
    <w:rsid w:val="002845E7"/>
    <w:rsid w:val="00285581"/>
    <w:rsid w:val="00287C9D"/>
    <w:rsid w:val="00291742"/>
    <w:rsid w:val="00297FDB"/>
    <w:rsid w:val="002A2457"/>
    <w:rsid w:val="002A3034"/>
    <w:rsid w:val="002A60CE"/>
    <w:rsid w:val="002A60F8"/>
    <w:rsid w:val="002A6E0B"/>
    <w:rsid w:val="002A7BC0"/>
    <w:rsid w:val="002B1A41"/>
    <w:rsid w:val="002B1CDA"/>
    <w:rsid w:val="002B26CF"/>
    <w:rsid w:val="002B37F5"/>
    <w:rsid w:val="002C56EC"/>
    <w:rsid w:val="002C638D"/>
    <w:rsid w:val="002D027D"/>
    <w:rsid w:val="002D19D2"/>
    <w:rsid w:val="002D30CC"/>
    <w:rsid w:val="002D767C"/>
    <w:rsid w:val="002E0A46"/>
    <w:rsid w:val="002E10DE"/>
    <w:rsid w:val="002E1F2B"/>
    <w:rsid w:val="002F0ACF"/>
    <w:rsid w:val="002F7AAF"/>
    <w:rsid w:val="002F7F51"/>
    <w:rsid w:val="00301F46"/>
    <w:rsid w:val="003107FA"/>
    <w:rsid w:val="00316CDE"/>
    <w:rsid w:val="003229D8"/>
    <w:rsid w:val="00323B8F"/>
    <w:rsid w:val="00350C40"/>
    <w:rsid w:val="00363CCA"/>
    <w:rsid w:val="00364DED"/>
    <w:rsid w:val="00374AA4"/>
    <w:rsid w:val="00375203"/>
    <w:rsid w:val="00376216"/>
    <w:rsid w:val="0037785D"/>
    <w:rsid w:val="00381151"/>
    <w:rsid w:val="00383CC3"/>
    <w:rsid w:val="0039277A"/>
    <w:rsid w:val="003972E0"/>
    <w:rsid w:val="003A2736"/>
    <w:rsid w:val="003A4A7A"/>
    <w:rsid w:val="003B5E83"/>
    <w:rsid w:val="003C247C"/>
    <w:rsid w:val="003C2CC4"/>
    <w:rsid w:val="003D4B23"/>
    <w:rsid w:val="003E5E81"/>
    <w:rsid w:val="003F347E"/>
    <w:rsid w:val="003F3F2A"/>
    <w:rsid w:val="003F66B7"/>
    <w:rsid w:val="004028F0"/>
    <w:rsid w:val="0041748B"/>
    <w:rsid w:val="004227F2"/>
    <w:rsid w:val="0042740D"/>
    <w:rsid w:val="00430BC1"/>
    <w:rsid w:val="004314D5"/>
    <w:rsid w:val="004325CB"/>
    <w:rsid w:val="00432CFD"/>
    <w:rsid w:val="00434D54"/>
    <w:rsid w:val="00437F3F"/>
    <w:rsid w:val="00443E7D"/>
    <w:rsid w:val="004444D3"/>
    <w:rsid w:val="00445784"/>
    <w:rsid w:val="00446DE4"/>
    <w:rsid w:val="00447A01"/>
    <w:rsid w:val="00454036"/>
    <w:rsid w:val="00454348"/>
    <w:rsid w:val="00457ED8"/>
    <w:rsid w:val="00462EB7"/>
    <w:rsid w:val="00463344"/>
    <w:rsid w:val="00471D64"/>
    <w:rsid w:val="0047206D"/>
    <w:rsid w:val="00474B1C"/>
    <w:rsid w:val="0048040E"/>
    <w:rsid w:val="004815BC"/>
    <w:rsid w:val="00486F0C"/>
    <w:rsid w:val="004906B4"/>
    <w:rsid w:val="00495374"/>
    <w:rsid w:val="004A39F9"/>
    <w:rsid w:val="004A411D"/>
    <w:rsid w:val="004A72B1"/>
    <w:rsid w:val="004B2C9D"/>
    <w:rsid w:val="004B4C10"/>
    <w:rsid w:val="004C008C"/>
    <w:rsid w:val="004C3287"/>
    <w:rsid w:val="004C5AF0"/>
    <w:rsid w:val="004C6CF4"/>
    <w:rsid w:val="004D0FBF"/>
    <w:rsid w:val="004D4698"/>
    <w:rsid w:val="004E2C23"/>
    <w:rsid w:val="004E795A"/>
    <w:rsid w:val="00503B9C"/>
    <w:rsid w:val="005123DA"/>
    <w:rsid w:val="00515F83"/>
    <w:rsid w:val="00516993"/>
    <w:rsid w:val="00517A3F"/>
    <w:rsid w:val="005203EB"/>
    <w:rsid w:val="00522D44"/>
    <w:rsid w:val="00524600"/>
    <w:rsid w:val="00527910"/>
    <w:rsid w:val="00532908"/>
    <w:rsid w:val="00534DA8"/>
    <w:rsid w:val="005420F2"/>
    <w:rsid w:val="00547520"/>
    <w:rsid w:val="00553BE1"/>
    <w:rsid w:val="00553F25"/>
    <w:rsid w:val="00553FEF"/>
    <w:rsid w:val="00555BB3"/>
    <w:rsid w:val="00556E07"/>
    <w:rsid w:val="005616F9"/>
    <w:rsid w:val="00572388"/>
    <w:rsid w:val="005725A0"/>
    <w:rsid w:val="0057266D"/>
    <w:rsid w:val="00573567"/>
    <w:rsid w:val="00574827"/>
    <w:rsid w:val="005802FE"/>
    <w:rsid w:val="00581D79"/>
    <w:rsid w:val="005872A8"/>
    <w:rsid w:val="00590144"/>
    <w:rsid w:val="005962B5"/>
    <w:rsid w:val="00596AFB"/>
    <w:rsid w:val="005A4D8F"/>
    <w:rsid w:val="005A585F"/>
    <w:rsid w:val="005A58DB"/>
    <w:rsid w:val="005B3DB3"/>
    <w:rsid w:val="005C5058"/>
    <w:rsid w:val="005C67A3"/>
    <w:rsid w:val="005D1CA6"/>
    <w:rsid w:val="005D476B"/>
    <w:rsid w:val="005D5296"/>
    <w:rsid w:val="005D5E45"/>
    <w:rsid w:val="005E0F7B"/>
    <w:rsid w:val="005E482E"/>
    <w:rsid w:val="005E5BFE"/>
    <w:rsid w:val="005F16B8"/>
    <w:rsid w:val="00601025"/>
    <w:rsid w:val="006014D2"/>
    <w:rsid w:val="006033C3"/>
    <w:rsid w:val="00606BD8"/>
    <w:rsid w:val="006119AE"/>
    <w:rsid w:val="00611FC4"/>
    <w:rsid w:val="0061691B"/>
    <w:rsid w:val="006176FB"/>
    <w:rsid w:val="0063419C"/>
    <w:rsid w:val="00640B26"/>
    <w:rsid w:val="00641CE9"/>
    <w:rsid w:val="006420B1"/>
    <w:rsid w:val="00643F7D"/>
    <w:rsid w:val="006500BA"/>
    <w:rsid w:val="00650DBA"/>
    <w:rsid w:val="006612FE"/>
    <w:rsid w:val="00663B47"/>
    <w:rsid w:val="00675EEF"/>
    <w:rsid w:val="006804E7"/>
    <w:rsid w:val="00680EC5"/>
    <w:rsid w:val="00681546"/>
    <w:rsid w:val="00681628"/>
    <w:rsid w:val="00681744"/>
    <w:rsid w:val="0068403D"/>
    <w:rsid w:val="00684E8C"/>
    <w:rsid w:val="00687D2F"/>
    <w:rsid w:val="0069492F"/>
    <w:rsid w:val="0069552B"/>
    <w:rsid w:val="00696595"/>
    <w:rsid w:val="00697525"/>
    <w:rsid w:val="006A3BD5"/>
    <w:rsid w:val="006A5661"/>
    <w:rsid w:val="006A7392"/>
    <w:rsid w:val="006B7933"/>
    <w:rsid w:val="006C0D34"/>
    <w:rsid w:val="006C1CA0"/>
    <w:rsid w:val="006C7E11"/>
    <w:rsid w:val="006D247B"/>
    <w:rsid w:val="006D5191"/>
    <w:rsid w:val="006D5AAE"/>
    <w:rsid w:val="006E31BF"/>
    <w:rsid w:val="006E564B"/>
    <w:rsid w:val="006E6FBD"/>
    <w:rsid w:val="006F4D74"/>
    <w:rsid w:val="006F4ED5"/>
    <w:rsid w:val="007012C4"/>
    <w:rsid w:val="0070311F"/>
    <w:rsid w:val="00704A7F"/>
    <w:rsid w:val="00704F3F"/>
    <w:rsid w:val="007102D9"/>
    <w:rsid w:val="00712FCE"/>
    <w:rsid w:val="0071747D"/>
    <w:rsid w:val="00721A06"/>
    <w:rsid w:val="00722589"/>
    <w:rsid w:val="007227B6"/>
    <w:rsid w:val="00725848"/>
    <w:rsid w:val="0072632A"/>
    <w:rsid w:val="007267E0"/>
    <w:rsid w:val="0073039D"/>
    <w:rsid w:val="007319D5"/>
    <w:rsid w:val="00731BEA"/>
    <w:rsid w:val="007348BB"/>
    <w:rsid w:val="00741915"/>
    <w:rsid w:val="0075116C"/>
    <w:rsid w:val="00753201"/>
    <w:rsid w:val="007548D5"/>
    <w:rsid w:val="007612E0"/>
    <w:rsid w:val="00761389"/>
    <w:rsid w:val="00762706"/>
    <w:rsid w:val="007665DE"/>
    <w:rsid w:val="00771113"/>
    <w:rsid w:val="007713F2"/>
    <w:rsid w:val="00775393"/>
    <w:rsid w:val="00776CA4"/>
    <w:rsid w:val="00777356"/>
    <w:rsid w:val="00780921"/>
    <w:rsid w:val="0078270D"/>
    <w:rsid w:val="007857CD"/>
    <w:rsid w:val="00790791"/>
    <w:rsid w:val="00791404"/>
    <w:rsid w:val="0079264E"/>
    <w:rsid w:val="007A66B2"/>
    <w:rsid w:val="007B6BA5"/>
    <w:rsid w:val="007B6FE6"/>
    <w:rsid w:val="007C3390"/>
    <w:rsid w:val="007C4F4B"/>
    <w:rsid w:val="007E3A92"/>
    <w:rsid w:val="007E51DE"/>
    <w:rsid w:val="007F25B3"/>
    <w:rsid w:val="007F28CB"/>
    <w:rsid w:val="007F6611"/>
    <w:rsid w:val="00800138"/>
    <w:rsid w:val="0080387F"/>
    <w:rsid w:val="008041BA"/>
    <w:rsid w:val="00811614"/>
    <w:rsid w:val="008124A5"/>
    <w:rsid w:val="008129F0"/>
    <w:rsid w:val="008175E9"/>
    <w:rsid w:val="008213BB"/>
    <w:rsid w:val="00822225"/>
    <w:rsid w:val="008242D7"/>
    <w:rsid w:val="0083337A"/>
    <w:rsid w:val="00841A1B"/>
    <w:rsid w:val="00841AB4"/>
    <w:rsid w:val="00846136"/>
    <w:rsid w:val="00850841"/>
    <w:rsid w:val="00853FAE"/>
    <w:rsid w:val="008548B3"/>
    <w:rsid w:val="008554E7"/>
    <w:rsid w:val="00855967"/>
    <w:rsid w:val="00861ACC"/>
    <w:rsid w:val="00866523"/>
    <w:rsid w:val="00871F18"/>
    <w:rsid w:val="00871FD5"/>
    <w:rsid w:val="00874782"/>
    <w:rsid w:val="00874C3C"/>
    <w:rsid w:val="008803A8"/>
    <w:rsid w:val="00880DE7"/>
    <w:rsid w:val="008828E0"/>
    <w:rsid w:val="00884B25"/>
    <w:rsid w:val="00885E87"/>
    <w:rsid w:val="00887213"/>
    <w:rsid w:val="008876A7"/>
    <w:rsid w:val="00893828"/>
    <w:rsid w:val="008947E2"/>
    <w:rsid w:val="00894C13"/>
    <w:rsid w:val="008979B1"/>
    <w:rsid w:val="008A1350"/>
    <w:rsid w:val="008A29F7"/>
    <w:rsid w:val="008A5C06"/>
    <w:rsid w:val="008A6B25"/>
    <w:rsid w:val="008A6B52"/>
    <w:rsid w:val="008A6C4F"/>
    <w:rsid w:val="008B174F"/>
    <w:rsid w:val="008B1843"/>
    <w:rsid w:val="008C0C4E"/>
    <w:rsid w:val="008C3133"/>
    <w:rsid w:val="008C4A16"/>
    <w:rsid w:val="008C518D"/>
    <w:rsid w:val="008C7398"/>
    <w:rsid w:val="008D16E8"/>
    <w:rsid w:val="008D16EF"/>
    <w:rsid w:val="008D5AB6"/>
    <w:rsid w:val="008D67AF"/>
    <w:rsid w:val="008D6FE1"/>
    <w:rsid w:val="008D713B"/>
    <w:rsid w:val="008D7973"/>
    <w:rsid w:val="008D7AB3"/>
    <w:rsid w:val="008E0E46"/>
    <w:rsid w:val="008E3B3C"/>
    <w:rsid w:val="008E5E1A"/>
    <w:rsid w:val="008F596C"/>
    <w:rsid w:val="008F671F"/>
    <w:rsid w:val="009019F7"/>
    <w:rsid w:val="00904592"/>
    <w:rsid w:val="00910F3B"/>
    <w:rsid w:val="009128F8"/>
    <w:rsid w:val="0091444D"/>
    <w:rsid w:val="00915A89"/>
    <w:rsid w:val="00916F49"/>
    <w:rsid w:val="009213A3"/>
    <w:rsid w:val="0092169C"/>
    <w:rsid w:val="00921A36"/>
    <w:rsid w:val="00921FDE"/>
    <w:rsid w:val="00924C9C"/>
    <w:rsid w:val="00927142"/>
    <w:rsid w:val="0093272D"/>
    <w:rsid w:val="009338EE"/>
    <w:rsid w:val="009346DE"/>
    <w:rsid w:val="00940479"/>
    <w:rsid w:val="0094213D"/>
    <w:rsid w:val="00943B65"/>
    <w:rsid w:val="00945553"/>
    <w:rsid w:val="00945A5D"/>
    <w:rsid w:val="009502B6"/>
    <w:rsid w:val="00953FD3"/>
    <w:rsid w:val="00956CAD"/>
    <w:rsid w:val="00957C6D"/>
    <w:rsid w:val="00963CBA"/>
    <w:rsid w:val="00964B10"/>
    <w:rsid w:val="00967AC9"/>
    <w:rsid w:val="00971136"/>
    <w:rsid w:val="009815DF"/>
    <w:rsid w:val="009848AB"/>
    <w:rsid w:val="00987E8A"/>
    <w:rsid w:val="00987EBF"/>
    <w:rsid w:val="0099124E"/>
    <w:rsid w:val="00991261"/>
    <w:rsid w:val="00992985"/>
    <w:rsid w:val="0099483C"/>
    <w:rsid w:val="009967A1"/>
    <w:rsid w:val="009A3CB7"/>
    <w:rsid w:val="009A478E"/>
    <w:rsid w:val="009A681A"/>
    <w:rsid w:val="009B007F"/>
    <w:rsid w:val="009B0ED1"/>
    <w:rsid w:val="009B35D8"/>
    <w:rsid w:val="009B3CAF"/>
    <w:rsid w:val="009B4111"/>
    <w:rsid w:val="009B47DE"/>
    <w:rsid w:val="009C25D5"/>
    <w:rsid w:val="009C2953"/>
    <w:rsid w:val="009C3671"/>
    <w:rsid w:val="009C46C7"/>
    <w:rsid w:val="009C67CC"/>
    <w:rsid w:val="009C767D"/>
    <w:rsid w:val="009D58C1"/>
    <w:rsid w:val="009F0F06"/>
    <w:rsid w:val="00A04323"/>
    <w:rsid w:val="00A065BA"/>
    <w:rsid w:val="00A120B4"/>
    <w:rsid w:val="00A13C36"/>
    <w:rsid w:val="00A1427D"/>
    <w:rsid w:val="00A176C2"/>
    <w:rsid w:val="00A22DA5"/>
    <w:rsid w:val="00A23130"/>
    <w:rsid w:val="00A23A0D"/>
    <w:rsid w:val="00A250A4"/>
    <w:rsid w:val="00A25A9D"/>
    <w:rsid w:val="00A27434"/>
    <w:rsid w:val="00A27707"/>
    <w:rsid w:val="00A37F8B"/>
    <w:rsid w:val="00A40024"/>
    <w:rsid w:val="00A47091"/>
    <w:rsid w:val="00A47B65"/>
    <w:rsid w:val="00A60EB5"/>
    <w:rsid w:val="00A6743D"/>
    <w:rsid w:val="00A67BA6"/>
    <w:rsid w:val="00A72F22"/>
    <w:rsid w:val="00A7341F"/>
    <w:rsid w:val="00A748A6"/>
    <w:rsid w:val="00A74F3D"/>
    <w:rsid w:val="00A75EC9"/>
    <w:rsid w:val="00A879A4"/>
    <w:rsid w:val="00AA7910"/>
    <w:rsid w:val="00AB48E3"/>
    <w:rsid w:val="00AB521F"/>
    <w:rsid w:val="00AB79D3"/>
    <w:rsid w:val="00AC1947"/>
    <w:rsid w:val="00AC47CB"/>
    <w:rsid w:val="00AC71C1"/>
    <w:rsid w:val="00AD06C7"/>
    <w:rsid w:val="00AD29A4"/>
    <w:rsid w:val="00AD6445"/>
    <w:rsid w:val="00AE5607"/>
    <w:rsid w:val="00AE71B9"/>
    <w:rsid w:val="00AF2A45"/>
    <w:rsid w:val="00AF2B6B"/>
    <w:rsid w:val="00AF3B55"/>
    <w:rsid w:val="00AF6EE1"/>
    <w:rsid w:val="00B045D1"/>
    <w:rsid w:val="00B062A6"/>
    <w:rsid w:val="00B07928"/>
    <w:rsid w:val="00B253B8"/>
    <w:rsid w:val="00B27DFF"/>
    <w:rsid w:val="00B30179"/>
    <w:rsid w:val="00B32C5C"/>
    <w:rsid w:val="00B3317B"/>
    <w:rsid w:val="00B355CF"/>
    <w:rsid w:val="00B3750B"/>
    <w:rsid w:val="00B41EB4"/>
    <w:rsid w:val="00B43E15"/>
    <w:rsid w:val="00B44874"/>
    <w:rsid w:val="00B44D1E"/>
    <w:rsid w:val="00B501B7"/>
    <w:rsid w:val="00B50F43"/>
    <w:rsid w:val="00B6429F"/>
    <w:rsid w:val="00B656F0"/>
    <w:rsid w:val="00B725B8"/>
    <w:rsid w:val="00B73FEA"/>
    <w:rsid w:val="00B742CD"/>
    <w:rsid w:val="00B74841"/>
    <w:rsid w:val="00B77E99"/>
    <w:rsid w:val="00B81E12"/>
    <w:rsid w:val="00B837AE"/>
    <w:rsid w:val="00B83CFE"/>
    <w:rsid w:val="00B85580"/>
    <w:rsid w:val="00B91DEF"/>
    <w:rsid w:val="00B920A4"/>
    <w:rsid w:val="00B93068"/>
    <w:rsid w:val="00BB0818"/>
    <w:rsid w:val="00BB418D"/>
    <w:rsid w:val="00BB7FCC"/>
    <w:rsid w:val="00BC193A"/>
    <w:rsid w:val="00BC1C5D"/>
    <w:rsid w:val="00BC46ED"/>
    <w:rsid w:val="00BC498D"/>
    <w:rsid w:val="00BC5429"/>
    <w:rsid w:val="00BC6F35"/>
    <w:rsid w:val="00BC74E9"/>
    <w:rsid w:val="00BC7EFB"/>
    <w:rsid w:val="00BD011C"/>
    <w:rsid w:val="00BD4883"/>
    <w:rsid w:val="00BE3C13"/>
    <w:rsid w:val="00BE447C"/>
    <w:rsid w:val="00BE5B7F"/>
    <w:rsid w:val="00BE618E"/>
    <w:rsid w:val="00BF0564"/>
    <w:rsid w:val="00BF5F47"/>
    <w:rsid w:val="00BF6D59"/>
    <w:rsid w:val="00BF7A1A"/>
    <w:rsid w:val="00C029EA"/>
    <w:rsid w:val="00C02B2A"/>
    <w:rsid w:val="00C0407C"/>
    <w:rsid w:val="00C13534"/>
    <w:rsid w:val="00C13800"/>
    <w:rsid w:val="00C14780"/>
    <w:rsid w:val="00C15D9D"/>
    <w:rsid w:val="00C16149"/>
    <w:rsid w:val="00C208C6"/>
    <w:rsid w:val="00C20967"/>
    <w:rsid w:val="00C214B4"/>
    <w:rsid w:val="00C21501"/>
    <w:rsid w:val="00C223FD"/>
    <w:rsid w:val="00C26657"/>
    <w:rsid w:val="00C302B4"/>
    <w:rsid w:val="00C31773"/>
    <w:rsid w:val="00C35AE7"/>
    <w:rsid w:val="00C44685"/>
    <w:rsid w:val="00C463DD"/>
    <w:rsid w:val="00C4716A"/>
    <w:rsid w:val="00C47173"/>
    <w:rsid w:val="00C47787"/>
    <w:rsid w:val="00C52B1C"/>
    <w:rsid w:val="00C53C82"/>
    <w:rsid w:val="00C622ED"/>
    <w:rsid w:val="00C62F76"/>
    <w:rsid w:val="00C638AC"/>
    <w:rsid w:val="00C65026"/>
    <w:rsid w:val="00C662AA"/>
    <w:rsid w:val="00C72005"/>
    <w:rsid w:val="00C72E02"/>
    <w:rsid w:val="00C740DA"/>
    <w:rsid w:val="00C745C3"/>
    <w:rsid w:val="00C74A11"/>
    <w:rsid w:val="00C76C20"/>
    <w:rsid w:val="00C8384C"/>
    <w:rsid w:val="00C85F8B"/>
    <w:rsid w:val="00C927AC"/>
    <w:rsid w:val="00CA1183"/>
    <w:rsid w:val="00CA1F88"/>
    <w:rsid w:val="00CA516D"/>
    <w:rsid w:val="00CB03EB"/>
    <w:rsid w:val="00CB12A8"/>
    <w:rsid w:val="00CB26B3"/>
    <w:rsid w:val="00CB51FE"/>
    <w:rsid w:val="00CB699B"/>
    <w:rsid w:val="00CC2702"/>
    <w:rsid w:val="00CC78A6"/>
    <w:rsid w:val="00CD20A1"/>
    <w:rsid w:val="00CD3225"/>
    <w:rsid w:val="00CD64B5"/>
    <w:rsid w:val="00CD747F"/>
    <w:rsid w:val="00CE1355"/>
    <w:rsid w:val="00CE1382"/>
    <w:rsid w:val="00CE4A8F"/>
    <w:rsid w:val="00CF03F4"/>
    <w:rsid w:val="00CF0AEF"/>
    <w:rsid w:val="00CF0D7F"/>
    <w:rsid w:val="00CF3DF4"/>
    <w:rsid w:val="00CF657E"/>
    <w:rsid w:val="00D01A4C"/>
    <w:rsid w:val="00D038EE"/>
    <w:rsid w:val="00D06940"/>
    <w:rsid w:val="00D102AE"/>
    <w:rsid w:val="00D1075E"/>
    <w:rsid w:val="00D16FDE"/>
    <w:rsid w:val="00D17118"/>
    <w:rsid w:val="00D2031B"/>
    <w:rsid w:val="00D20EF4"/>
    <w:rsid w:val="00D21AA4"/>
    <w:rsid w:val="00D234A9"/>
    <w:rsid w:val="00D25FE2"/>
    <w:rsid w:val="00D34FB3"/>
    <w:rsid w:val="00D351EB"/>
    <w:rsid w:val="00D37904"/>
    <w:rsid w:val="00D42F53"/>
    <w:rsid w:val="00D43252"/>
    <w:rsid w:val="00D4764D"/>
    <w:rsid w:val="00D50452"/>
    <w:rsid w:val="00D64401"/>
    <w:rsid w:val="00D673BA"/>
    <w:rsid w:val="00D673D9"/>
    <w:rsid w:val="00D72DC1"/>
    <w:rsid w:val="00D753D8"/>
    <w:rsid w:val="00D76673"/>
    <w:rsid w:val="00D76841"/>
    <w:rsid w:val="00D80431"/>
    <w:rsid w:val="00D80A99"/>
    <w:rsid w:val="00D8153A"/>
    <w:rsid w:val="00D86516"/>
    <w:rsid w:val="00D87F4C"/>
    <w:rsid w:val="00D94B0C"/>
    <w:rsid w:val="00D96CC5"/>
    <w:rsid w:val="00D978C6"/>
    <w:rsid w:val="00DA67AD"/>
    <w:rsid w:val="00DA6941"/>
    <w:rsid w:val="00DB0CD3"/>
    <w:rsid w:val="00DB0CF8"/>
    <w:rsid w:val="00DB1F53"/>
    <w:rsid w:val="00DC1449"/>
    <w:rsid w:val="00DC1AA4"/>
    <w:rsid w:val="00DC5166"/>
    <w:rsid w:val="00DC5FBA"/>
    <w:rsid w:val="00DC6892"/>
    <w:rsid w:val="00DD2BDB"/>
    <w:rsid w:val="00DD5C8B"/>
    <w:rsid w:val="00DD6E77"/>
    <w:rsid w:val="00DE0613"/>
    <w:rsid w:val="00DE112D"/>
    <w:rsid w:val="00DF2772"/>
    <w:rsid w:val="00DF2823"/>
    <w:rsid w:val="00DF3CF2"/>
    <w:rsid w:val="00DF453A"/>
    <w:rsid w:val="00DF498E"/>
    <w:rsid w:val="00DF662C"/>
    <w:rsid w:val="00E000AD"/>
    <w:rsid w:val="00E07564"/>
    <w:rsid w:val="00E1169F"/>
    <w:rsid w:val="00E130AB"/>
    <w:rsid w:val="00E147D5"/>
    <w:rsid w:val="00E14CFE"/>
    <w:rsid w:val="00E201D5"/>
    <w:rsid w:val="00E23AA7"/>
    <w:rsid w:val="00E241E1"/>
    <w:rsid w:val="00E24D7E"/>
    <w:rsid w:val="00E26278"/>
    <w:rsid w:val="00E328FE"/>
    <w:rsid w:val="00E335A4"/>
    <w:rsid w:val="00E35C1C"/>
    <w:rsid w:val="00E41283"/>
    <w:rsid w:val="00E43CE3"/>
    <w:rsid w:val="00E549B7"/>
    <w:rsid w:val="00E5644E"/>
    <w:rsid w:val="00E60AC0"/>
    <w:rsid w:val="00E62EA5"/>
    <w:rsid w:val="00E62F12"/>
    <w:rsid w:val="00E631DD"/>
    <w:rsid w:val="00E63654"/>
    <w:rsid w:val="00E6387D"/>
    <w:rsid w:val="00E65EF4"/>
    <w:rsid w:val="00E70AD0"/>
    <w:rsid w:val="00E7260F"/>
    <w:rsid w:val="00E747A5"/>
    <w:rsid w:val="00E7485D"/>
    <w:rsid w:val="00E8535A"/>
    <w:rsid w:val="00E856CE"/>
    <w:rsid w:val="00E9059F"/>
    <w:rsid w:val="00E90F23"/>
    <w:rsid w:val="00E91706"/>
    <w:rsid w:val="00E96630"/>
    <w:rsid w:val="00EA392B"/>
    <w:rsid w:val="00EA6C65"/>
    <w:rsid w:val="00EA772F"/>
    <w:rsid w:val="00EB18D7"/>
    <w:rsid w:val="00EB30C3"/>
    <w:rsid w:val="00EB5EFC"/>
    <w:rsid w:val="00EB6832"/>
    <w:rsid w:val="00EB70E2"/>
    <w:rsid w:val="00EC5BC7"/>
    <w:rsid w:val="00EC7146"/>
    <w:rsid w:val="00ED355F"/>
    <w:rsid w:val="00ED6D82"/>
    <w:rsid w:val="00ED7A2A"/>
    <w:rsid w:val="00EE16CC"/>
    <w:rsid w:val="00EE5771"/>
    <w:rsid w:val="00EE639C"/>
    <w:rsid w:val="00EF0B5A"/>
    <w:rsid w:val="00EF1D7F"/>
    <w:rsid w:val="00EF2383"/>
    <w:rsid w:val="00EF497D"/>
    <w:rsid w:val="00EF6834"/>
    <w:rsid w:val="00F02B07"/>
    <w:rsid w:val="00F13EC4"/>
    <w:rsid w:val="00F14AAA"/>
    <w:rsid w:val="00F14E08"/>
    <w:rsid w:val="00F16818"/>
    <w:rsid w:val="00F179DE"/>
    <w:rsid w:val="00F20E52"/>
    <w:rsid w:val="00F236CE"/>
    <w:rsid w:val="00F30427"/>
    <w:rsid w:val="00F345D5"/>
    <w:rsid w:val="00F36C76"/>
    <w:rsid w:val="00F3711E"/>
    <w:rsid w:val="00F40E75"/>
    <w:rsid w:val="00F41498"/>
    <w:rsid w:val="00F42066"/>
    <w:rsid w:val="00F51379"/>
    <w:rsid w:val="00F518F7"/>
    <w:rsid w:val="00F532F9"/>
    <w:rsid w:val="00F54674"/>
    <w:rsid w:val="00F55A1F"/>
    <w:rsid w:val="00F55FD3"/>
    <w:rsid w:val="00F5673A"/>
    <w:rsid w:val="00F61B05"/>
    <w:rsid w:val="00F623B0"/>
    <w:rsid w:val="00F6529B"/>
    <w:rsid w:val="00F66F59"/>
    <w:rsid w:val="00F670E3"/>
    <w:rsid w:val="00F701A2"/>
    <w:rsid w:val="00F70522"/>
    <w:rsid w:val="00F71453"/>
    <w:rsid w:val="00F7224B"/>
    <w:rsid w:val="00F729F2"/>
    <w:rsid w:val="00F74CAF"/>
    <w:rsid w:val="00F75373"/>
    <w:rsid w:val="00F76BC5"/>
    <w:rsid w:val="00F778FA"/>
    <w:rsid w:val="00F81292"/>
    <w:rsid w:val="00F826CB"/>
    <w:rsid w:val="00F82A8B"/>
    <w:rsid w:val="00F85B4A"/>
    <w:rsid w:val="00F85DBE"/>
    <w:rsid w:val="00F91C7F"/>
    <w:rsid w:val="00F942CB"/>
    <w:rsid w:val="00F94942"/>
    <w:rsid w:val="00F954BA"/>
    <w:rsid w:val="00FA4B97"/>
    <w:rsid w:val="00FB016C"/>
    <w:rsid w:val="00FB09F1"/>
    <w:rsid w:val="00FB2719"/>
    <w:rsid w:val="00FB4352"/>
    <w:rsid w:val="00FC2B0A"/>
    <w:rsid w:val="00FC5E08"/>
    <w:rsid w:val="00FC68B7"/>
    <w:rsid w:val="00FD199B"/>
    <w:rsid w:val="00FD21A9"/>
    <w:rsid w:val="00FD59E3"/>
    <w:rsid w:val="00FD6B2B"/>
    <w:rsid w:val="00FE26FA"/>
    <w:rsid w:val="00FE40BE"/>
    <w:rsid w:val="00FE4AFB"/>
    <w:rsid w:val="00FF0169"/>
    <w:rsid w:val="00FF03BB"/>
    <w:rsid w:val="00FF437D"/>
    <w:rsid w:val="00FF7519"/>
    <w:rsid w:val="566ED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08A794F"/>
  <w15:docId w15:val="{2CA1BFA7-4449-4E8E-B468-523E5B0C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uiPriority w:val="1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ListParagraph">
    <w:name w:val="List Paragraph"/>
    <w:basedOn w:val="Normal"/>
    <w:uiPriority w:val="1"/>
    <w:qFormat/>
    <w:rsid w:val="00DC5FBA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Nummerierung1">
    <w:name w:val="Nummerierung 1"/>
    <w:basedOn w:val="Normal"/>
    <w:rsid w:val="0022446F"/>
    <w:pPr>
      <w:numPr>
        <w:numId w:val="16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22446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A0D51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locked/>
    <w:rsid w:val="001A0D51"/>
    <w:rPr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1A0D51"/>
    <w:rPr>
      <w:b/>
      <w:sz w:val="18"/>
      <w:lang w:val="en-GB" w:eastAsia="en-US" w:bidi="ar-SA"/>
    </w:rPr>
  </w:style>
  <w:style w:type="paragraph" w:customStyle="1" w:styleId="Normalcentr">
    <w:name w:val="Normal centré"/>
    <w:basedOn w:val="Normal"/>
    <w:rsid w:val="0000447A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F20E52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rsid w:val="00E62F12"/>
    <w:rPr>
      <w:b/>
      <w:bCs/>
    </w:rPr>
  </w:style>
  <w:style w:type="character" w:customStyle="1" w:styleId="CommentTextChar">
    <w:name w:val="Comment Text Char"/>
    <w:link w:val="CommentText"/>
    <w:semiHidden/>
    <w:rsid w:val="00E62F12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62F12"/>
    <w:rPr>
      <w:lang w:val="en-GB"/>
    </w:rPr>
  </w:style>
  <w:style w:type="paragraph" w:styleId="BalloonText">
    <w:name w:val="Balloon Text"/>
    <w:basedOn w:val="Normal"/>
    <w:link w:val="BalloonTextChar"/>
    <w:rsid w:val="00E62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F12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aliases w:val="5_G Char"/>
    <w:link w:val="FootnoteText"/>
    <w:rsid w:val="000115A4"/>
    <w:rPr>
      <w:sz w:val="18"/>
      <w:lang w:eastAsia="en-US"/>
    </w:rPr>
  </w:style>
  <w:style w:type="character" w:customStyle="1" w:styleId="H1GChar">
    <w:name w:val="_ H_1_G Char"/>
    <w:link w:val="H1G"/>
    <w:locked/>
    <w:rsid w:val="00D76673"/>
    <w:rPr>
      <w:b/>
      <w:sz w:val="24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432CFD"/>
    <w:rPr>
      <w:sz w:val="16"/>
      <w:lang w:eastAsia="en-US"/>
    </w:rPr>
  </w:style>
  <w:style w:type="character" w:customStyle="1" w:styleId="FooterChar1">
    <w:name w:val="Footer Char1"/>
    <w:aliases w:val="3_G Char1"/>
    <w:uiPriority w:val="99"/>
    <w:locked/>
    <w:rsid w:val="00D86516"/>
    <w:rPr>
      <w:sz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D747F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paragraph" w:styleId="Caption">
    <w:name w:val="caption"/>
    <w:basedOn w:val="Normal"/>
    <w:next w:val="Normal"/>
    <w:unhideWhenUsed/>
    <w:qFormat/>
    <w:rsid w:val="00FA4B97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AA73-E83E-4084-AEAF-8E855295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Laurence Berthet</cp:lastModifiedBy>
  <cp:revision>5</cp:revision>
  <cp:lastPrinted>2019-03-21T13:21:00Z</cp:lastPrinted>
  <dcterms:created xsi:type="dcterms:W3CDTF">2019-03-21T13:06:00Z</dcterms:created>
  <dcterms:modified xsi:type="dcterms:W3CDTF">2019-03-25T15:28:00Z</dcterms:modified>
</cp:coreProperties>
</file>