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74799CE" w14:textId="77777777" w:rsidTr="00B11BB4">
        <w:trPr>
          <w:cantSplit/>
          <w:trHeight w:hRule="exact" w:val="851"/>
        </w:trPr>
        <w:tc>
          <w:tcPr>
            <w:tcW w:w="1276" w:type="dxa"/>
            <w:tcBorders>
              <w:bottom w:val="single" w:sz="4" w:space="0" w:color="auto"/>
            </w:tcBorders>
            <w:shd w:val="clear" w:color="auto" w:fill="auto"/>
            <w:vAlign w:val="bottom"/>
          </w:tcPr>
          <w:p w14:paraId="4033EE06" w14:textId="77777777" w:rsidR="00B56E9C" w:rsidRDefault="00B56E9C" w:rsidP="00B11BB4">
            <w:pPr>
              <w:spacing w:after="80"/>
            </w:pPr>
          </w:p>
        </w:tc>
        <w:tc>
          <w:tcPr>
            <w:tcW w:w="2268" w:type="dxa"/>
            <w:tcBorders>
              <w:bottom w:val="single" w:sz="4" w:space="0" w:color="auto"/>
            </w:tcBorders>
            <w:shd w:val="clear" w:color="auto" w:fill="auto"/>
            <w:vAlign w:val="bottom"/>
          </w:tcPr>
          <w:p w14:paraId="233F3F9D" w14:textId="77777777"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14:paraId="4C781EEF" w14:textId="7FFDB4E2" w:rsidR="00B56E9C" w:rsidRPr="00D47EEA" w:rsidRDefault="00956AC8" w:rsidP="007C1348">
            <w:pPr>
              <w:suppressAutoHyphens w:val="0"/>
              <w:spacing w:after="20"/>
              <w:jc w:val="right"/>
            </w:pPr>
            <w:r>
              <w:rPr>
                <w:sz w:val="40"/>
              </w:rPr>
              <w:t>ST</w:t>
            </w:r>
            <w:r>
              <w:t>/SG/AC.10/C.3/2019/</w:t>
            </w:r>
            <w:r w:rsidR="0006059C">
              <w:t>60</w:t>
            </w:r>
            <w:bookmarkStart w:id="0" w:name="_GoBack"/>
            <w:bookmarkEnd w:id="0"/>
          </w:p>
        </w:tc>
      </w:tr>
      <w:tr w:rsidR="00B56E9C" w14:paraId="4CEBE9F8" w14:textId="77777777" w:rsidTr="00B11BB4">
        <w:trPr>
          <w:cantSplit/>
          <w:trHeight w:hRule="exact" w:val="2835"/>
        </w:trPr>
        <w:tc>
          <w:tcPr>
            <w:tcW w:w="1276" w:type="dxa"/>
            <w:tcBorders>
              <w:top w:val="single" w:sz="4" w:space="0" w:color="auto"/>
              <w:bottom w:val="single" w:sz="12" w:space="0" w:color="auto"/>
            </w:tcBorders>
            <w:shd w:val="clear" w:color="auto" w:fill="auto"/>
          </w:tcPr>
          <w:p w14:paraId="50E44BA7" w14:textId="77777777" w:rsidR="00B56E9C" w:rsidRDefault="00A52B16" w:rsidP="00B11BB4">
            <w:pPr>
              <w:spacing w:before="120"/>
            </w:pPr>
            <w:r>
              <w:rPr>
                <w:noProof/>
                <w:lang w:eastAsia="en-GB"/>
              </w:rPr>
              <w:drawing>
                <wp:inline distT="0" distB="0" distL="0" distR="0" wp14:anchorId="61294983" wp14:editId="07F61DA8">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61371B02" w14:textId="310501DE" w:rsidR="00B56E9C" w:rsidRPr="00B11BB4" w:rsidRDefault="000E416A" w:rsidP="00B11BB4">
            <w:pPr>
              <w:spacing w:before="120" w:line="420" w:lineRule="exact"/>
              <w:rPr>
                <w:sz w:val="40"/>
                <w:szCs w:val="40"/>
              </w:rPr>
            </w:pPr>
            <w:r w:rsidRPr="007B2B1F">
              <w:rPr>
                <w:b/>
                <w:sz w:val="40"/>
                <w:szCs w:val="40"/>
              </w:rPr>
              <w:t>Secretariat</w:t>
            </w:r>
          </w:p>
        </w:tc>
        <w:tc>
          <w:tcPr>
            <w:tcW w:w="2835" w:type="dxa"/>
            <w:tcBorders>
              <w:top w:val="single" w:sz="4" w:space="0" w:color="auto"/>
              <w:bottom w:val="single" w:sz="12" w:space="0" w:color="auto"/>
            </w:tcBorders>
            <w:shd w:val="clear" w:color="auto" w:fill="auto"/>
          </w:tcPr>
          <w:p w14:paraId="1A1417A9" w14:textId="77777777" w:rsidR="009D2A5B" w:rsidRDefault="009D2A5B" w:rsidP="00B11BB4">
            <w:pPr>
              <w:suppressAutoHyphens w:val="0"/>
              <w:spacing w:before="240" w:line="240" w:lineRule="exact"/>
            </w:pPr>
            <w:r>
              <w:t>Distr.: General</w:t>
            </w:r>
          </w:p>
          <w:p w14:paraId="0FDC7282" w14:textId="2EB71CA3" w:rsidR="009D2A5B" w:rsidRDefault="000F6518" w:rsidP="00B11BB4">
            <w:pPr>
              <w:suppressAutoHyphens w:val="0"/>
            </w:pPr>
            <w:r>
              <w:t>9</w:t>
            </w:r>
            <w:r w:rsidR="007E4C3D">
              <w:t xml:space="preserve"> </w:t>
            </w:r>
            <w:r w:rsidR="00956AC8">
              <w:t>September</w:t>
            </w:r>
            <w:r w:rsidR="00157306">
              <w:t xml:space="preserve"> </w:t>
            </w:r>
            <w:r w:rsidR="001B13A5">
              <w:t>201</w:t>
            </w:r>
            <w:r w:rsidR="00157306">
              <w:t>9</w:t>
            </w:r>
          </w:p>
          <w:p w14:paraId="17219CFA" w14:textId="77777777" w:rsidR="009D2A5B" w:rsidRDefault="009D2A5B" w:rsidP="00B11BB4">
            <w:pPr>
              <w:suppressAutoHyphens w:val="0"/>
            </w:pPr>
          </w:p>
          <w:p w14:paraId="7F8FDBB0" w14:textId="77777777" w:rsidR="00B56E9C" w:rsidRDefault="009D2A5B" w:rsidP="00B11BB4">
            <w:pPr>
              <w:suppressAutoHyphens w:val="0"/>
            </w:pPr>
            <w:r>
              <w:t xml:space="preserve">Original: </w:t>
            </w:r>
            <w:r w:rsidR="0094558F">
              <w:t xml:space="preserve"> English</w:t>
            </w:r>
          </w:p>
        </w:tc>
      </w:tr>
    </w:tbl>
    <w:p w14:paraId="22665D93" w14:textId="77777777" w:rsidR="00956AC8" w:rsidRDefault="00956AC8" w:rsidP="00956AC8">
      <w:pPr>
        <w:spacing w:before="120" w:after="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C20A5D2" w14:textId="77777777" w:rsidR="00956AC8" w:rsidRDefault="00956AC8" w:rsidP="00956AC8">
      <w:pPr>
        <w:spacing w:before="120"/>
        <w:outlineLvl w:val="0"/>
        <w:rPr>
          <w:b/>
          <w:lang w:val="en-US"/>
        </w:rPr>
      </w:pPr>
      <w:r>
        <w:rPr>
          <w:b/>
          <w:lang w:val="en-US"/>
        </w:rPr>
        <w:t>Sub-Committee of Experts on the Transport of Dangerous Goods</w:t>
      </w:r>
    </w:p>
    <w:p w14:paraId="1B8645D4" w14:textId="48CEEADF" w:rsidR="00956AC8" w:rsidRDefault="00695D45" w:rsidP="00956AC8">
      <w:pPr>
        <w:spacing w:before="120"/>
        <w:outlineLvl w:val="0"/>
        <w:rPr>
          <w:b/>
        </w:rPr>
      </w:pPr>
      <w:r>
        <w:rPr>
          <w:b/>
        </w:rPr>
        <w:t>Fifty-sixth</w:t>
      </w:r>
      <w:r w:rsidR="00956AC8">
        <w:rPr>
          <w:b/>
        </w:rPr>
        <w:t xml:space="preserve"> session</w:t>
      </w:r>
    </w:p>
    <w:p w14:paraId="09319602" w14:textId="5802A01D" w:rsidR="00956AC8" w:rsidRDefault="00956AC8" w:rsidP="00956AC8">
      <w:pPr>
        <w:outlineLvl w:val="0"/>
        <w:rPr>
          <w:color w:val="333333"/>
          <w:lang w:eastAsia="it-IT"/>
        </w:rPr>
      </w:pPr>
      <w:r>
        <w:t xml:space="preserve">Geneva, </w:t>
      </w:r>
      <w:r w:rsidR="00695D45">
        <w:rPr>
          <w:color w:val="333333"/>
          <w:lang w:eastAsia="it-IT"/>
        </w:rPr>
        <w:t>2</w:t>
      </w:r>
      <w:r>
        <w:rPr>
          <w:color w:val="333333"/>
          <w:lang w:eastAsia="it-IT"/>
        </w:rPr>
        <w:t>-</w:t>
      </w:r>
      <w:r w:rsidR="00695D45">
        <w:rPr>
          <w:color w:val="333333"/>
          <w:lang w:eastAsia="it-IT"/>
        </w:rPr>
        <w:t>11</w:t>
      </w:r>
      <w:r>
        <w:rPr>
          <w:color w:val="333333"/>
          <w:lang w:eastAsia="it-IT"/>
        </w:rPr>
        <w:t xml:space="preserve"> </w:t>
      </w:r>
      <w:r w:rsidR="00695D45">
        <w:rPr>
          <w:color w:val="333333"/>
          <w:lang w:eastAsia="it-IT"/>
        </w:rPr>
        <w:t>December</w:t>
      </w:r>
      <w:r>
        <w:rPr>
          <w:color w:val="333333"/>
          <w:lang w:eastAsia="it-IT"/>
        </w:rPr>
        <w:t xml:space="preserve"> 2019</w:t>
      </w:r>
    </w:p>
    <w:p w14:paraId="0909ABD9" w14:textId="0D2439D2" w:rsidR="00B175D8" w:rsidRDefault="00993F91" w:rsidP="00B175D8">
      <w:r>
        <w:t xml:space="preserve">Item </w:t>
      </w:r>
      <w:r w:rsidR="00D916A9">
        <w:t>4</w:t>
      </w:r>
      <w:r w:rsidR="000F6518">
        <w:t xml:space="preserve"> </w:t>
      </w:r>
      <w:r>
        <w:t>(</w:t>
      </w:r>
      <w:r w:rsidR="00D916A9">
        <w:t>a</w:t>
      </w:r>
      <w:r>
        <w:t>) of the provisional agenda</w:t>
      </w:r>
    </w:p>
    <w:p w14:paraId="1EA4DDB8" w14:textId="0C8B6AFF" w:rsidR="00D916A9" w:rsidRPr="00D916A9" w:rsidRDefault="00D916A9" w:rsidP="00B175D8">
      <w:pPr>
        <w:rPr>
          <w:b/>
          <w:bCs/>
        </w:rPr>
      </w:pPr>
      <w:r w:rsidRPr="00D916A9">
        <w:rPr>
          <w:b/>
          <w:bCs/>
        </w:rPr>
        <w:t>Electric storage systems: testing of lithium batteries</w:t>
      </w:r>
    </w:p>
    <w:p w14:paraId="7C15C89C" w14:textId="77777777" w:rsidR="00D916A9" w:rsidRPr="00BC1FB8" w:rsidRDefault="00D916A9" w:rsidP="00D916A9">
      <w:pPr>
        <w:pStyle w:val="HChG"/>
      </w:pPr>
      <w:r>
        <w:tab/>
      </w:r>
      <w:r>
        <w:tab/>
        <w:t>Clarification o</w:t>
      </w:r>
      <w:r>
        <w:rPr>
          <w:lang w:val="en-US"/>
        </w:rPr>
        <w:t>f</w:t>
      </w:r>
      <w:r>
        <w:t xml:space="preserve"> Packing Instruction P903</w:t>
      </w:r>
    </w:p>
    <w:p w14:paraId="6ABE13F6" w14:textId="4C3E9D96" w:rsidR="00D916A9" w:rsidRPr="00AC05E0" w:rsidRDefault="00D916A9" w:rsidP="00D916A9">
      <w:pPr>
        <w:pStyle w:val="H1G"/>
      </w:pPr>
      <w:r>
        <w:tab/>
      </w:r>
      <w:r>
        <w:tab/>
      </w:r>
      <w:r w:rsidRPr="00AC05E0">
        <w:t>Transmitted by</w:t>
      </w:r>
      <w:r>
        <w:t xml:space="preserve"> PRBA - the Rechargeable Battery Association, and </w:t>
      </w:r>
      <w:bookmarkStart w:id="1" w:name="_Hlk18677153"/>
      <w:r>
        <w:t xml:space="preserve">The </w:t>
      </w:r>
      <w:r w:rsidRPr="00400019">
        <w:t>Advanced Rechargeable &amp; Lithium Batteries Association</w:t>
      </w:r>
      <w:bookmarkEnd w:id="1"/>
      <w:r>
        <w:t xml:space="preserve"> (RECHARGE)</w:t>
      </w:r>
      <w:r>
        <w:rPr>
          <w:rStyle w:val="FootnoteReference"/>
        </w:rPr>
        <w:footnoteReference w:customMarkFollows="1" w:id="2"/>
        <w:t>*</w:t>
      </w:r>
    </w:p>
    <w:p w14:paraId="1910B7FC" w14:textId="77777777" w:rsidR="00D916A9" w:rsidRPr="00F0114F" w:rsidRDefault="00D916A9" w:rsidP="00D916A9">
      <w:pPr>
        <w:pStyle w:val="HChG"/>
      </w:pPr>
      <w:r w:rsidRPr="00F0114F">
        <w:tab/>
      </w:r>
      <w:r w:rsidRPr="00F0114F">
        <w:tab/>
        <w:t>Introduction</w:t>
      </w:r>
    </w:p>
    <w:p w14:paraId="316EFC70" w14:textId="580A144E" w:rsidR="00D916A9" w:rsidRPr="006C2EC4" w:rsidRDefault="00D916A9" w:rsidP="00D916A9">
      <w:pPr>
        <w:pStyle w:val="SingleTxtG"/>
        <w:numPr>
          <w:ilvl w:val="0"/>
          <w:numId w:val="32"/>
        </w:numPr>
        <w:ind w:left="1134" w:firstLine="0"/>
        <w:rPr>
          <w:lang w:val="en-US"/>
        </w:rPr>
      </w:pPr>
      <w:r w:rsidRPr="006C2EC4">
        <w:rPr>
          <w:lang w:val="en-US"/>
        </w:rPr>
        <w:t xml:space="preserve">As explained in </w:t>
      </w:r>
      <w:r>
        <w:rPr>
          <w:lang w:val="en-US"/>
        </w:rPr>
        <w:t xml:space="preserve">informal document </w:t>
      </w:r>
      <w:r w:rsidRPr="006C2EC4">
        <w:rPr>
          <w:lang w:val="en-US"/>
        </w:rPr>
        <w:t xml:space="preserve">INF.25 during the fifty-fifth session, the authorization in Packing Instruction P903 to use strong outer packaging for batteries </w:t>
      </w:r>
      <w:r>
        <w:rPr>
          <w:lang w:val="en-US"/>
        </w:rPr>
        <w:t>or an assembly of</w:t>
      </w:r>
      <w:r w:rsidRPr="006C2EC4">
        <w:rPr>
          <w:lang w:val="en-US"/>
        </w:rPr>
        <w:t xml:space="preserve"> batter</w:t>
      </w:r>
      <w:r>
        <w:rPr>
          <w:lang w:val="en-US"/>
        </w:rPr>
        <w:t>ies</w:t>
      </w:r>
      <w:r w:rsidRPr="006C2EC4">
        <w:rPr>
          <w:lang w:val="en-US"/>
        </w:rPr>
        <w:t xml:space="preserve"> with a gross mass of more than 12 kg has caused some competent authorities to misinterpret the requirements of th</w:t>
      </w:r>
      <w:r>
        <w:rPr>
          <w:lang w:val="en-US"/>
        </w:rPr>
        <w:t>is</w:t>
      </w:r>
      <w:r w:rsidRPr="006C2EC4">
        <w:rPr>
          <w:lang w:val="en-US"/>
        </w:rPr>
        <w:t xml:space="preserve"> </w:t>
      </w:r>
      <w:r>
        <w:rPr>
          <w:lang w:val="en-US"/>
        </w:rPr>
        <w:t>p</w:t>
      </w:r>
      <w:r w:rsidRPr="006C2EC4">
        <w:rPr>
          <w:lang w:val="en-US"/>
        </w:rPr>
        <w:t xml:space="preserve">acking </w:t>
      </w:r>
      <w:r>
        <w:rPr>
          <w:lang w:val="en-US"/>
        </w:rPr>
        <w:t>i</w:t>
      </w:r>
      <w:r w:rsidRPr="006C2EC4">
        <w:rPr>
          <w:lang w:val="en-US"/>
        </w:rPr>
        <w:t xml:space="preserve">nstruction.  In addition, the language in P903 is not consistent with similar language in the ICAO TI, which has caused confusion for some competent authorities issuing approvals under the ICAO TI Packing Instruction 965, Section IA. This document addresses the comments </w:t>
      </w:r>
      <w:r>
        <w:rPr>
          <w:lang w:val="en-US"/>
        </w:rPr>
        <w:t xml:space="preserve">provided by members of the Sub-Committee in response to </w:t>
      </w:r>
      <w:r w:rsidRPr="006C2EC4">
        <w:rPr>
          <w:lang w:val="en-US"/>
        </w:rPr>
        <w:t xml:space="preserve">UN/SCETDG/55/INF.25 </w:t>
      </w:r>
      <w:r>
        <w:rPr>
          <w:lang w:val="en-US"/>
        </w:rPr>
        <w:t xml:space="preserve">and </w:t>
      </w:r>
      <w:r w:rsidRPr="006C2EC4">
        <w:rPr>
          <w:lang w:val="en-US"/>
        </w:rPr>
        <w:t>clarif</w:t>
      </w:r>
      <w:r>
        <w:rPr>
          <w:lang w:val="en-US"/>
        </w:rPr>
        <w:t>ies</w:t>
      </w:r>
      <w:r w:rsidRPr="006C2EC4">
        <w:rPr>
          <w:lang w:val="en-US"/>
        </w:rPr>
        <w:t xml:space="preserve"> the use of th</w:t>
      </w:r>
      <w:r>
        <w:rPr>
          <w:lang w:val="en-US"/>
        </w:rPr>
        <w:t>e</w:t>
      </w:r>
      <w:r w:rsidRPr="006C2EC4">
        <w:rPr>
          <w:lang w:val="en-US"/>
        </w:rPr>
        <w:t xml:space="preserve"> provision </w:t>
      </w:r>
      <w:r>
        <w:rPr>
          <w:lang w:val="en-US"/>
        </w:rPr>
        <w:t xml:space="preserve">in P903 </w:t>
      </w:r>
      <w:r w:rsidRPr="006C2EC4">
        <w:rPr>
          <w:lang w:val="en-US"/>
        </w:rPr>
        <w:t xml:space="preserve">for larger lithium batteries </w:t>
      </w:r>
      <w:r>
        <w:rPr>
          <w:lang w:val="en-US"/>
        </w:rPr>
        <w:t>or</w:t>
      </w:r>
      <w:r w:rsidRPr="006C2EC4">
        <w:rPr>
          <w:lang w:val="en-US"/>
        </w:rPr>
        <w:t xml:space="preserve"> assemblies exceeding 12 kg that have impact resistant outer casings.</w:t>
      </w:r>
    </w:p>
    <w:p w14:paraId="09D72FE1" w14:textId="77777777" w:rsidR="00D916A9" w:rsidRPr="00C039FA" w:rsidRDefault="00D916A9" w:rsidP="00D916A9">
      <w:pPr>
        <w:pStyle w:val="SingleTxtG"/>
      </w:pPr>
      <w:r>
        <w:rPr>
          <w:lang w:val="fr-CH"/>
        </w:rPr>
        <w:t>2.</w:t>
      </w:r>
      <w:r>
        <w:tab/>
      </w:r>
      <w:r w:rsidRPr="00C039FA">
        <w:t xml:space="preserve">The general structure of paragraph (2) in P903 is causing </w:t>
      </w:r>
      <w:r>
        <w:rPr>
          <w:lang w:val="en-US"/>
        </w:rPr>
        <w:t xml:space="preserve">most of the </w:t>
      </w:r>
      <w:r w:rsidRPr="00C039FA">
        <w:t>confusion for how it can be utilized by battery manufacturers</w:t>
      </w:r>
      <w:r>
        <w:rPr>
          <w:lang w:val="en-US"/>
        </w:rPr>
        <w:t xml:space="preserve"> when shipping an assembly of batteries</w:t>
      </w:r>
      <w:r w:rsidRPr="00C039FA">
        <w:t xml:space="preserve">.  The industry has always operated under the </w:t>
      </w:r>
      <w:r>
        <w:rPr>
          <w:lang w:val="en-US"/>
        </w:rPr>
        <w:t>assumption when battery modules are electrically connected to form an assembly, these modules do not necessarily need to exceed 12 kg or have impact resistant outer casings provided the assembly meets these two criteria</w:t>
      </w:r>
      <w:r w:rsidRPr="00C039FA">
        <w:t>.</w:t>
      </w:r>
    </w:p>
    <w:p w14:paraId="1F548064" w14:textId="02EB6D7B" w:rsidR="00D916A9" w:rsidRPr="004613A8" w:rsidRDefault="00D916A9" w:rsidP="00D916A9">
      <w:pPr>
        <w:pStyle w:val="SingleTxtG"/>
        <w:rPr>
          <w:lang w:val="en-US"/>
        </w:rPr>
      </w:pPr>
      <w:r>
        <w:rPr>
          <w:lang w:val="en-US"/>
        </w:rPr>
        <w:tab/>
        <w:t>3</w:t>
      </w:r>
      <w:r>
        <w:rPr>
          <w:lang w:val="en-US"/>
        </w:rPr>
        <w:tab/>
      </w:r>
      <w:r w:rsidR="00EB477C">
        <w:rPr>
          <w:lang w:val="en-US"/>
        </w:rPr>
        <w:t>PRBA and RECHARGE</w:t>
      </w:r>
      <w:r>
        <w:rPr>
          <w:lang w:val="en-US"/>
        </w:rPr>
        <w:t xml:space="preserve"> understand one competent authority is interpreting paragraph (2) in P903 to require the assembly </w:t>
      </w:r>
      <w:r w:rsidRPr="0079020E">
        <w:rPr>
          <w:i/>
          <w:u w:val="single"/>
          <w:lang w:val="en-US"/>
        </w:rPr>
        <w:t>and</w:t>
      </w:r>
      <w:r>
        <w:rPr>
          <w:lang w:val="en-US"/>
        </w:rPr>
        <w:t xml:space="preserve"> the battery modules within the assembly to </w:t>
      </w:r>
      <w:r w:rsidRPr="0079020E">
        <w:rPr>
          <w:i/>
          <w:u w:val="single"/>
          <w:lang w:val="en-US"/>
        </w:rPr>
        <w:t>both</w:t>
      </w:r>
      <w:r>
        <w:rPr>
          <w:lang w:val="en-US"/>
        </w:rPr>
        <w:t xml:space="preserve"> have a gross mass of more than 12 kg and strong, impact-resistant outer casings. </w:t>
      </w:r>
      <w:r w:rsidR="00EB477C">
        <w:rPr>
          <w:lang w:val="en-US"/>
        </w:rPr>
        <w:t>The authors do</w:t>
      </w:r>
      <w:r>
        <w:rPr>
          <w:lang w:val="en-US"/>
        </w:rPr>
        <w:t xml:space="preserve"> not believe that </w:t>
      </w:r>
      <w:r w:rsidR="00EB477C">
        <w:rPr>
          <w:lang w:val="en-US"/>
        </w:rPr>
        <w:t xml:space="preserve">this </w:t>
      </w:r>
      <w:r>
        <w:rPr>
          <w:lang w:val="en-US"/>
        </w:rPr>
        <w:t xml:space="preserve">is a correct interpretation. To clarify </w:t>
      </w:r>
      <w:r>
        <w:rPr>
          <w:lang w:val="en-US"/>
        </w:rPr>
        <w:lastRenderedPageBreak/>
        <w:t xml:space="preserve">this provision, </w:t>
      </w:r>
      <w:r w:rsidR="00EB477C">
        <w:rPr>
          <w:lang w:val="en-US"/>
        </w:rPr>
        <w:t>the authors</w:t>
      </w:r>
      <w:r>
        <w:rPr>
          <w:lang w:val="en-US"/>
        </w:rPr>
        <w:t xml:space="preserve"> have </w:t>
      </w:r>
      <w:proofErr w:type="gramStart"/>
      <w:r>
        <w:rPr>
          <w:lang w:val="en-US"/>
        </w:rPr>
        <w:t>propose</w:t>
      </w:r>
      <w:proofErr w:type="gramEnd"/>
      <w:r w:rsidR="00EB477C">
        <w:rPr>
          <w:lang w:val="en-US"/>
        </w:rPr>
        <w:t xml:space="preserve"> this</w:t>
      </w:r>
      <w:r>
        <w:rPr>
          <w:lang w:val="en-US"/>
        </w:rPr>
        <w:t xml:space="preserve"> minor amendments to paragraph (2) in P903.</w:t>
      </w:r>
      <w:bookmarkStart w:id="2" w:name="_Hlk11073961"/>
    </w:p>
    <w:p w14:paraId="07CE31E8" w14:textId="77777777" w:rsidR="00D916A9" w:rsidRPr="008F4897" w:rsidRDefault="00D916A9" w:rsidP="00D916A9">
      <w:pPr>
        <w:pStyle w:val="HChG"/>
      </w:pPr>
      <w:r>
        <w:tab/>
      </w:r>
      <w:r>
        <w:tab/>
        <w:t>Proposal</w:t>
      </w:r>
      <w:bookmarkEnd w:id="2"/>
    </w:p>
    <w:p w14:paraId="0C5D3FE4" w14:textId="77777777" w:rsidR="00D916A9" w:rsidRPr="00BA49CC" w:rsidRDefault="00D916A9" w:rsidP="00D916A9">
      <w:pPr>
        <w:pStyle w:val="SingleTxtG"/>
      </w:pPr>
      <w:r>
        <w:tab/>
      </w:r>
      <w:r>
        <w:rPr>
          <w:lang w:val="fr-CH"/>
        </w:rPr>
        <w:t>4.</w:t>
      </w:r>
      <w:r>
        <w:tab/>
      </w:r>
      <w:r>
        <w:rPr>
          <w:lang w:val="en-US"/>
        </w:rPr>
        <w:t>Amend p</w:t>
      </w:r>
      <w:proofErr w:type="spellStart"/>
      <w:r w:rsidRPr="00BA49CC">
        <w:t>aragraph</w:t>
      </w:r>
      <w:proofErr w:type="spellEnd"/>
      <w:r w:rsidRPr="00BA49CC">
        <w:t xml:space="preserve"> (2) in P903 </w:t>
      </w:r>
      <w:r>
        <w:t xml:space="preserve">as </w:t>
      </w:r>
      <w:proofErr w:type="gramStart"/>
      <w:r>
        <w:t>follows</w:t>
      </w:r>
      <w:r w:rsidRPr="00BA49CC">
        <w:t>:</w:t>
      </w:r>
      <w:proofErr w:type="gramEnd"/>
    </w:p>
    <w:p w14:paraId="7068C08D" w14:textId="77777777" w:rsidR="00D916A9" w:rsidRDefault="00D916A9" w:rsidP="00D916A9">
      <w:pPr>
        <w:spacing w:after="120"/>
        <w:ind w:left="1710" w:right="1134"/>
        <w:jc w:val="both"/>
        <w:rPr>
          <w:lang w:val="en-US"/>
        </w:rPr>
      </w:pPr>
      <w:r w:rsidRPr="00BA49CC">
        <w:rPr>
          <w:lang w:val="en-US"/>
        </w:rPr>
        <w:t>“In addition, for</w:t>
      </w:r>
      <w:r>
        <w:rPr>
          <w:lang w:val="en-US"/>
        </w:rPr>
        <w:t xml:space="preserve"> </w:t>
      </w:r>
      <w:r>
        <w:rPr>
          <w:u w:val="single"/>
          <w:lang w:val="en-US"/>
        </w:rPr>
        <w:t xml:space="preserve">a </w:t>
      </w:r>
      <w:proofErr w:type="gramStart"/>
      <w:r w:rsidRPr="00BA49CC">
        <w:rPr>
          <w:lang w:val="en-US"/>
        </w:rPr>
        <w:t>cell</w:t>
      </w:r>
      <w:r w:rsidRPr="003F2F68">
        <w:rPr>
          <w:strike/>
          <w:lang w:val="en-US"/>
        </w:rPr>
        <w:t>s</w:t>
      </w:r>
      <w:proofErr w:type="gramEnd"/>
      <w:r>
        <w:rPr>
          <w:u w:val="single"/>
          <w:lang w:val="en-US"/>
        </w:rPr>
        <w:t xml:space="preserve"> </w:t>
      </w:r>
      <w:r>
        <w:rPr>
          <w:lang w:val="en-US"/>
        </w:rPr>
        <w:t xml:space="preserve">or </w:t>
      </w:r>
      <w:proofErr w:type="spellStart"/>
      <w:r w:rsidRPr="003F7587">
        <w:rPr>
          <w:lang w:val="en-US"/>
        </w:rPr>
        <w:t>batter</w:t>
      </w:r>
      <w:r w:rsidRPr="00CB1ED1">
        <w:rPr>
          <w:u w:val="single"/>
          <w:lang w:val="en-US"/>
        </w:rPr>
        <w:t>y</w:t>
      </w:r>
      <w:r w:rsidRPr="00CB1ED1">
        <w:rPr>
          <w:strike/>
          <w:lang w:val="en-US"/>
        </w:rPr>
        <w:t>ies</w:t>
      </w:r>
      <w:proofErr w:type="spellEnd"/>
      <w:r w:rsidRPr="003F2F68">
        <w:rPr>
          <w:lang w:val="en-US"/>
        </w:rPr>
        <w:t xml:space="preserve"> </w:t>
      </w:r>
      <w:r>
        <w:rPr>
          <w:u w:val="single"/>
          <w:lang w:val="en-US"/>
        </w:rPr>
        <w:t>(including an assembly of batteries)</w:t>
      </w:r>
      <w:r>
        <w:rPr>
          <w:lang w:val="en-US"/>
        </w:rPr>
        <w:t xml:space="preserve"> </w:t>
      </w:r>
      <w:r w:rsidRPr="003F7587">
        <w:rPr>
          <w:lang w:val="en-US"/>
        </w:rPr>
        <w:t>with</w:t>
      </w:r>
      <w:r w:rsidRPr="00BA49CC">
        <w:rPr>
          <w:lang w:val="en-US"/>
        </w:rPr>
        <w:t xml:space="preserve"> a gross mass of 12 kg or more employing a strong, impact resistant outer casing</w:t>
      </w:r>
      <w:r w:rsidRPr="003F7587">
        <w:rPr>
          <w:strike/>
          <w:lang w:val="en-US"/>
        </w:rPr>
        <w:t>, and assemblies of such cells or batteries</w:t>
      </w:r>
      <w:r w:rsidRPr="00CE1FC8">
        <w:rPr>
          <w:lang w:val="en-US"/>
        </w:rPr>
        <w:t>:</w:t>
      </w:r>
    </w:p>
    <w:p w14:paraId="5F3CC635" w14:textId="77777777" w:rsidR="00D916A9" w:rsidRPr="00BA49CC" w:rsidRDefault="00D916A9" w:rsidP="00D916A9">
      <w:pPr>
        <w:pStyle w:val="SingleTxtG"/>
        <w:ind w:firstLine="567"/>
      </w:pPr>
      <w:r>
        <w:tab/>
      </w:r>
      <w:r>
        <w:rPr>
          <w:lang w:val="fr-CH"/>
        </w:rPr>
        <w:t>(a)</w:t>
      </w:r>
      <w:r>
        <w:tab/>
      </w:r>
      <w:r w:rsidRPr="00BA49CC">
        <w:t xml:space="preserve">Strong outer </w:t>
      </w:r>
      <w:proofErr w:type="gramStart"/>
      <w:r w:rsidRPr="00BA49CC">
        <w:t>packaging;</w:t>
      </w:r>
      <w:proofErr w:type="gramEnd"/>
    </w:p>
    <w:p w14:paraId="398CD02C" w14:textId="77777777" w:rsidR="00D916A9" w:rsidRDefault="00D916A9" w:rsidP="00D916A9">
      <w:pPr>
        <w:pStyle w:val="SingleTxtG"/>
        <w:ind w:firstLine="567"/>
      </w:pPr>
      <w:r>
        <w:tab/>
      </w:r>
      <w:r>
        <w:rPr>
          <w:lang w:val="fr-CH"/>
        </w:rPr>
        <w:t>(b)</w:t>
      </w:r>
      <w:r>
        <w:tab/>
      </w:r>
      <w:r w:rsidRPr="00BA49CC">
        <w:t>Protective enclosures (e.g., fully enclosed or wooden slated crates</w:t>
      </w:r>
      <w:proofErr w:type="gramStart"/>
      <w:r w:rsidRPr="00BA49CC">
        <w:t>);</w:t>
      </w:r>
      <w:proofErr w:type="gramEnd"/>
      <w:r w:rsidRPr="00BA49CC">
        <w:t xml:space="preserve"> or</w:t>
      </w:r>
    </w:p>
    <w:p w14:paraId="6A1AF78E" w14:textId="77777777" w:rsidR="00D916A9" w:rsidRPr="00F57557" w:rsidRDefault="00D916A9" w:rsidP="00D916A9">
      <w:pPr>
        <w:pStyle w:val="SingleTxtG"/>
        <w:ind w:firstLine="567"/>
        <w:rPr>
          <w:lang w:val="fr-CH"/>
        </w:rPr>
      </w:pPr>
      <w:r>
        <w:tab/>
      </w:r>
      <w:r>
        <w:rPr>
          <w:lang w:val="fr-CH"/>
        </w:rPr>
        <w:t>(c)</w:t>
      </w:r>
      <w:r>
        <w:tab/>
      </w:r>
      <w:r w:rsidRPr="00BA49CC">
        <w:t>Pallets or other handling devices.”</w:t>
      </w:r>
    </w:p>
    <w:p w14:paraId="2797FF0B" w14:textId="2C90EF4F" w:rsidR="00D916A9" w:rsidRPr="007A19DA" w:rsidRDefault="00D916A9" w:rsidP="00D916A9">
      <w:pPr>
        <w:spacing w:before="240"/>
        <w:jc w:val="center"/>
      </w:pPr>
      <w:r>
        <w:rPr>
          <w:u w:val="single"/>
        </w:rPr>
        <w:tab/>
      </w:r>
      <w:r>
        <w:rPr>
          <w:u w:val="single"/>
        </w:rPr>
        <w:tab/>
      </w:r>
      <w:r>
        <w:rPr>
          <w:u w:val="single"/>
        </w:rPr>
        <w:tab/>
      </w:r>
    </w:p>
    <w:p w14:paraId="0D201786" w14:textId="77777777" w:rsidR="00D916A9" w:rsidRPr="006C50B0" w:rsidRDefault="00D916A9" w:rsidP="00D916A9">
      <w:pPr>
        <w:pStyle w:val="SingleTxtG"/>
      </w:pPr>
    </w:p>
    <w:p w14:paraId="07198AB9" w14:textId="77777777" w:rsidR="00D916A9" w:rsidRPr="000F6518" w:rsidRDefault="00D916A9" w:rsidP="00B175D8">
      <w:pPr>
        <w:rPr>
          <w:b/>
          <w:bCs/>
        </w:rPr>
      </w:pPr>
    </w:p>
    <w:sectPr w:rsidR="00D916A9" w:rsidRPr="000F6518" w:rsidSect="008B09D9">
      <w:headerReference w:type="even" r:id="rId12"/>
      <w:headerReference w:type="default" r:id="rId13"/>
      <w:footerReference w:type="even" r:id="rId14"/>
      <w:footerReference w:type="default" r:id="rId15"/>
      <w:footnotePr>
        <w:numFmt w:val="chicago"/>
      </w:footnotePr>
      <w:endnotePr>
        <w:numFmt w:val="decimal"/>
      </w:endnotePr>
      <w:type w:val="continuous"/>
      <w:pgSz w:w="11907" w:h="16840" w:code="9"/>
      <w:pgMar w:top="1701" w:right="1647" w:bottom="993"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A20C" w14:textId="77777777" w:rsidR="00522169" w:rsidRDefault="00522169"/>
  </w:endnote>
  <w:endnote w:type="continuationSeparator" w:id="0">
    <w:p w14:paraId="2B43E6E3" w14:textId="77777777" w:rsidR="00522169" w:rsidRDefault="00522169"/>
  </w:endnote>
  <w:endnote w:type="continuationNotice" w:id="1">
    <w:p w14:paraId="22C662CC" w14:textId="77777777" w:rsidR="00522169" w:rsidRDefault="00522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58129416"/>
      <w:docPartObj>
        <w:docPartGallery w:val="Page Numbers (Bottom of Page)"/>
        <w:docPartUnique/>
      </w:docPartObj>
    </w:sdtPr>
    <w:sdtEndPr>
      <w:rPr>
        <w:noProof/>
      </w:rPr>
    </w:sdtEndPr>
    <w:sdtContent>
      <w:p w14:paraId="4903CBD1" w14:textId="21009564" w:rsidR="000F6518" w:rsidRPr="000F6518" w:rsidRDefault="000F6518">
        <w:pPr>
          <w:pStyle w:val="Footer"/>
          <w:rPr>
            <w:b/>
            <w:bCs/>
          </w:rPr>
        </w:pPr>
        <w:r w:rsidRPr="000F6518">
          <w:rPr>
            <w:b/>
            <w:bCs/>
          </w:rPr>
          <w:fldChar w:fldCharType="begin"/>
        </w:r>
        <w:r w:rsidRPr="000F6518">
          <w:rPr>
            <w:b/>
            <w:bCs/>
          </w:rPr>
          <w:instrText xml:space="preserve"> PAGE   \* MERGEFORMAT </w:instrText>
        </w:r>
        <w:r w:rsidRPr="000F6518">
          <w:rPr>
            <w:b/>
            <w:bCs/>
          </w:rPr>
          <w:fldChar w:fldCharType="separate"/>
        </w:r>
        <w:r w:rsidRPr="000F6518">
          <w:rPr>
            <w:b/>
            <w:bCs/>
            <w:noProof/>
          </w:rPr>
          <w:t>2</w:t>
        </w:r>
        <w:r w:rsidRPr="000F6518">
          <w:rPr>
            <w:b/>
            <w:bCs/>
            <w:noProof/>
          </w:rPr>
          <w:fldChar w:fldCharType="end"/>
        </w:r>
      </w:p>
    </w:sdtContent>
  </w:sdt>
  <w:p w14:paraId="002187CB" w14:textId="1513E83E" w:rsidR="007C1348" w:rsidRPr="009D2A5B" w:rsidRDefault="007C1348" w:rsidP="009D2A5B">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8255" w14:textId="110E8759"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8B09D9">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C1BB" w14:textId="77777777" w:rsidR="00522169" w:rsidRPr="000B175B" w:rsidRDefault="00522169" w:rsidP="000B175B">
      <w:pPr>
        <w:tabs>
          <w:tab w:val="right" w:pos="2155"/>
        </w:tabs>
        <w:spacing w:after="80"/>
        <w:ind w:left="680"/>
        <w:rPr>
          <w:u w:val="single"/>
        </w:rPr>
      </w:pPr>
      <w:r>
        <w:rPr>
          <w:u w:val="single"/>
        </w:rPr>
        <w:tab/>
      </w:r>
    </w:p>
  </w:footnote>
  <w:footnote w:type="continuationSeparator" w:id="0">
    <w:p w14:paraId="27A6B092" w14:textId="77777777" w:rsidR="00522169" w:rsidRPr="00FC68B7" w:rsidRDefault="00522169" w:rsidP="00FC68B7">
      <w:pPr>
        <w:tabs>
          <w:tab w:val="left" w:pos="2155"/>
        </w:tabs>
        <w:spacing w:after="80"/>
        <w:ind w:left="680"/>
        <w:rPr>
          <w:u w:val="single"/>
        </w:rPr>
      </w:pPr>
      <w:r>
        <w:rPr>
          <w:u w:val="single"/>
        </w:rPr>
        <w:tab/>
      </w:r>
    </w:p>
  </w:footnote>
  <w:footnote w:type="continuationNotice" w:id="1">
    <w:p w14:paraId="1E0204E4" w14:textId="77777777" w:rsidR="00522169" w:rsidRDefault="00522169"/>
  </w:footnote>
  <w:footnote w:id="2">
    <w:p w14:paraId="19307456" w14:textId="6AD04155" w:rsidR="00D916A9" w:rsidRPr="00D916A9" w:rsidRDefault="00D916A9" w:rsidP="00D916A9">
      <w:pPr>
        <w:pStyle w:val="FootnoteText"/>
        <w:tabs>
          <w:tab w:val="left" w:pos="1701"/>
        </w:tabs>
        <w:ind w:firstLine="0"/>
        <w:rPr>
          <w:lang w:val="fr-CH"/>
        </w:rPr>
      </w:pPr>
      <w:r>
        <w:rPr>
          <w:rStyle w:val="FootnoteReference"/>
        </w:rPr>
        <w:t>*</w:t>
      </w:r>
      <w:r>
        <w:t xml:space="preserve"> </w:t>
      </w:r>
      <w:r>
        <w:tab/>
      </w:r>
      <w:r>
        <w:rPr>
          <w:color w:val="000000"/>
        </w:rPr>
        <w:t>In accordance with the programme of work of the Sub-Committee for</w:t>
      </w:r>
      <w:r>
        <w:t xml:space="preserve"> 2019–2020 approved by the Committee at its </w:t>
      </w:r>
      <w:r w:rsidRPr="00B45570">
        <w:t>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1A28" w14:textId="1C13299E" w:rsidR="007C1348" w:rsidRPr="009D2A5B" w:rsidRDefault="000F6518" w:rsidP="008D6CB9">
    <w:pPr>
      <w:pStyle w:val="Header"/>
      <w:tabs>
        <w:tab w:val="right" w:pos="9126"/>
      </w:tabs>
    </w:pPr>
    <w:r>
      <w:t>ST/ST/AC.10/C.3/2019/</w:t>
    </w:r>
    <w:r w:rsidR="00D916A9">
      <w:t>60</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58CB" w14:textId="77777777" w:rsidR="007C1348" w:rsidRPr="009D2A5B" w:rsidRDefault="007C1348" w:rsidP="009D2A5B">
    <w:pPr>
      <w:pStyle w:val="Header"/>
      <w:jc w:val="right"/>
    </w:pPr>
    <w:r w:rsidRPr="009D2A5B">
      <w:t>ECE/TRANS/WP.15/AC.1/201</w:t>
    </w:r>
    <w:r w:rsidR="007A5CCB">
      <w:t>9</w:t>
    </w:r>
    <w:r w:rsidRPr="009D2A5B">
      <w:t>/</w:t>
    </w:r>
    <w:r w:rsidR="007A5CCB">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1C616D3"/>
    <w:multiLevelType w:val="multilevel"/>
    <w:tmpl w:val="F2E4DF0A"/>
    <w:lvl w:ilvl="0">
      <w:start w:val="1"/>
      <w:numFmt w:val="decimal"/>
      <w:lvlText w:val="%1."/>
      <w:lvlJc w:val="left"/>
      <w:pPr>
        <w:ind w:left="1704" w:hanging="570"/>
      </w:pPr>
      <w:rPr>
        <w:rFonts w:hint="default"/>
      </w:rPr>
    </w:lvl>
    <w:lvl w:ilvl="1">
      <w:start w:val="8"/>
      <w:numFmt w:val="decimal"/>
      <w:isLgl/>
      <w:lvlText w:val="%1.%2"/>
      <w:lvlJc w:val="left"/>
      <w:pPr>
        <w:ind w:left="1984" w:hanging="850"/>
      </w:pPr>
      <w:rPr>
        <w:rFonts w:hint="default"/>
      </w:rPr>
    </w:lvl>
    <w:lvl w:ilvl="2">
      <w:start w:val="4"/>
      <w:numFmt w:val="decimal"/>
      <w:isLgl/>
      <w:lvlText w:val="%1.%2.%3"/>
      <w:lvlJc w:val="left"/>
      <w:pPr>
        <w:ind w:left="1984" w:hanging="850"/>
      </w:pPr>
      <w:rPr>
        <w:rFonts w:hint="default"/>
      </w:rPr>
    </w:lvl>
    <w:lvl w:ilvl="3">
      <w:start w:val="21"/>
      <w:numFmt w:val="decimal"/>
      <w:isLgl/>
      <w:lvlText w:val="%1.%2.%3.%4"/>
      <w:lvlJc w:val="left"/>
      <w:pPr>
        <w:ind w:left="1984" w:hanging="850"/>
      </w:pPr>
      <w:rPr>
        <w:rFonts w:hint="default"/>
      </w:rPr>
    </w:lvl>
    <w:lvl w:ilvl="4">
      <w:start w:val="8"/>
      <w:numFmt w:val="decimal"/>
      <w:isLgl/>
      <w:lvlText w:val="%1.%2.%3.%4.%5"/>
      <w:lvlJc w:val="left"/>
      <w:pPr>
        <w:ind w:left="1984" w:hanging="85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130B38BD"/>
    <w:multiLevelType w:val="hybridMultilevel"/>
    <w:tmpl w:val="F036D85E"/>
    <w:lvl w:ilvl="0" w:tplc="DCE83C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1D17FE"/>
    <w:multiLevelType w:val="hybridMultilevel"/>
    <w:tmpl w:val="FED24236"/>
    <w:lvl w:ilvl="0" w:tplc="CB9A6256">
      <w:start w:val="1"/>
      <w:numFmt w:val="lowerLetter"/>
      <w:lvlText w:val="(%1)"/>
      <w:lvlJc w:val="left"/>
      <w:pPr>
        <w:ind w:left="1494" w:hanging="360"/>
      </w:pPr>
      <w:rPr>
        <w:rFonts w:hint="default"/>
        <w:b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A473A"/>
    <w:multiLevelType w:val="hybridMultilevel"/>
    <w:tmpl w:val="CC544EEE"/>
    <w:lvl w:ilvl="0" w:tplc="E710D506">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4" w15:restartNumberingAfterBreak="0">
    <w:nsid w:val="551B2185"/>
    <w:multiLevelType w:val="hybridMultilevel"/>
    <w:tmpl w:val="3398D92C"/>
    <w:lvl w:ilvl="0" w:tplc="82A2F316">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33075C"/>
    <w:multiLevelType w:val="hybridMultilevel"/>
    <w:tmpl w:val="F140A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CF3E43"/>
    <w:multiLevelType w:val="hybridMultilevel"/>
    <w:tmpl w:val="CA7C724E"/>
    <w:lvl w:ilvl="0" w:tplc="12CC585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5"/>
  </w:num>
  <w:num w:numId="15">
    <w:abstractNumId w:val="15"/>
  </w:num>
  <w:num w:numId="16">
    <w:abstractNumId w:val="11"/>
  </w:num>
  <w:num w:numId="17">
    <w:abstractNumId w:val="23"/>
  </w:num>
  <w:num w:numId="18">
    <w:abstractNumId w:val="31"/>
  </w:num>
  <w:num w:numId="19">
    <w:abstractNumId w:val="26"/>
  </w:num>
  <w:num w:numId="20">
    <w:abstractNumId w:val="12"/>
  </w:num>
  <w:num w:numId="21">
    <w:abstractNumId w:val="17"/>
  </w:num>
  <w:num w:numId="22">
    <w:abstractNumId w:val="19"/>
  </w:num>
  <w:num w:numId="23">
    <w:abstractNumId w:val="27"/>
  </w:num>
  <w:num w:numId="24">
    <w:abstractNumId w:val="20"/>
  </w:num>
  <w:num w:numId="25">
    <w:abstractNumId w:val="16"/>
  </w:num>
  <w:num w:numId="26">
    <w:abstractNumId w:val="28"/>
  </w:num>
  <w:num w:numId="27">
    <w:abstractNumId w:val="29"/>
  </w:num>
  <w:num w:numId="28">
    <w:abstractNumId w:val="22"/>
  </w:num>
  <w:num w:numId="29">
    <w:abstractNumId w:val="24"/>
  </w:num>
  <w:num w:numId="30">
    <w:abstractNumId w:val="13"/>
  </w:num>
  <w:num w:numId="31">
    <w:abstractNumId w:val="14"/>
  </w:num>
  <w:num w:numId="3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584"/>
    <w:rsid w:val="00004D9C"/>
    <w:rsid w:val="00020244"/>
    <w:rsid w:val="00034A36"/>
    <w:rsid w:val="00037F90"/>
    <w:rsid w:val="00041F40"/>
    <w:rsid w:val="00046B1F"/>
    <w:rsid w:val="000509A7"/>
    <w:rsid w:val="00050F6B"/>
    <w:rsid w:val="0005583C"/>
    <w:rsid w:val="00057E97"/>
    <w:rsid w:val="0006059C"/>
    <w:rsid w:val="00060E4C"/>
    <w:rsid w:val="00072C8C"/>
    <w:rsid w:val="000733B5"/>
    <w:rsid w:val="00077F21"/>
    <w:rsid w:val="00080491"/>
    <w:rsid w:val="0008179C"/>
    <w:rsid w:val="00081815"/>
    <w:rsid w:val="00084FD7"/>
    <w:rsid w:val="00085B9E"/>
    <w:rsid w:val="000931C0"/>
    <w:rsid w:val="000B0595"/>
    <w:rsid w:val="000B1333"/>
    <w:rsid w:val="000B175B"/>
    <w:rsid w:val="000B3A0F"/>
    <w:rsid w:val="000B4EF7"/>
    <w:rsid w:val="000B642F"/>
    <w:rsid w:val="000C03FF"/>
    <w:rsid w:val="000C2C03"/>
    <w:rsid w:val="000C2D2E"/>
    <w:rsid w:val="000C3415"/>
    <w:rsid w:val="000C4D51"/>
    <w:rsid w:val="000E0415"/>
    <w:rsid w:val="000E416A"/>
    <w:rsid w:val="000E66AF"/>
    <w:rsid w:val="000F6518"/>
    <w:rsid w:val="001103AA"/>
    <w:rsid w:val="00113658"/>
    <w:rsid w:val="0011666B"/>
    <w:rsid w:val="00120796"/>
    <w:rsid w:val="00132343"/>
    <w:rsid w:val="001338CE"/>
    <w:rsid w:val="00150CF1"/>
    <w:rsid w:val="001519E1"/>
    <w:rsid w:val="00153D1C"/>
    <w:rsid w:val="00154149"/>
    <w:rsid w:val="00155068"/>
    <w:rsid w:val="00157306"/>
    <w:rsid w:val="0015746D"/>
    <w:rsid w:val="00157732"/>
    <w:rsid w:val="00162032"/>
    <w:rsid w:val="0016532F"/>
    <w:rsid w:val="00165F3A"/>
    <w:rsid w:val="00174858"/>
    <w:rsid w:val="0017587F"/>
    <w:rsid w:val="001837B1"/>
    <w:rsid w:val="00187B18"/>
    <w:rsid w:val="00191302"/>
    <w:rsid w:val="0019376C"/>
    <w:rsid w:val="001A713B"/>
    <w:rsid w:val="001B13A5"/>
    <w:rsid w:val="001B4B04"/>
    <w:rsid w:val="001C0B30"/>
    <w:rsid w:val="001C0FF0"/>
    <w:rsid w:val="001C1EDB"/>
    <w:rsid w:val="001C5FB3"/>
    <w:rsid w:val="001C6663"/>
    <w:rsid w:val="001C7895"/>
    <w:rsid w:val="001D0C8C"/>
    <w:rsid w:val="001D1419"/>
    <w:rsid w:val="001D26DF"/>
    <w:rsid w:val="001D3A03"/>
    <w:rsid w:val="001D7665"/>
    <w:rsid w:val="001D7F46"/>
    <w:rsid w:val="001E0B9E"/>
    <w:rsid w:val="001E6236"/>
    <w:rsid w:val="001E7B67"/>
    <w:rsid w:val="001F7435"/>
    <w:rsid w:val="00202DA8"/>
    <w:rsid w:val="00206985"/>
    <w:rsid w:val="0021157B"/>
    <w:rsid w:val="00211E0B"/>
    <w:rsid w:val="00212021"/>
    <w:rsid w:val="0021252E"/>
    <w:rsid w:val="00212864"/>
    <w:rsid w:val="00217CC1"/>
    <w:rsid w:val="00256C0A"/>
    <w:rsid w:val="00267F5F"/>
    <w:rsid w:val="00277C12"/>
    <w:rsid w:val="0028148A"/>
    <w:rsid w:val="00286B4D"/>
    <w:rsid w:val="00292E5A"/>
    <w:rsid w:val="002A603B"/>
    <w:rsid w:val="002C69C0"/>
    <w:rsid w:val="002D285D"/>
    <w:rsid w:val="002D4643"/>
    <w:rsid w:val="002D4B6C"/>
    <w:rsid w:val="002D79D8"/>
    <w:rsid w:val="002F175C"/>
    <w:rsid w:val="002F5E00"/>
    <w:rsid w:val="00302E18"/>
    <w:rsid w:val="00312506"/>
    <w:rsid w:val="003126C9"/>
    <w:rsid w:val="00320D1B"/>
    <w:rsid w:val="003229D8"/>
    <w:rsid w:val="0034328A"/>
    <w:rsid w:val="003476C1"/>
    <w:rsid w:val="00347D4F"/>
    <w:rsid w:val="00351974"/>
    <w:rsid w:val="0035257C"/>
    <w:rsid w:val="00352709"/>
    <w:rsid w:val="00362619"/>
    <w:rsid w:val="00371178"/>
    <w:rsid w:val="00381475"/>
    <w:rsid w:val="00392D7D"/>
    <w:rsid w:val="003A39EA"/>
    <w:rsid w:val="003A6810"/>
    <w:rsid w:val="003B095A"/>
    <w:rsid w:val="003B4C25"/>
    <w:rsid w:val="003B5431"/>
    <w:rsid w:val="003C2CC4"/>
    <w:rsid w:val="003D4B23"/>
    <w:rsid w:val="003D5648"/>
    <w:rsid w:val="003D5E89"/>
    <w:rsid w:val="003F1870"/>
    <w:rsid w:val="003F78E2"/>
    <w:rsid w:val="00403F91"/>
    <w:rsid w:val="004059B4"/>
    <w:rsid w:val="00410C89"/>
    <w:rsid w:val="00422E03"/>
    <w:rsid w:val="00425203"/>
    <w:rsid w:val="00426B9B"/>
    <w:rsid w:val="00430EFE"/>
    <w:rsid w:val="004325CB"/>
    <w:rsid w:val="0043734F"/>
    <w:rsid w:val="00441896"/>
    <w:rsid w:val="00442A83"/>
    <w:rsid w:val="00443AB5"/>
    <w:rsid w:val="00447811"/>
    <w:rsid w:val="00452A4C"/>
    <w:rsid w:val="0045495B"/>
    <w:rsid w:val="0048397A"/>
    <w:rsid w:val="004937E8"/>
    <w:rsid w:val="00494398"/>
    <w:rsid w:val="004945CD"/>
    <w:rsid w:val="004A12F2"/>
    <w:rsid w:val="004A323F"/>
    <w:rsid w:val="004A3ED0"/>
    <w:rsid w:val="004B31D0"/>
    <w:rsid w:val="004C023F"/>
    <w:rsid w:val="004C2461"/>
    <w:rsid w:val="004C5DC0"/>
    <w:rsid w:val="004C7200"/>
    <w:rsid w:val="004C7462"/>
    <w:rsid w:val="004D4561"/>
    <w:rsid w:val="004D4E04"/>
    <w:rsid w:val="004D5426"/>
    <w:rsid w:val="004E0C05"/>
    <w:rsid w:val="004E77B2"/>
    <w:rsid w:val="00503DEB"/>
    <w:rsid w:val="00504B2D"/>
    <w:rsid w:val="00511A9B"/>
    <w:rsid w:val="0052136D"/>
    <w:rsid w:val="00522169"/>
    <w:rsid w:val="00522B58"/>
    <w:rsid w:val="005230F9"/>
    <w:rsid w:val="0052775E"/>
    <w:rsid w:val="00535C90"/>
    <w:rsid w:val="00536489"/>
    <w:rsid w:val="005420F2"/>
    <w:rsid w:val="00543785"/>
    <w:rsid w:val="00545927"/>
    <w:rsid w:val="00546993"/>
    <w:rsid w:val="005469E1"/>
    <w:rsid w:val="00546AD4"/>
    <w:rsid w:val="005628B6"/>
    <w:rsid w:val="005642A9"/>
    <w:rsid w:val="00570F9C"/>
    <w:rsid w:val="00597EDC"/>
    <w:rsid w:val="005A575C"/>
    <w:rsid w:val="005A5FB7"/>
    <w:rsid w:val="005B3DB3"/>
    <w:rsid w:val="005B4E13"/>
    <w:rsid w:val="005B63A8"/>
    <w:rsid w:val="005B6F2D"/>
    <w:rsid w:val="005E00B3"/>
    <w:rsid w:val="005E0180"/>
    <w:rsid w:val="005E6A77"/>
    <w:rsid w:val="005F0210"/>
    <w:rsid w:val="005F58C6"/>
    <w:rsid w:val="005F7B75"/>
    <w:rsid w:val="006001EE"/>
    <w:rsid w:val="00605042"/>
    <w:rsid w:val="00606EFA"/>
    <w:rsid w:val="00611FC4"/>
    <w:rsid w:val="006167E8"/>
    <w:rsid w:val="006176FB"/>
    <w:rsid w:val="00626364"/>
    <w:rsid w:val="00630417"/>
    <w:rsid w:val="006316C4"/>
    <w:rsid w:val="00640B26"/>
    <w:rsid w:val="006509A0"/>
    <w:rsid w:val="00652831"/>
    <w:rsid w:val="00652D0A"/>
    <w:rsid w:val="00654584"/>
    <w:rsid w:val="00656B98"/>
    <w:rsid w:val="006623D5"/>
    <w:rsid w:val="00662BB6"/>
    <w:rsid w:val="006640BC"/>
    <w:rsid w:val="006663FB"/>
    <w:rsid w:val="00667F8F"/>
    <w:rsid w:val="00683678"/>
    <w:rsid w:val="00684C21"/>
    <w:rsid w:val="0069232B"/>
    <w:rsid w:val="006928C7"/>
    <w:rsid w:val="00695D45"/>
    <w:rsid w:val="006A0736"/>
    <w:rsid w:val="006A2530"/>
    <w:rsid w:val="006A4452"/>
    <w:rsid w:val="006A4AD9"/>
    <w:rsid w:val="006C18C7"/>
    <w:rsid w:val="006C3589"/>
    <w:rsid w:val="006D37AF"/>
    <w:rsid w:val="006D51D0"/>
    <w:rsid w:val="006E069B"/>
    <w:rsid w:val="006E5117"/>
    <w:rsid w:val="006E564B"/>
    <w:rsid w:val="006E6941"/>
    <w:rsid w:val="006E7191"/>
    <w:rsid w:val="006F1DF3"/>
    <w:rsid w:val="00703577"/>
    <w:rsid w:val="00705894"/>
    <w:rsid w:val="007106C3"/>
    <w:rsid w:val="00713BE4"/>
    <w:rsid w:val="00716C3D"/>
    <w:rsid w:val="0072632A"/>
    <w:rsid w:val="00731EF3"/>
    <w:rsid w:val="00731FF0"/>
    <w:rsid w:val="007327D5"/>
    <w:rsid w:val="00737B2E"/>
    <w:rsid w:val="00741E48"/>
    <w:rsid w:val="00743B51"/>
    <w:rsid w:val="007611CF"/>
    <w:rsid w:val="007629C8"/>
    <w:rsid w:val="007646F7"/>
    <w:rsid w:val="0077047D"/>
    <w:rsid w:val="00795C2B"/>
    <w:rsid w:val="007A5CCB"/>
    <w:rsid w:val="007A759F"/>
    <w:rsid w:val="007B14B1"/>
    <w:rsid w:val="007B6BA5"/>
    <w:rsid w:val="007C12D9"/>
    <w:rsid w:val="007C1348"/>
    <w:rsid w:val="007C24DA"/>
    <w:rsid w:val="007C3390"/>
    <w:rsid w:val="007C4F4B"/>
    <w:rsid w:val="007D1478"/>
    <w:rsid w:val="007D46D5"/>
    <w:rsid w:val="007E01E9"/>
    <w:rsid w:val="007E2C12"/>
    <w:rsid w:val="007E424D"/>
    <w:rsid w:val="007E4C3D"/>
    <w:rsid w:val="007E63F3"/>
    <w:rsid w:val="007F6611"/>
    <w:rsid w:val="007F7106"/>
    <w:rsid w:val="008039B7"/>
    <w:rsid w:val="00811920"/>
    <w:rsid w:val="008127E9"/>
    <w:rsid w:val="00815AD0"/>
    <w:rsid w:val="008242D7"/>
    <w:rsid w:val="00824B23"/>
    <w:rsid w:val="008257B1"/>
    <w:rsid w:val="008348EC"/>
    <w:rsid w:val="008426D9"/>
    <w:rsid w:val="00843767"/>
    <w:rsid w:val="008521A5"/>
    <w:rsid w:val="00853682"/>
    <w:rsid w:val="00855088"/>
    <w:rsid w:val="008651A0"/>
    <w:rsid w:val="008679D9"/>
    <w:rsid w:val="00871389"/>
    <w:rsid w:val="00874CB6"/>
    <w:rsid w:val="008754F9"/>
    <w:rsid w:val="008761C5"/>
    <w:rsid w:val="00881C0C"/>
    <w:rsid w:val="00883999"/>
    <w:rsid w:val="00886E3F"/>
    <w:rsid w:val="008878DE"/>
    <w:rsid w:val="00887A04"/>
    <w:rsid w:val="008979B1"/>
    <w:rsid w:val="008A4906"/>
    <w:rsid w:val="008A6B25"/>
    <w:rsid w:val="008A6C4F"/>
    <w:rsid w:val="008B09D9"/>
    <w:rsid w:val="008B2335"/>
    <w:rsid w:val="008B44AB"/>
    <w:rsid w:val="008B717B"/>
    <w:rsid w:val="008B7D57"/>
    <w:rsid w:val="008C1C88"/>
    <w:rsid w:val="008C7167"/>
    <w:rsid w:val="008D36FF"/>
    <w:rsid w:val="008D6CB9"/>
    <w:rsid w:val="008E0678"/>
    <w:rsid w:val="008E1D08"/>
    <w:rsid w:val="008E7526"/>
    <w:rsid w:val="008E7654"/>
    <w:rsid w:val="008F2933"/>
    <w:rsid w:val="008F6783"/>
    <w:rsid w:val="008F7E95"/>
    <w:rsid w:val="009001A0"/>
    <w:rsid w:val="00901B81"/>
    <w:rsid w:val="00922084"/>
    <w:rsid w:val="0092212D"/>
    <w:rsid w:val="009223CA"/>
    <w:rsid w:val="00940F93"/>
    <w:rsid w:val="0094558F"/>
    <w:rsid w:val="00955B0D"/>
    <w:rsid w:val="00956AC8"/>
    <w:rsid w:val="00961690"/>
    <w:rsid w:val="00964249"/>
    <w:rsid w:val="00966FD5"/>
    <w:rsid w:val="0097204D"/>
    <w:rsid w:val="009760F3"/>
    <w:rsid w:val="00977008"/>
    <w:rsid w:val="0098016D"/>
    <w:rsid w:val="0098700B"/>
    <w:rsid w:val="00993F91"/>
    <w:rsid w:val="009A0E8D"/>
    <w:rsid w:val="009A5B03"/>
    <w:rsid w:val="009B1518"/>
    <w:rsid w:val="009B26E7"/>
    <w:rsid w:val="009B6669"/>
    <w:rsid w:val="009C2DFB"/>
    <w:rsid w:val="009C3EED"/>
    <w:rsid w:val="009C454F"/>
    <w:rsid w:val="009C7219"/>
    <w:rsid w:val="009D1C20"/>
    <w:rsid w:val="009D2A5B"/>
    <w:rsid w:val="009D43AC"/>
    <w:rsid w:val="009E52E0"/>
    <w:rsid w:val="009E5F33"/>
    <w:rsid w:val="009F23F2"/>
    <w:rsid w:val="00A00A3F"/>
    <w:rsid w:val="00A01489"/>
    <w:rsid w:val="00A03B25"/>
    <w:rsid w:val="00A108AC"/>
    <w:rsid w:val="00A11B59"/>
    <w:rsid w:val="00A11D2E"/>
    <w:rsid w:val="00A14AC5"/>
    <w:rsid w:val="00A3009E"/>
    <w:rsid w:val="00A3026E"/>
    <w:rsid w:val="00A32E6D"/>
    <w:rsid w:val="00A338F1"/>
    <w:rsid w:val="00A52B16"/>
    <w:rsid w:val="00A57E6F"/>
    <w:rsid w:val="00A64D83"/>
    <w:rsid w:val="00A65F4C"/>
    <w:rsid w:val="00A72F22"/>
    <w:rsid w:val="00A7360F"/>
    <w:rsid w:val="00A748A6"/>
    <w:rsid w:val="00A7668A"/>
    <w:rsid w:val="00A769F4"/>
    <w:rsid w:val="00A776B4"/>
    <w:rsid w:val="00A81407"/>
    <w:rsid w:val="00A9093D"/>
    <w:rsid w:val="00A9142D"/>
    <w:rsid w:val="00A94361"/>
    <w:rsid w:val="00AA293C"/>
    <w:rsid w:val="00AC6384"/>
    <w:rsid w:val="00AD37BF"/>
    <w:rsid w:val="00AD5A18"/>
    <w:rsid w:val="00AD73D1"/>
    <w:rsid w:val="00AE08DA"/>
    <w:rsid w:val="00AE5F69"/>
    <w:rsid w:val="00AE6935"/>
    <w:rsid w:val="00AF15D0"/>
    <w:rsid w:val="00AF3993"/>
    <w:rsid w:val="00B11BB4"/>
    <w:rsid w:val="00B175D8"/>
    <w:rsid w:val="00B20DD2"/>
    <w:rsid w:val="00B22BC2"/>
    <w:rsid w:val="00B30179"/>
    <w:rsid w:val="00B36283"/>
    <w:rsid w:val="00B421C1"/>
    <w:rsid w:val="00B42658"/>
    <w:rsid w:val="00B451A0"/>
    <w:rsid w:val="00B55C71"/>
    <w:rsid w:val="00B56E4A"/>
    <w:rsid w:val="00B56E9C"/>
    <w:rsid w:val="00B61320"/>
    <w:rsid w:val="00B63647"/>
    <w:rsid w:val="00B64B1F"/>
    <w:rsid w:val="00B6553F"/>
    <w:rsid w:val="00B70F1E"/>
    <w:rsid w:val="00B77999"/>
    <w:rsid w:val="00B77D05"/>
    <w:rsid w:val="00B81206"/>
    <w:rsid w:val="00B81E12"/>
    <w:rsid w:val="00B857E8"/>
    <w:rsid w:val="00B85EB1"/>
    <w:rsid w:val="00B96BEA"/>
    <w:rsid w:val="00BB21A9"/>
    <w:rsid w:val="00BB7CD1"/>
    <w:rsid w:val="00BC3FA0"/>
    <w:rsid w:val="00BC401B"/>
    <w:rsid w:val="00BC4C39"/>
    <w:rsid w:val="00BC74E9"/>
    <w:rsid w:val="00BD4443"/>
    <w:rsid w:val="00BD58E7"/>
    <w:rsid w:val="00BE3639"/>
    <w:rsid w:val="00BE41CB"/>
    <w:rsid w:val="00BE5A0F"/>
    <w:rsid w:val="00BF1F9C"/>
    <w:rsid w:val="00BF227F"/>
    <w:rsid w:val="00BF68A8"/>
    <w:rsid w:val="00C00243"/>
    <w:rsid w:val="00C07758"/>
    <w:rsid w:val="00C10584"/>
    <w:rsid w:val="00C10FE6"/>
    <w:rsid w:val="00C11A03"/>
    <w:rsid w:val="00C22C0C"/>
    <w:rsid w:val="00C22E7F"/>
    <w:rsid w:val="00C255AF"/>
    <w:rsid w:val="00C303BB"/>
    <w:rsid w:val="00C30C61"/>
    <w:rsid w:val="00C35502"/>
    <w:rsid w:val="00C37D52"/>
    <w:rsid w:val="00C40B11"/>
    <w:rsid w:val="00C41E70"/>
    <w:rsid w:val="00C42E1A"/>
    <w:rsid w:val="00C4527F"/>
    <w:rsid w:val="00C463DD"/>
    <w:rsid w:val="00C4724C"/>
    <w:rsid w:val="00C50ECD"/>
    <w:rsid w:val="00C629A0"/>
    <w:rsid w:val="00C6358C"/>
    <w:rsid w:val="00C640DA"/>
    <w:rsid w:val="00C64629"/>
    <w:rsid w:val="00C745C3"/>
    <w:rsid w:val="00C75E72"/>
    <w:rsid w:val="00C76F8B"/>
    <w:rsid w:val="00C85FBE"/>
    <w:rsid w:val="00C92461"/>
    <w:rsid w:val="00CB1731"/>
    <w:rsid w:val="00CB3A2F"/>
    <w:rsid w:val="00CB3E03"/>
    <w:rsid w:val="00CD053E"/>
    <w:rsid w:val="00CD0D69"/>
    <w:rsid w:val="00CD568B"/>
    <w:rsid w:val="00CE4A8F"/>
    <w:rsid w:val="00CF1EA8"/>
    <w:rsid w:val="00D2031B"/>
    <w:rsid w:val="00D25FE2"/>
    <w:rsid w:val="00D31CEE"/>
    <w:rsid w:val="00D33D77"/>
    <w:rsid w:val="00D3510F"/>
    <w:rsid w:val="00D43252"/>
    <w:rsid w:val="00D43F92"/>
    <w:rsid w:val="00D47EEA"/>
    <w:rsid w:val="00D550D4"/>
    <w:rsid w:val="00D57B30"/>
    <w:rsid w:val="00D773DF"/>
    <w:rsid w:val="00D872AC"/>
    <w:rsid w:val="00D90675"/>
    <w:rsid w:val="00D916A9"/>
    <w:rsid w:val="00D9255F"/>
    <w:rsid w:val="00D95303"/>
    <w:rsid w:val="00D978C6"/>
    <w:rsid w:val="00D97E5C"/>
    <w:rsid w:val="00DA3C1C"/>
    <w:rsid w:val="00DA3C83"/>
    <w:rsid w:val="00DB56EC"/>
    <w:rsid w:val="00DB7851"/>
    <w:rsid w:val="00DD29BD"/>
    <w:rsid w:val="00DD5529"/>
    <w:rsid w:val="00DD5EE2"/>
    <w:rsid w:val="00DE1D53"/>
    <w:rsid w:val="00DE2E02"/>
    <w:rsid w:val="00DE4743"/>
    <w:rsid w:val="00DF0F0B"/>
    <w:rsid w:val="00DF0F1A"/>
    <w:rsid w:val="00DF17AB"/>
    <w:rsid w:val="00DF22C4"/>
    <w:rsid w:val="00DF5E3C"/>
    <w:rsid w:val="00E046DF"/>
    <w:rsid w:val="00E15557"/>
    <w:rsid w:val="00E159C9"/>
    <w:rsid w:val="00E22613"/>
    <w:rsid w:val="00E22979"/>
    <w:rsid w:val="00E240D2"/>
    <w:rsid w:val="00E27346"/>
    <w:rsid w:val="00E32D7C"/>
    <w:rsid w:val="00E33184"/>
    <w:rsid w:val="00E44317"/>
    <w:rsid w:val="00E4582D"/>
    <w:rsid w:val="00E5045B"/>
    <w:rsid w:val="00E632CB"/>
    <w:rsid w:val="00E65FD2"/>
    <w:rsid w:val="00E667E8"/>
    <w:rsid w:val="00E71610"/>
    <w:rsid w:val="00E71BC8"/>
    <w:rsid w:val="00E7260F"/>
    <w:rsid w:val="00E73F5D"/>
    <w:rsid w:val="00E76956"/>
    <w:rsid w:val="00E77E4E"/>
    <w:rsid w:val="00E804F1"/>
    <w:rsid w:val="00E83AA3"/>
    <w:rsid w:val="00E8771C"/>
    <w:rsid w:val="00E90284"/>
    <w:rsid w:val="00E902CF"/>
    <w:rsid w:val="00E96630"/>
    <w:rsid w:val="00E97AFF"/>
    <w:rsid w:val="00EA63D6"/>
    <w:rsid w:val="00EB2D92"/>
    <w:rsid w:val="00EB477C"/>
    <w:rsid w:val="00EB67CF"/>
    <w:rsid w:val="00EC0E2F"/>
    <w:rsid w:val="00EC106A"/>
    <w:rsid w:val="00EC1E8A"/>
    <w:rsid w:val="00EC2319"/>
    <w:rsid w:val="00EC3A21"/>
    <w:rsid w:val="00EC61CF"/>
    <w:rsid w:val="00ED3F68"/>
    <w:rsid w:val="00ED7936"/>
    <w:rsid w:val="00ED7A2A"/>
    <w:rsid w:val="00EE6B3A"/>
    <w:rsid w:val="00EF0973"/>
    <w:rsid w:val="00EF1D7F"/>
    <w:rsid w:val="00F31B67"/>
    <w:rsid w:val="00F31E5F"/>
    <w:rsid w:val="00F32BB7"/>
    <w:rsid w:val="00F339E9"/>
    <w:rsid w:val="00F47EDC"/>
    <w:rsid w:val="00F538D1"/>
    <w:rsid w:val="00F56654"/>
    <w:rsid w:val="00F57D0C"/>
    <w:rsid w:val="00F6100A"/>
    <w:rsid w:val="00F61393"/>
    <w:rsid w:val="00F63465"/>
    <w:rsid w:val="00F63C9D"/>
    <w:rsid w:val="00F66565"/>
    <w:rsid w:val="00F7229C"/>
    <w:rsid w:val="00F75A16"/>
    <w:rsid w:val="00F80280"/>
    <w:rsid w:val="00F85B4E"/>
    <w:rsid w:val="00F90522"/>
    <w:rsid w:val="00F91CB0"/>
    <w:rsid w:val="00F92A22"/>
    <w:rsid w:val="00F93781"/>
    <w:rsid w:val="00F97543"/>
    <w:rsid w:val="00FA6DA6"/>
    <w:rsid w:val="00FB613B"/>
    <w:rsid w:val="00FC3058"/>
    <w:rsid w:val="00FC5A02"/>
    <w:rsid w:val="00FC68B7"/>
    <w:rsid w:val="00FD1C83"/>
    <w:rsid w:val="00FD2318"/>
    <w:rsid w:val="00FD554B"/>
    <w:rsid w:val="00FE106A"/>
    <w:rsid w:val="00FE4E5B"/>
    <w:rsid w:val="00FF145D"/>
    <w:rsid w:val="00FF288B"/>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FD09C"/>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link w:val="CommentTextChar"/>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styleId="CommentSubject">
    <w:name w:val="annotation subject"/>
    <w:basedOn w:val="CommentText"/>
    <w:next w:val="CommentText"/>
    <w:link w:val="CommentSubjectChar"/>
    <w:semiHidden/>
    <w:unhideWhenUsed/>
    <w:rsid w:val="00FD1C83"/>
    <w:pPr>
      <w:spacing w:line="240" w:lineRule="auto"/>
    </w:pPr>
    <w:rPr>
      <w:b/>
      <w:bCs/>
    </w:rPr>
  </w:style>
  <w:style w:type="character" w:customStyle="1" w:styleId="CommentTextChar">
    <w:name w:val="Comment Text Char"/>
    <w:basedOn w:val="DefaultParagraphFont"/>
    <w:link w:val="CommentText"/>
    <w:semiHidden/>
    <w:rsid w:val="00FD1C83"/>
    <w:rPr>
      <w:lang w:val="en-GB" w:eastAsia="en-US"/>
    </w:rPr>
  </w:style>
  <w:style w:type="character" w:customStyle="1" w:styleId="CommentSubjectChar">
    <w:name w:val="Comment Subject Char"/>
    <w:basedOn w:val="CommentTextChar"/>
    <w:link w:val="CommentSubject"/>
    <w:semiHidden/>
    <w:rsid w:val="00FD1C83"/>
    <w:rPr>
      <w:b/>
      <w:bCs/>
      <w:lang w:val="en-GB" w:eastAsia="en-US"/>
    </w:rPr>
  </w:style>
  <w:style w:type="paragraph" w:styleId="Revision">
    <w:name w:val="Revision"/>
    <w:hidden/>
    <w:uiPriority w:val="99"/>
    <w:semiHidden/>
    <w:rsid w:val="00FD1C83"/>
    <w:rPr>
      <w:lang w:val="en-GB" w:eastAsia="en-US"/>
    </w:rPr>
  </w:style>
  <w:style w:type="character" w:customStyle="1" w:styleId="FooterChar">
    <w:name w:val="Footer Char"/>
    <w:aliases w:val="3_G Char"/>
    <w:basedOn w:val="DefaultParagraphFont"/>
    <w:link w:val="Footer"/>
    <w:uiPriority w:val="99"/>
    <w:rsid w:val="008B09D9"/>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7638">
      <w:bodyDiv w:val="1"/>
      <w:marLeft w:val="0"/>
      <w:marRight w:val="0"/>
      <w:marTop w:val="0"/>
      <w:marBottom w:val="0"/>
      <w:divBdr>
        <w:top w:val="none" w:sz="0" w:space="0" w:color="auto"/>
        <w:left w:val="none" w:sz="0" w:space="0" w:color="auto"/>
        <w:bottom w:val="none" w:sz="0" w:space="0" w:color="auto"/>
        <w:right w:val="none" w:sz="0" w:space="0" w:color="auto"/>
      </w:divBdr>
    </w:div>
    <w:div w:id="318967328">
      <w:bodyDiv w:val="1"/>
      <w:marLeft w:val="0"/>
      <w:marRight w:val="0"/>
      <w:marTop w:val="0"/>
      <w:marBottom w:val="0"/>
      <w:divBdr>
        <w:top w:val="none" w:sz="0" w:space="0" w:color="auto"/>
        <w:left w:val="none" w:sz="0" w:space="0" w:color="auto"/>
        <w:bottom w:val="none" w:sz="0" w:space="0" w:color="auto"/>
        <w:right w:val="none" w:sz="0" w:space="0" w:color="auto"/>
      </w:divBdr>
    </w:div>
    <w:div w:id="918292883">
      <w:bodyDiv w:val="1"/>
      <w:marLeft w:val="0"/>
      <w:marRight w:val="0"/>
      <w:marTop w:val="0"/>
      <w:marBottom w:val="0"/>
      <w:divBdr>
        <w:top w:val="none" w:sz="0" w:space="0" w:color="auto"/>
        <w:left w:val="none" w:sz="0" w:space="0" w:color="auto"/>
        <w:bottom w:val="none" w:sz="0" w:space="0" w:color="auto"/>
        <w:right w:val="none" w:sz="0" w:space="0" w:color="auto"/>
      </w:divBdr>
    </w:div>
    <w:div w:id="1147746001">
      <w:bodyDiv w:val="1"/>
      <w:marLeft w:val="0"/>
      <w:marRight w:val="0"/>
      <w:marTop w:val="0"/>
      <w:marBottom w:val="0"/>
      <w:divBdr>
        <w:top w:val="none" w:sz="0" w:space="0" w:color="auto"/>
        <w:left w:val="none" w:sz="0" w:space="0" w:color="auto"/>
        <w:bottom w:val="none" w:sz="0" w:space="0" w:color="auto"/>
        <w:right w:val="none" w:sz="0" w:space="0" w:color="auto"/>
      </w:divBdr>
    </w:div>
    <w:div w:id="1338264502">
      <w:bodyDiv w:val="1"/>
      <w:marLeft w:val="0"/>
      <w:marRight w:val="0"/>
      <w:marTop w:val="0"/>
      <w:marBottom w:val="0"/>
      <w:divBdr>
        <w:top w:val="none" w:sz="0" w:space="0" w:color="auto"/>
        <w:left w:val="none" w:sz="0" w:space="0" w:color="auto"/>
        <w:bottom w:val="none" w:sz="0" w:space="0" w:color="auto"/>
        <w:right w:val="none" w:sz="0" w:space="0" w:color="auto"/>
      </w:divBdr>
    </w:div>
    <w:div w:id="1424491027">
      <w:bodyDiv w:val="1"/>
      <w:marLeft w:val="0"/>
      <w:marRight w:val="0"/>
      <w:marTop w:val="0"/>
      <w:marBottom w:val="0"/>
      <w:divBdr>
        <w:top w:val="none" w:sz="0" w:space="0" w:color="auto"/>
        <w:left w:val="none" w:sz="0" w:space="0" w:color="auto"/>
        <w:bottom w:val="none" w:sz="0" w:space="0" w:color="auto"/>
        <w:right w:val="none" w:sz="0" w:space="0" w:color="auto"/>
      </w:divBdr>
    </w:div>
    <w:div w:id="18029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D0533A3D22A449A77D4BF89839BC4" ma:contentTypeVersion="3" ma:contentTypeDescription="Create a new document." ma:contentTypeScope="" ma:versionID="ee09452b81e7beb421e259a2a4c33357">
  <xsd:schema xmlns:xsd="http://www.w3.org/2001/XMLSchema" xmlns:xs="http://www.w3.org/2001/XMLSchema" xmlns:p="http://schemas.microsoft.com/office/2006/metadata/properties" xmlns:ns3="80ebbf62-26d2-4670-890b-7f3b0c2a174e" targetNamespace="http://schemas.microsoft.com/office/2006/metadata/properties" ma:root="true" ma:fieldsID="31600ead377a2f9c42f314ea545475e7" ns3:_="">
    <xsd:import namespace="80ebbf62-26d2-4670-890b-7f3b0c2a174e"/>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f62-26d2-4670-890b-7f3b0c2a1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AA21-9F8C-4DF5-A1AE-D24CB5DA4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f62-26d2-4670-890b-7f3b0c2a1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D0F80-D5B4-4AD4-9EB4-4A34971F9132}">
  <ds:schemaRefs>
    <ds:schemaRef ds:uri="http://purl.org/dc/dcmitype/"/>
    <ds:schemaRef ds:uri="http://schemas.microsoft.com/office/infopath/2007/PartnerControls"/>
    <ds:schemaRef ds:uri="80ebbf62-26d2-4670-890b-7f3b0c2a174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B145F8-3AAB-4FC4-9BD9-912A55214789}">
  <ds:schemaRefs>
    <ds:schemaRef ds:uri="http://schemas.microsoft.com/sharepoint/v3/contenttype/forms"/>
  </ds:schemaRefs>
</ds:datastoreItem>
</file>

<file path=customXml/itemProps4.xml><?xml version="1.0" encoding="utf-8"?>
<ds:datastoreItem xmlns:ds="http://schemas.openxmlformats.org/officeDocument/2006/customXml" ds:itemID="{C1661D41-F413-4843-AFA8-852AEA8D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2311</Characters>
  <Application>Microsoft Office Word</Application>
  <DocSecurity>0</DocSecurity>
  <Lines>56</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5</cp:revision>
  <cp:lastPrinted>2019-09-09T12:57:00Z</cp:lastPrinted>
  <dcterms:created xsi:type="dcterms:W3CDTF">2019-09-09T07:44:00Z</dcterms:created>
  <dcterms:modified xsi:type="dcterms:W3CDTF">2019-09-09T12:57:00Z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0x01010099DD0533A3D22A449A77D4BF89839BC4</vt:lpwstr>
  </property>
</Properties>
</file>