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14:paraId="2372AF9E" w14:textId="77777777" w:rsidTr="009D1070">
        <w:trPr>
          <w:trHeight w:hRule="exact" w:val="851"/>
        </w:trPr>
        <w:tc>
          <w:tcPr>
            <w:tcW w:w="1276" w:type="dxa"/>
            <w:tcBorders>
              <w:bottom w:val="single" w:sz="4" w:space="0" w:color="auto"/>
            </w:tcBorders>
          </w:tcPr>
          <w:p w14:paraId="067F9C06" w14:textId="77777777" w:rsidR="00B31474" w:rsidRDefault="00B31474"/>
        </w:tc>
        <w:tc>
          <w:tcPr>
            <w:tcW w:w="2268" w:type="dxa"/>
            <w:tcBorders>
              <w:bottom w:val="single" w:sz="4" w:space="0" w:color="auto"/>
            </w:tcBorders>
            <w:vAlign w:val="bottom"/>
          </w:tcPr>
          <w:p w14:paraId="68915636" w14:textId="77777777"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14:paraId="2AA55320" w14:textId="3401B45D" w:rsidR="00B31474" w:rsidRDefault="005F25FC" w:rsidP="00B002C0">
            <w:pPr>
              <w:jc w:val="right"/>
              <w:rPr>
                <w:lang w:val="en-US"/>
              </w:rPr>
            </w:pPr>
            <w:r w:rsidRPr="007E25DA">
              <w:rPr>
                <w:sz w:val="40"/>
              </w:rPr>
              <w:t>ST</w:t>
            </w:r>
            <w:r w:rsidR="00CB75C1">
              <w:t>/SG/AC.10/C.3/201</w:t>
            </w:r>
            <w:r w:rsidR="006A0657">
              <w:t>9</w:t>
            </w:r>
            <w:r>
              <w:t>/</w:t>
            </w:r>
            <w:r w:rsidR="00B8317F">
              <w:t>56</w:t>
            </w:r>
          </w:p>
        </w:tc>
      </w:tr>
      <w:tr w:rsidR="00B31474" w14:paraId="1A38B0D6" w14:textId="77777777">
        <w:trPr>
          <w:trHeight w:hRule="exact" w:val="2835"/>
        </w:trPr>
        <w:tc>
          <w:tcPr>
            <w:tcW w:w="1276" w:type="dxa"/>
            <w:tcBorders>
              <w:top w:val="single" w:sz="4" w:space="0" w:color="auto"/>
              <w:bottom w:val="single" w:sz="12" w:space="0" w:color="auto"/>
            </w:tcBorders>
          </w:tcPr>
          <w:p w14:paraId="01C814B2" w14:textId="77777777" w:rsidR="00B31474" w:rsidRDefault="00924EAE">
            <w:pPr>
              <w:spacing w:before="120"/>
              <w:jc w:val="center"/>
            </w:pPr>
            <w:r>
              <w:rPr>
                <w:noProof/>
                <w:lang w:val="en-US"/>
              </w:rPr>
              <w:drawing>
                <wp:inline distT="0" distB="0" distL="0" distR="0" wp14:anchorId="58F0EE06" wp14:editId="2DE831E6">
                  <wp:extent cx="70866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CEB166" w14:textId="77777777"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14:paraId="5B7893DC" w14:textId="78DE0FB4" w:rsidR="00C3425D" w:rsidRDefault="00B31474">
            <w:pPr>
              <w:spacing w:before="240" w:line="240" w:lineRule="exact"/>
            </w:pPr>
            <w:proofErr w:type="spellStart"/>
            <w:r>
              <w:t>Distr</w:t>
            </w:r>
            <w:proofErr w:type="spellEnd"/>
            <w:r>
              <w:t xml:space="preserve">. </w:t>
            </w:r>
            <w:proofErr w:type="gramStart"/>
            <w:r>
              <w:t>générale</w:t>
            </w:r>
            <w:proofErr w:type="gramEnd"/>
            <w:r w:rsidR="00C3425D">
              <w:br/>
            </w:r>
            <w:r w:rsidR="00F40F1B">
              <w:t>13</w:t>
            </w:r>
            <w:bookmarkStart w:id="0" w:name="_GoBack"/>
            <w:bookmarkEnd w:id="0"/>
            <w:r w:rsidR="00B8317F">
              <w:t xml:space="preserve"> septembre</w:t>
            </w:r>
            <w:r w:rsidR="009D1070">
              <w:t xml:space="preserve"> 2019</w:t>
            </w:r>
          </w:p>
          <w:p w14:paraId="3BCD4ECA" w14:textId="77777777" w:rsidR="00B31474" w:rsidRDefault="00B31474">
            <w:pPr>
              <w:spacing w:line="240" w:lineRule="exact"/>
            </w:pPr>
          </w:p>
          <w:p w14:paraId="4E547C7D" w14:textId="77777777" w:rsidR="00B31474" w:rsidRDefault="00B31474">
            <w:pPr>
              <w:spacing w:line="240" w:lineRule="exact"/>
            </w:pPr>
            <w:r>
              <w:t>Original: français</w:t>
            </w:r>
          </w:p>
        </w:tc>
      </w:tr>
    </w:tbl>
    <w:p w14:paraId="0BE4CB07" w14:textId="77777777" w:rsidR="00853D97" w:rsidRPr="00CA0680" w:rsidRDefault="00853D97" w:rsidP="00853D97">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34D7161" w14:textId="77777777" w:rsidR="00853D97" w:rsidRPr="00CA0680" w:rsidRDefault="00853D97" w:rsidP="00853D97">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2D038C07" w14:textId="38151881" w:rsidR="009D1070" w:rsidRPr="00AD0B8B" w:rsidRDefault="009D1070" w:rsidP="009D1070">
      <w:pPr>
        <w:spacing w:before="120"/>
        <w:rPr>
          <w:b/>
        </w:rPr>
      </w:pPr>
      <w:r w:rsidRPr="00AD0B8B">
        <w:rPr>
          <w:b/>
          <w:bCs/>
        </w:rPr>
        <w:t>Cinquante-</w:t>
      </w:r>
      <w:r w:rsidR="00B8317F">
        <w:rPr>
          <w:b/>
          <w:bCs/>
        </w:rPr>
        <w:t>sixième</w:t>
      </w:r>
      <w:r w:rsidRPr="00AD0B8B">
        <w:rPr>
          <w:b/>
        </w:rPr>
        <w:t xml:space="preserve"> session</w:t>
      </w:r>
    </w:p>
    <w:p w14:paraId="7C1FB0B2" w14:textId="277C04EE" w:rsidR="009D1070" w:rsidRPr="00AD0B8B" w:rsidRDefault="009D1070" w:rsidP="009D1070">
      <w:r w:rsidRPr="00AD0B8B">
        <w:t xml:space="preserve">Genève, </w:t>
      </w:r>
      <w:r w:rsidR="00B002C0">
        <w:t>2-11 décembre</w:t>
      </w:r>
      <w:r>
        <w:t xml:space="preserve"> 2019</w:t>
      </w:r>
    </w:p>
    <w:p w14:paraId="66CA99CB" w14:textId="77777777" w:rsidR="009D1070" w:rsidRPr="00AD0B8B" w:rsidRDefault="009D1070" w:rsidP="009D1070">
      <w:r w:rsidRPr="00AD0B8B">
        <w:t xml:space="preserve">Point </w:t>
      </w:r>
      <w:r>
        <w:t>3</w:t>
      </w:r>
      <w:r w:rsidRPr="00AD0B8B">
        <w:t xml:space="preserve"> de l’ordre du jour provisoire</w:t>
      </w:r>
    </w:p>
    <w:p w14:paraId="057AE7C7" w14:textId="77777777" w:rsidR="009D1070" w:rsidRPr="00AD0B8B" w:rsidRDefault="009D1070" w:rsidP="009D1070">
      <w:pPr>
        <w:rPr>
          <w:b/>
          <w:bCs/>
        </w:rPr>
      </w:pPr>
      <w:r w:rsidRPr="00AD0B8B">
        <w:rPr>
          <w:b/>
          <w:bCs/>
          <w:lang w:val="fr-FR"/>
        </w:rPr>
        <w:t>Inscription, classement et emballage</w:t>
      </w:r>
    </w:p>
    <w:p w14:paraId="571A6767" w14:textId="77777777" w:rsidR="00C363BE" w:rsidRDefault="00B90BC5" w:rsidP="00C363BE">
      <w:pPr>
        <w:pStyle w:val="HChG"/>
      </w:pPr>
      <w:r>
        <w:rPr>
          <w:lang w:val="fr-FR"/>
        </w:rPr>
        <w:tab/>
      </w:r>
      <w:r>
        <w:rPr>
          <w:lang w:val="fr-FR"/>
        </w:rPr>
        <w:tab/>
      </w:r>
      <w:r w:rsidR="00C363BE">
        <w:tab/>
      </w:r>
      <w:r w:rsidR="006A0657">
        <w:t>Champ d’application d</w:t>
      </w:r>
      <w:r w:rsidR="00C42DB2">
        <w:t>u 4.1.2.2</w:t>
      </w:r>
    </w:p>
    <w:p w14:paraId="2AFDB768" w14:textId="77777777" w:rsidR="00E72C4C" w:rsidRDefault="00E72C4C" w:rsidP="00B8317F">
      <w:pPr>
        <w:pStyle w:val="H1G"/>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C3425D">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24EAE" w14:paraId="43E72E1A" w14:textId="77777777" w:rsidTr="007542F2">
        <w:trPr>
          <w:jc w:val="center"/>
        </w:trPr>
        <w:tc>
          <w:tcPr>
            <w:tcW w:w="9637" w:type="dxa"/>
            <w:shd w:val="clear" w:color="auto" w:fill="auto"/>
          </w:tcPr>
          <w:p w14:paraId="6271D437" w14:textId="77777777" w:rsidR="00924EAE" w:rsidRDefault="00924EAE" w:rsidP="007542F2">
            <w:pPr>
              <w:tabs>
                <w:tab w:val="right" w:pos="8505"/>
              </w:tabs>
              <w:spacing w:before="240" w:after="120"/>
              <w:ind w:left="255"/>
              <w:rPr>
                <w:i/>
                <w:color w:val="FF0000"/>
                <w:sz w:val="24"/>
              </w:rPr>
            </w:pPr>
            <w:r>
              <w:rPr>
                <w:i/>
                <w:sz w:val="24"/>
              </w:rPr>
              <w:t>Résumé</w:t>
            </w:r>
            <w:r>
              <w:rPr>
                <w:i/>
                <w:sz w:val="24"/>
              </w:rPr>
              <w:tab/>
            </w:r>
          </w:p>
        </w:tc>
      </w:tr>
      <w:tr w:rsidR="00924EAE" w14:paraId="3C9E5C14" w14:textId="77777777" w:rsidTr="007542F2">
        <w:trPr>
          <w:jc w:val="center"/>
        </w:trPr>
        <w:tc>
          <w:tcPr>
            <w:tcW w:w="9637" w:type="dxa"/>
            <w:shd w:val="clear" w:color="auto" w:fill="auto"/>
          </w:tcPr>
          <w:p w14:paraId="16E07969" w14:textId="77777777" w:rsidR="00924EAE" w:rsidRDefault="00924EAE" w:rsidP="00C42DB2">
            <w:pPr>
              <w:pStyle w:val="SingleTxtG"/>
              <w:ind w:left="2552" w:hanging="2268"/>
            </w:pPr>
            <w:r>
              <w:rPr>
                <w:b/>
              </w:rPr>
              <w:t>Résumé analytique:</w:t>
            </w:r>
            <w:r>
              <w:rPr>
                <w:b/>
              </w:rPr>
              <w:tab/>
            </w:r>
            <w:r w:rsidR="006A0657">
              <w:t>Il s’agit de clarifier le champ d’application d</w:t>
            </w:r>
            <w:r w:rsidR="00C42DB2">
              <w:t xml:space="preserve">u 4.1.2.2 pour les </w:t>
            </w:r>
            <w:r w:rsidR="0090534C">
              <w:t>grands récipients pour vrac (</w:t>
            </w:r>
            <w:r w:rsidR="00C42DB2">
              <w:t>GRV</w:t>
            </w:r>
            <w:r w:rsidR="0090534C">
              <w:t>)</w:t>
            </w:r>
            <w:r w:rsidR="00C42DB2">
              <w:t xml:space="preserve"> qui ne sont pas métalliques afin de permettre leur transport en vue de l’élimination ou du recyclage des marchandises dangereuses qu’ils contiennent.</w:t>
            </w:r>
          </w:p>
        </w:tc>
      </w:tr>
      <w:tr w:rsidR="00924EAE" w14:paraId="70C0C92D" w14:textId="77777777" w:rsidTr="007542F2">
        <w:trPr>
          <w:jc w:val="center"/>
        </w:trPr>
        <w:tc>
          <w:tcPr>
            <w:tcW w:w="9637" w:type="dxa"/>
            <w:shd w:val="clear" w:color="auto" w:fill="auto"/>
          </w:tcPr>
          <w:p w14:paraId="223F482E" w14:textId="77777777" w:rsidR="00924EAE" w:rsidRDefault="00924EAE" w:rsidP="00C42DB2">
            <w:pPr>
              <w:pStyle w:val="SingleTxtG"/>
              <w:ind w:left="2552" w:hanging="2268"/>
            </w:pPr>
            <w:r>
              <w:rPr>
                <w:b/>
              </w:rPr>
              <w:t>Mesure à prendre:</w:t>
            </w:r>
            <w:r>
              <w:rPr>
                <w:b/>
              </w:rPr>
              <w:tab/>
            </w:r>
            <w:r w:rsidR="006A0657">
              <w:t xml:space="preserve">Modifier le texte du </w:t>
            </w:r>
            <w:r w:rsidR="00C42DB2">
              <w:t>4.1.2.2</w:t>
            </w:r>
            <w:r>
              <w:t xml:space="preserve">. </w:t>
            </w:r>
          </w:p>
        </w:tc>
      </w:tr>
      <w:tr w:rsidR="00924EAE" w14:paraId="2FE08598" w14:textId="77777777" w:rsidTr="007542F2">
        <w:trPr>
          <w:jc w:val="center"/>
        </w:trPr>
        <w:tc>
          <w:tcPr>
            <w:tcW w:w="9637" w:type="dxa"/>
            <w:shd w:val="clear" w:color="auto" w:fill="auto"/>
          </w:tcPr>
          <w:p w14:paraId="2EF2B397" w14:textId="0B0CAF0E" w:rsidR="00924EAE" w:rsidRDefault="00924EAE" w:rsidP="001B6C30">
            <w:pPr>
              <w:pStyle w:val="SingleTxtG"/>
              <w:ind w:left="2552" w:hanging="2268"/>
              <w:jc w:val="left"/>
            </w:pPr>
            <w:r>
              <w:rPr>
                <w:b/>
              </w:rPr>
              <w:t xml:space="preserve">Documents </w:t>
            </w:r>
            <w:proofErr w:type="gramStart"/>
            <w:r>
              <w:rPr>
                <w:b/>
              </w:rPr>
              <w:t>connexes:</w:t>
            </w:r>
            <w:proofErr w:type="gramEnd"/>
            <w:r>
              <w:rPr>
                <w:b/>
              </w:rPr>
              <w:tab/>
            </w:r>
            <w:r w:rsidR="00D645FC">
              <w:t xml:space="preserve">ST/SG/AC.10/C.3/2019/27, </w:t>
            </w:r>
            <w:fldSimple w:instr=" TITLE  \* MERGEFORMAT ">
              <w:r w:rsidR="00D645FC">
                <w:t>ST/SG/AC.10/C.3/110</w:t>
              </w:r>
            </w:fldSimple>
          </w:p>
        </w:tc>
      </w:tr>
      <w:tr w:rsidR="00924EAE" w14:paraId="50F64DF2" w14:textId="77777777" w:rsidTr="007542F2">
        <w:trPr>
          <w:jc w:val="center"/>
        </w:trPr>
        <w:tc>
          <w:tcPr>
            <w:tcW w:w="9637" w:type="dxa"/>
            <w:shd w:val="clear" w:color="auto" w:fill="auto"/>
          </w:tcPr>
          <w:p w14:paraId="5371D49C" w14:textId="77777777" w:rsidR="00924EAE" w:rsidRDefault="00924EAE" w:rsidP="007542F2">
            <w:pPr>
              <w:jc w:val="center"/>
              <w:rPr>
                <w:b/>
                <w:color w:val="FF0000"/>
              </w:rPr>
            </w:pPr>
          </w:p>
        </w:tc>
      </w:tr>
    </w:tbl>
    <w:p w14:paraId="14191EA0" w14:textId="77777777" w:rsidR="00924EAE" w:rsidRDefault="00924EAE" w:rsidP="00924EAE">
      <w:pPr>
        <w:pStyle w:val="HChG"/>
      </w:pPr>
      <w:r>
        <w:tab/>
      </w:r>
      <w:r>
        <w:tab/>
        <w:t>Introduction</w:t>
      </w:r>
    </w:p>
    <w:p w14:paraId="147E622A" w14:textId="1925824B" w:rsidR="006C6714" w:rsidRDefault="006C6714" w:rsidP="001D2282">
      <w:pPr>
        <w:pStyle w:val="SingleTxtG"/>
        <w:numPr>
          <w:ilvl w:val="0"/>
          <w:numId w:val="23"/>
        </w:numPr>
        <w:ind w:left="1134" w:firstLine="0"/>
      </w:pPr>
      <w:r>
        <w:t>A la session de juillet de 2019 le document ST/SG/AC.10/C.3/2019/27 a présenté la question du transport de GRV en plastique après la date d’expiration de la validité de la dernière épreuve ou inspection périodique définie au 4</w:t>
      </w:r>
      <w:r w:rsidR="00543D98">
        <w:t>.1.2.2</w:t>
      </w:r>
      <w:r>
        <w:t xml:space="preserve">. </w:t>
      </w:r>
      <w:r w:rsidR="0010591A">
        <w:t>Les motivations que justifient la présentation de cette question figurent dans le document cité.</w:t>
      </w:r>
    </w:p>
    <w:p w14:paraId="5DF55144" w14:textId="77777777" w:rsidR="006C6714" w:rsidRDefault="006C6714" w:rsidP="001D2282">
      <w:pPr>
        <w:pStyle w:val="SingleTxtG"/>
        <w:numPr>
          <w:ilvl w:val="0"/>
          <w:numId w:val="23"/>
        </w:numPr>
        <w:ind w:left="1134" w:firstLine="0"/>
      </w:pPr>
      <w:r>
        <w:t xml:space="preserve">Selon le rapport de la réunion </w:t>
      </w:r>
      <w:fldSimple w:instr=" TITLE  \* MERGEFORMAT ">
        <w:r>
          <w:t>ST/SG/AC.10/C.3/110</w:t>
        </w:r>
      </w:fldSimple>
      <w:r>
        <w:t xml:space="preserve">, le Sous-Comité n'est pas parvenu à un consensus sur la proposition. Si certaines délégations étaient d'avis que les </w:t>
      </w:r>
      <w:r>
        <w:lastRenderedPageBreak/>
        <w:t xml:space="preserve">dispositions actuelles étaient claires et adaptées à l'objectif visé, d'autres ont reconnu que le texte pourrait être amélioré afin de traiter la question soulevée par la Suisse et ont formulé des propositions en ce sens (par exemple, restructurer le texte afin que les nouvelles dispositions s'appliquent uniquement aux GRV </w:t>
      </w:r>
      <w:r w:rsidRPr="00B8317F">
        <w:t>à</w:t>
      </w:r>
      <w:r>
        <w:rPr>
          <w:b/>
          <w:bCs/>
        </w:rPr>
        <w:t xml:space="preserve"> </w:t>
      </w:r>
      <w:r>
        <w:t>éliminer, y compris les GRV non métalliques).</w:t>
      </w:r>
    </w:p>
    <w:p w14:paraId="6DF170F2" w14:textId="56E586F0" w:rsidR="0010591A" w:rsidRPr="0010591A" w:rsidRDefault="006C6714" w:rsidP="001D2282">
      <w:pPr>
        <w:pStyle w:val="SingleTxtG"/>
        <w:numPr>
          <w:ilvl w:val="0"/>
          <w:numId w:val="23"/>
        </w:numPr>
        <w:ind w:left="1134" w:firstLine="0"/>
      </w:pPr>
      <w:r w:rsidRPr="0010591A">
        <w:t xml:space="preserve">Dans la proposition que nous présentons ci-après nous </w:t>
      </w:r>
      <w:r w:rsidR="0010591A">
        <w:t xml:space="preserve">avons séparé le cas des GRV métallique de celui des GRV non métalliques. </w:t>
      </w:r>
      <w:r w:rsidR="00B002C0">
        <w:t>Nous a</w:t>
      </w:r>
      <w:r w:rsidR="00B002C0" w:rsidRPr="0010591A">
        <w:t xml:space="preserve">joutons un nouveau </w:t>
      </w:r>
      <w:r w:rsidR="00B002C0">
        <w:t xml:space="preserve">titre au 4.1.2.2. </w:t>
      </w:r>
      <w:r w:rsidR="0010591A">
        <w:t xml:space="preserve">Nous </w:t>
      </w:r>
      <w:r w:rsidRPr="0010591A">
        <w:t xml:space="preserve">maintenons le texte actuel pour les GRV métalliques dans un paragraphe 4.1.2.2.1 et </w:t>
      </w:r>
      <w:r w:rsidR="00B002C0">
        <w:t xml:space="preserve">ajoutons </w:t>
      </w:r>
      <w:r w:rsidR="00D645FC">
        <w:t xml:space="preserve">un </w:t>
      </w:r>
      <w:r w:rsidRPr="0010591A">
        <w:t xml:space="preserve">paragraphe </w:t>
      </w:r>
      <w:r w:rsidR="0010591A" w:rsidRPr="0010591A">
        <w:t>4.1.2.2.2 pour les GRV en plastique rigide ou GRV composite qui est presque identique à celui ex</w:t>
      </w:r>
      <w:r w:rsidR="0010591A">
        <w:t>istant actuellement au 4.1.2.2 mais d</w:t>
      </w:r>
      <w:r w:rsidR="0010591A" w:rsidRPr="0010591A">
        <w:t>ans lequel les références aux contrôles et épreuves</w:t>
      </w:r>
      <w:r w:rsidR="0010591A">
        <w:t>,</w:t>
      </w:r>
      <w:r w:rsidR="0010591A" w:rsidRPr="0010591A">
        <w:t xml:space="preserve"> qui actuellement sont au pluriel</w:t>
      </w:r>
      <w:r w:rsidR="0010591A">
        <w:t>,</w:t>
      </w:r>
      <w:r w:rsidR="0010591A" w:rsidRPr="0010591A">
        <w:t xml:space="preserve"> sont remplacées par </w:t>
      </w:r>
      <w:r w:rsidR="00D645FC">
        <w:t>la référence à l’</w:t>
      </w:r>
      <w:r w:rsidR="0010591A" w:rsidRPr="0010591A">
        <w:t>inspection de deux ans et demi, qui est l’unique inspection à laquelle ces GRV s</w:t>
      </w:r>
      <w:r w:rsidR="00D645FC">
        <w:t>ont</w:t>
      </w:r>
      <w:r w:rsidR="0010591A" w:rsidRPr="0010591A">
        <w:t xml:space="preserve"> soumis au cours de leur durée de validité. </w:t>
      </w:r>
    </w:p>
    <w:p w14:paraId="50F2872A" w14:textId="77777777" w:rsidR="00924EAE" w:rsidRDefault="00924EAE" w:rsidP="00924EAE">
      <w:pPr>
        <w:pStyle w:val="HChG"/>
      </w:pPr>
      <w:r>
        <w:tab/>
      </w:r>
      <w:r>
        <w:tab/>
        <w:t>Proposition</w:t>
      </w:r>
    </w:p>
    <w:p w14:paraId="03382C94" w14:textId="52240AF9" w:rsidR="00924EAE" w:rsidRPr="0010591A" w:rsidRDefault="005C2F4C" w:rsidP="00924EAE">
      <w:pPr>
        <w:pStyle w:val="SingleTxtG"/>
      </w:pPr>
      <w:r>
        <w:t>4</w:t>
      </w:r>
      <w:r w:rsidR="00924EAE">
        <w:t>.</w:t>
      </w:r>
      <w:r w:rsidR="00924EAE">
        <w:tab/>
      </w:r>
      <w:r w:rsidR="008A1990" w:rsidRPr="0010591A">
        <w:t xml:space="preserve">Modifier </w:t>
      </w:r>
      <w:r w:rsidR="008C6D7E" w:rsidRPr="0010591A">
        <w:t xml:space="preserve">4.1.2.2 comme suit </w:t>
      </w:r>
      <w:r w:rsidR="006800CE" w:rsidRPr="0010591A">
        <w:t>(texte ajouté souligné en gras</w:t>
      </w:r>
      <w:r w:rsidR="00A77A16" w:rsidRPr="0010591A">
        <w:t xml:space="preserve">, texte éliminé </w:t>
      </w:r>
      <w:r w:rsidR="00A77A16" w:rsidRPr="0010591A">
        <w:rPr>
          <w:strike/>
        </w:rPr>
        <w:t>barré</w:t>
      </w:r>
      <w:r w:rsidR="006800CE" w:rsidRPr="0010591A">
        <w:t>)</w:t>
      </w:r>
      <w:r w:rsidR="00924EAE" w:rsidRPr="0010591A">
        <w:t> :</w:t>
      </w:r>
    </w:p>
    <w:p w14:paraId="6745C25F" w14:textId="6394F9F9" w:rsidR="00724429" w:rsidRDefault="00BC64B7" w:rsidP="00BC64B7">
      <w:pPr>
        <w:pStyle w:val="SingleTxtG"/>
        <w:ind w:left="1701" w:hanging="567"/>
      </w:pPr>
      <w:r>
        <w:tab/>
      </w:r>
      <w:r>
        <w:tab/>
      </w:r>
      <w:r w:rsidR="00724429" w:rsidRPr="008D3D17">
        <w:t>Ajouter un nouveau titre pour lire « </w:t>
      </w:r>
      <w:r w:rsidR="00724429">
        <w:t>4.1.2.2</w:t>
      </w:r>
      <w:r w:rsidR="00B8317F">
        <w:t xml:space="preserve"> </w:t>
      </w:r>
      <w:r w:rsidR="00724429" w:rsidRPr="008D3D17">
        <w:t xml:space="preserve">Remplissage des </w:t>
      </w:r>
      <w:r w:rsidR="00724429">
        <w:t>GRV</w:t>
      </w:r>
      <w:r w:rsidR="00724429" w:rsidRPr="008D3D17">
        <w:t xml:space="preserve"> après la date d’expiration des derniers contrôle et épreuve périodiques</w:t>
      </w:r>
      <w:r w:rsidR="00724429">
        <w:t xml:space="preserve"> et de la durée d’utilisation</w:t>
      </w:r>
      <w:r w:rsidR="00724429" w:rsidRPr="008D3D17">
        <w:t xml:space="preserve"> ». </w:t>
      </w:r>
    </w:p>
    <w:p w14:paraId="080E8B30" w14:textId="77777777" w:rsidR="00D645FC" w:rsidRDefault="00724429" w:rsidP="005C2F4C">
      <w:pPr>
        <w:pStyle w:val="SingleTxtG"/>
        <w:ind w:left="1701"/>
      </w:pPr>
      <w:r>
        <w:t xml:space="preserve">Biffer les termes </w:t>
      </w:r>
      <w:proofErr w:type="gramStart"/>
      <w:r>
        <w:t>« </w:t>
      </w:r>
      <w:r w:rsidRPr="0010591A">
        <w:rPr>
          <w:strike/>
        </w:rPr>
        <w:t>,</w:t>
      </w:r>
      <w:proofErr w:type="gramEnd"/>
      <w:r w:rsidRPr="0010591A">
        <w:rPr>
          <w:strike/>
        </w:rPr>
        <w:t xml:space="preserve"> GRV en plastique rigide ou GRV composite,</w:t>
      </w:r>
      <w:r>
        <w:rPr>
          <w:strike/>
        </w:rPr>
        <w:t> </w:t>
      </w:r>
      <w:r w:rsidRPr="00724429">
        <w:t xml:space="preserve">» dans la première phrase du 4.1.2.2 actuel et </w:t>
      </w:r>
      <w:r>
        <w:t>r</w:t>
      </w:r>
      <w:r w:rsidRPr="008D3D17">
        <w:t xml:space="preserve">enuméroter le </w:t>
      </w:r>
      <w:r>
        <w:t>4.1.2.2</w:t>
      </w:r>
      <w:r w:rsidRPr="008D3D17">
        <w:t xml:space="preserve"> actuel en tant que</w:t>
      </w:r>
      <w:r>
        <w:t xml:space="preserve"> 4.1.2.2.1 de la manière suivante :</w:t>
      </w:r>
      <w:r w:rsidRPr="0010591A">
        <w:t xml:space="preserve"> </w:t>
      </w:r>
    </w:p>
    <w:p w14:paraId="6BF5DE5E" w14:textId="500447F3" w:rsidR="002E6F3B" w:rsidRPr="0010591A" w:rsidRDefault="00924EAE" w:rsidP="005C2F4C">
      <w:pPr>
        <w:pStyle w:val="SingleTxtG"/>
        <w:ind w:left="1701"/>
      </w:pPr>
      <w:r w:rsidRPr="0010591A">
        <w:t>«</w:t>
      </w:r>
      <w:r w:rsidR="005C2F4C">
        <w:t xml:space="preserve"> </w:t>
      </w:r>
      <w:r w:rsidR="002E6F3B" w:rsidRPr="0010591A">
        <w:t>4.1.2.2</w:t>
      </w:r>
      <w:r w:rsidR="002E6F3B" w:rsidRPr="0010591A">
        <w:rPr>
          <w:b/>
          <w:u w:val="single"/>
        </w:rPr>
        <w:t>.1</w:t>
      </w:r>
      <w:r w:rsidR="002E6F3B" w:rsidRPr="0010591A">
        <w:t xml:space="preserve"> Tout GRV métallique</w:t>
      </w:r>
      <w:r w:rsidR="002E6F3B" w:rsidRPr="0010591A">
        <w:rPr>
          <w:strike/>
        </w:rPr>
        <w:t>, GRV en plastique rigide ou GRV composite,</w:t>
      </w:r>
      <w:r w:rsidR="002E6F3B" w:rsidRPr="0010591A">
        <w:t xml:space="preserve"> doit être soumis aux contrôles et épreuves appropriés conformément au 6.5.4.4 ou 6.5.4.5: </w:t>
      </w:r>
      <w:proofErr w:type="gramStart"/>
      <w:r w:rsidR="00724429">
        <w:t>…( reste</w:t>
      </w:r>
      <w:proofErr w:type="gramEnd"/>
      <w:r w:rsidR="00724429">
        <w:t xml:space="preserve"> inchangé).</w:t>
      </w:r>
      <w:r w:rsidR="00AE0474">
        <w:t> »</w:t>
      </w:r>
    </w:p>
    <w:p w14:paraId="674D8B0C" w14:textId="08285857" w:rsidR="00724429" w:rsidRPr="0010591A" w:rsidRDefault="00D645FC" w:rsidP="00EA58D9">
      <w:pPr>
        <w:pStyle w:val="SingleTxtG"/>
        <w:ind w:firstLine="567"/>
      </w:pPr>
      <w:r>
        <w:t xml:space="preserve">Ajouter </w:t>
      </w:r>
      <w:proofErr w:type="gramStart"/>
      <w:r>
        <w:t>une nouveau paragraphe</w:t>
      </w:r>
      <w:proofErr w:type="gramEnd"/>
      <w:r>
        <w:t xml:space="preserve"> 4.1.2.2.2 comme suit :</w:t>
      </w:r>
    </w:p>
    <w:p w14:paraId="70638384" w14:textId="77777777" w:rsidR="00A742C3" w:rsidRPr="00A742C3" w:rsidRDefault="00D645FC" w:rsidP="005C2F4C">
      <w:pPr>
        <w:pStyle w:val="SingleTxtG"/>
        <w:ind w:left="1701"/>
        <w:rPr>
          <w:b/>
          <w:bCs/>
          <w:u w:val="single"/>
        </w:rPr>
      </w:pPr>
      <w:r w:rsidRPr="00A742C3">
        <w:rPr>
          <w:b/>
          <w:bCs/>
          <w:u w:val="single"/>
        </w:rPr>
        <w:t>« </w:t>
      </w:r>
      <w:r w:rsidR="00AE5DE4" w:rsidRPr="00A742C3">
        <w:rPr>
          <w:b/>
          <w:bCs/>
          <w:u w:val="single"/>
        </w:rPr>
        <w:t>4.1.2.2</w:t>
      </w:r>
      <w:r w:rsidR="002E6F3B" w:rsidRPr="00A742C3">
        <w:rPr>
          <w:b/>
          <w:bCs/>
          <w:u w:val="single"/>
        </w:rPr>
        <w:t>.2</w:t>
      </w:r>
      <w:r w:rsidR="00AE5DE4" w:rsidRPr="00A742C3">
        <w:rPr>
          <w:b/>
          <w:bCs/>
          <w:u w:val="single"/>
        </w:rPr>
        <w:t xml:space="preserve"> </w:t>
      </w:r>
      <w:r w:rsidR="002E6F3B" w:rsidRPr="00A742C3">
        <w:rPr>
          <w:b/>
          <w:bCs/>
          <w:u w:val="single"/>
        </w:rPr>
        <w:t xml:space="preserve">Tout GRV en plastique rigide ou GRV composite, doit être soumis aux contrôles et épreuves appropriés conformément au 6.5.4.4 ou 6.5.4.5: </w:t>
      </w:r>
    </w:p>
    <w:p w14:paraId="16D0FC3A" w14:textId="42A49FF8" w:rsidR="002E6F3B" w:rsidRPr="00A742C3" w:rsidRDefault="002E6F3B" w:rsidP="005C2F4C">
      <w:pPr>
        <w:pStyle w:val="SingleTxtG"/>
        <w:ind w:firstLine="567"/>
        <w:rPr>
          <w:b/>
          <w:bCs/>
          <w:u w:val="single"/>
        </w:rPr>
      </w:pPr>
      <w:r w:rsidRPr="00A742C3">
        <w:rPr>
          <w:b/>
          <w:bCs/>
          <w:u w:val="single"/>
        </w:rPr>
        <w:t>-</w:t>
      </w:r>
      <w:r w:rsidR="00A742C3">
        <w:rPr>
          <w:b/>
          <w:bCs/>
          <w:u w:val="single"/>
        </w:rPr>
        <w:tab/>
      </w:r>
      <w:r w:rsidRPr="00A742C3">
        <w:rPr>
          <w:b/>
          <w:bCs/>
          <w:u w:val="single"/>
        </w:rPr>
        <w:t xml:space="preserve">avant sa mise en </w:t>
      </w:r>
      <w:proofErr w:type="gramStart"/>
      <w:r w:rsidRPr="00A742C3">
        <w:rPr>
          <w:b/>
          <w:bCs/>
          <w:u w:val="single"/>
        </w:rPr>
        <w:t>service;</w:t>
      </w:r>
      <w:proofErr w:type="gramEnd"/>
      <w:r w:rsidRPr="00A742C3">
        <w:rPr>
          <w:b/>
          <w:bCs/>
          <w:u w:val="single"/>
        </w:rPr>
        <w:t xml:space="preserve"> </w:t>
      </w:r>
    </w:p>
    <w:p w14:paraId="6A68FF28" w14:textId="68D01535" w:rsidR="002E6F3B" w:rsidRPr="00A742C3" w:rsidRDefault="002E6F3B" w:rsidP="005C2F4C">
      <w:pPr>
        <w:pStyle w:val="SingleTxtG"/>
        <w:ind w:firstLine="567"/>
        <w:rPr>
          <w:b/>
          <w:bCs/>
          <w:u w:val="single"/>
        </w:rPr>
      </w:pPr>
      <w:r w:rsidRPr="00A742C3">
        <w:rPr>
          <w:b/>
          <w:bCs/>
          <w:u w:val="single"/>
        </w:rPr>
        <w:t>-</w:t>
      </w:r>
      <w:r w:rsidR="00A742C3">
        <w:rPr>
          <w:b/>
          <w:bCs/>
          <w:u w:val="single"/>
        </w:rPr>
        <w:tab/>
      </w:r>
      <w:r w:rsidRPr="00A742C3">
        <w:rPr>
          <w:b/>
          <w:bCs/>
          <w:u w:val="single"/>
        </w:rPr>
        <w:t xml:space="preserve">ensuite </w:t>
      </w:r>
      <w:r w:rsidR="000021A7" w:rsidRPr="00A742C3">
        <w:rPr>
          <w:b/>
          <w:bCs/>
          <w:u w:val="single"/>
        </w:rPr>
        <w:t>après un intervalle</w:t>
      </w:r>
      <w:r w:rsidRPr="00A742C3">
        <w:rPr>
          <w:b/>
          <w:bCs/>
          <w:u w:val="single"/>
        </w:rPr>
        <w:t xml:space="preserve"> ne dépassant pas deux ans et </w:t>
      </w:r>
      <w:proofErr w:type="gramStart"/>
      <w:r w:rsidRPr="00A742C3">
        <w:rPr>
          <w:b/>
          <w:bCs/>
          <w:u w:val="single"/>
        </w:rPr>
        <w:t>demi;</w:t>
      </w:r>
      <w:proofErr w:type="gramEnd"/>
      <w:r w:rsidRPr="00A742C3">
        <w:rPr>
          <w:b/>
          <w:bCs/>
          <w:u w:val="single"/>
        </w:rPr>
        <w:t xml:space="preserve"> et </w:t>
      </w:r>
    </w:p>
    <w:p w14:paraId="59118350" w14:textId="1F7BF10E" w:rsidR="002E6F3B" w:rsidRPr="00A742C3" w:rsidRDefault="002E6F3B" w:rsidP="004E5410">
      <w:pPr>
        <w:pStyle w:val="SingleTxtG"/>
        <w:ind w:left="1701"/>
        <w:rPr>
          <w:b/>
          <w:bCs/>
          <w:u w:val="single"/>
        </w:rPr>
      </w:pPr>
      <w:r w:rsidRPr="00A742C3">
        <w:rPr>
          <w:b/>
          <w:bCs/>
          <w:u w:val="single"/>
        </w:rPr>
        <w:t>-</w:t>
      </w:r>
      <w:r w:rsidR="00A742C3">
        <w:rPr>
          <w:b/>
          <w:bCs/>
          <w:u w:val="single"/>
        </w:rPr>
        <w:tab/>
      </w:r>
      <w:r w:rsidRPr="00A742C3">
        <w:rPr>
          <w:b/>
          <w:bCs/>
          <w:u w:val="single"/>
        </w:rPr>
        <w:t xml:space="preserve">après réparation ou reconstruction, avant qu’il soit réutilisé pour le transport. </w:t>
      </w:r>
    </w:p>
    <w:p w14:paraId="2F59D61E" w14:textId="77777777" w:rsidR="000021A7" w:rsidRPr="00A742C3" w:rsidRDefault="002E6F3B" w:rsidP="004E5410">
      <w:pPr>
        <w:pStyle w:val="SingleTxtG"/>
        <w:ind w:left="1701"/>
        <w:rPr>
          <w:b/>
          <w:bCs/>
          <w:u w:val="single"/>
        </w:rPr>
      </w:pPr>
      <w:r w:rsidRPr="00A742C3">
        <w:rPr>
          <w:b/>
          <w:bCs/>
          <w:u w:val="single"/>
        </w:rPr>
        <w:t xml:space="preserve">Un </w:t>
      </w:r>
      <w:r w:rsidR="00765CE2" w:rsidRPr="00A742C3">
        <w:rPr>
          <w:b/>
          <w:bCs/>
          <w:u w:val="single"/>
        </w:rPr>
        <w:t xml:space="preserve">GRV en plastique rigide ou GRV composite </w:t>
      </w:r>
      <w:r w:rsidRPr="00A742C3">
        <w:rPr>
          <w:b/>
          <w:bCs/>
          <w:u w:val="single"/>
        </w:rPr>
        <w:t xml:space="preserve">ne doit pas être rempli et présenté au transport après la date d'expiration de la validité de la dernière épreuve ou inspection périodiques ni après échéance de la durée d’utilisation admise selon le 4.1.1.15. Cependant, un </w:t>
      </w:r>
      <w:r w:rsidR="00765CE2" w:rsidRPr="00A742C3">
        <w:rPr>
          <w:b/>
          <w:bCs/>
          <w:u w:val="single"/>
        </w:rPr>
        <w:t xml:space="preserve">GRV en plastique rigide ou GRV composite </w:t>
      </w:r>
      <w:r w:rsidRPr="00A742C3">
        <w:rPr>
          <w:b/>
          <w:bCs/>
          <w:u w:val="single"/>
        </w:rPr>
        <w:t>rempli avant la date d'expiration de validité de l</w:t>
      </w:r>
      <w:r w:rsidR="000021A7" w:rsidRPr="00A742C3">
        <w:rPr>
          <w:b/>
          <w:bCs/>
          <w:u w:val="single"/>
        </w:rPr>
        <w:t xml:space="preserve">’inspection de deux ans et demi </w:t>
      </w:r>
      <w:r w:rsidR="00765CE2" w:rsidRPr="00A742C3">
        <w:rPr>
          <w:b/>
          <w:bCs/>
          <w:u w:val="single"/>
        </w:rPr>
        <w:t xml:space="preserve">ou après échéance de la durée d’utilisation admise selon le 4.1.1.15 </w:t>
      </w:r>
      <w:r w:rsidRPr="00A742C3">
        <w:rPr>
          <w:b/>
          <w:bCs/>
          <w:u w:val="single"/>
        </w:rPr>
        <w:t xml:space="preserve">peut être transporté pendant trois mois au maximum après cette date. </w:t>
      </w:r>
    </w:p>
    <w:p w14:paraId="34B36F96" w14:textId="7F5B2159" w:rsidR="000021A7" w:rsidRPr="00A742C3" w:rsidRDefault="002E6F3B" w:rsidP="004E5410">
      <w:pPr>
        <w:pStyle w:val="SingleTxtG"/>
        <w:ind w:firstLine="567"/>
        <w:rPr>
          <w:b/>
          <w:bCs/>
          <w:u w:val="single"/>
        </w:rPr>
      </w:pPr>
      <w:r w:rsidRPr="00A742C3">
        <w:rPr>
          <w:b/>
          <w:bCs/>
          <w:u w:val="single"/>
        </w:rPr>
        <w:t xml:space="preserve">En outre, un </w:t>
      </w:r>
      <w:r w:rsidR="00765CE2" w:rsidRPr="00A742C3">
        <w:rPr>
          <w:b/>
          <w:bCs/>
          <w:u w:val="single"/>
        </w:rPr>
        <w:t xml:space="preserve">GRV en plastique rigide ou GRV composite </w:t>
      </w:r>
      <w:r w:rsidRPr="00A742C3">
        <w:rPr>
          <w:b/>
          <w:bCs/>
          <w:u w:val="single"/>
        </w:rPr>
        <w:t>peut être transporté</w:t>
      </w:r>
      <w:r w:rsidR="000021A7" w:rsidRPr="00A742C3">
        <w:rPr>
          <w:b/>
          <w:bCs/>
          <w:u w:val="single"/>
        </w:rPr>
        <w:t> :</w:t>
      </w:r>
    </w:p>
    <w:p w14:paraId="22ED0FB4" w14:textId="1C7B4769" w:rsidR="000021A7" w:rsidRPr="00A742C3" w:rsidRDefault="00A742C3" w:rsidP="004E5410">
      <w:pPr>
        <w:pStyle w:val="SingleTxtG"/>
        <w:ind w:left="1701"/>
        <w:rPr>
          <w:b/>
          <w:bCs/>
          <w:u w:val="single"/>
        </w:rPr>
      </w:pPr>
      <w:r>
        <w:rPr>
          <w:b/>
          <w:bCs/>
          <w:u w:val="single"/>
        </w:rPr>
        <w:tab/>
        <w:t>-</w:t>
      </w:r>
      <w:r>
        <w:rPr>
          <w:b/>
          <w:bCs/>
          <w:u w:val="single"/>
        </w:rPr>
        <w:tab/>
      </w:r>
      <w:r w:rsidR="002E6F3B" w:rsidRPr="00A742C3">
        <w:rPr>
          <w:b/>
          <w:bCs/>
          <w:u w:val="single"/>
        </w:rPr>
        <w:t>a</w:t>
      </w:r>
      <w:r w:rsidR="00765CE2" w:rsidRPr="00A742C3">
        <w:rPr>
          <w:b/>
          <w:bCs/>
          <w:u w:val="single"/>
        </w:rPr>
        <w:t>près la date d'expiration de l’inspection de deux ans et demi</w:t>
      </w:r>
      <w:r w:rsidR="002E6F3B" w:rsidRPr="00A742C3">
        <w:rPr>
          <w:b/>
          <w:bCs/>
          <w:u w:val="single"/>
        </w:rPr>
        <w:t xml:space="preserve"> après avoir été vidangé mais avant d'avoir été nettoyé pour être soumis à l'inspection prescrit</w:t>
      </w:r>
      <w:r w:rsidR="000021A7" w:rsidRPr="00A742C3">
        <w:rPr>
          <w:b/>
          <w:bCs/>
          <w:u w:val="single"/>
        </w:rPr>
        <w:t>e avant d'être à nouveau rempli</w:t>
      </w:r>
      <w:r w:rsidR="00C03BF6" w:rsidRPr="00A742C3">
        <w:rPr>
          <w:b/>
          <w:bCs/>
          <w:u w:val="single"/>
        </w:rPr>
        <w:t> ; et</w:t>
      </w:r>
    </w:p>
    <w:p w14:paraId="0593AFF7" w14:textId="77777777" w:rsidR="00EA58D9" w:rsidRDefault="00EA58D9">
      <w:pPr>
        <w:suppressAutoHyphens w:val="0"/>
        <w:spacing w:line="240" w:lineRule="auto"/>
        <w:rPr>
          <w:b/>
          <w:bCs/>
          <w:u w:val="single"/>
        </w:rPr>
      </w:pPr>
      <w:r>
        <w:rPr>
          <w:b/>
          <w:bCs/>
          <w:u w:val="single"/>
        </w:rPr>
        <w:br w:type="page"/>
      </w:r>
    </w:p>
    <w:p w14:paraId="119257BE" w14:textId="0DD25034" w:rsidR="00A742C3" w:rsidRDefault="00A742C3" w:rsidP="004E5410">
      <w:pPr>
        <w:pStyle w:val="SingleTxtG"/>
        <w:ind w:left="1701"/>
        <w:rPr>
          <w:b/>
          <w:bCs/>
          <w:u w:val="single"/>
        </w:rPr>
      </w:pPr>
      <w:r>
        <w:rPr>
          <w:b/>
          <w:bCs/>
          <w:u w:val="single"/>
        </w:rPr>
        <w:lastRenderedPageBreak/>
        <w:tab/>
        <w:t>-</w:t>
      </w:r>
      <w:r>
        <w:rPr>
          <w:b/>
          <w:bCs/>
          <w:u w:val="single"/>
        </w:rPr>
        <w:tab/>
      </w:r>
      <w:r w:rsidR="000021A7" w:rsidRPr="00A742C3">
        <w:rPr>
          <w:b/>
          <w:bCs/>
          <w:u w:val="single"/>
        </w:rPr>
        <w:t>s</w:t>
      </w:r>
      <w:r w:rsidR="002E6F3B" w:rsidRPr="00A742C3">
        <w:rPr>
          <w:b/>
          <w:bCs/>
          <w:u w:val="single"/>
        </w:rPr>
        <w:t>auf dérogation accordée par l'autorité compétente</w:t>
      </w:r>
      <w:r w:rsidR="000021A7" w:rsidRPr="00A742C3">
        <w:rPr>
          <w:b/>
          <w:bCs/>
          <w:u w:val="single"/>
        </w:rPr>
        <w:t xml:space="preserve">, </w:t>
      </w:r>
      <w:r w:rsidR="002E6F3B" w:rsidRPr="00A742C3">
        <w:rPr>
          <w:b/>
          <w:bCs/>
          <w:u w:val="single"/>
        </w:rPr>
        <w:t xml:space="preserve">pendant une période de six mois au maximum après la date d'expiration de </w:t>
      </w:r>
      <w:r w:rsidR="00765CE2" w:rsidRPr="00A742C3">
        <w:rPr>
          <w:b/>
          <w:bCs/>
          <w:u w:val="single"/>
        </w:rPr>
        <w:t xml:space="preserve">de la durée d'utilisation admise selon le 4.1.1.15. </w:t>
      </w:r>
      <w:proofErr w:type="gramStart"/>
      <w:r w:rsidR="00765CE2" w:rsidRPr="00A742C3">
        <w:rPr>
          <w:b/>
          <w:bCs/>
          <w:u w:val="single"/>
        </w:rPr>
        <w:t>ou</w:t>
      </w:r>
      <w:proofErr w:type="gramEnd"/>
      <w:r w:rsidR="00765CE2" w:rsidRPr="00A742C3">
        <w:rPr>
          <w:b/>
          <w:bCs/>
          <w:u w:val="single"/>
        </w:rPr>
        <w:t xml:space="preserve"> de </w:t>
      </w:r>
      <w:r w:rsidR="002E6F3B" w:rsidRPr="00A742C3">
        <w:rPr>
          <w:b/>
          <w:bCs/>
          <w:u w:val="single"/>
        </w:rPr>
        <w:t>validité de l</w:t>
      </w:r>
      <w:r w:rsidR="000021A7" w:rsidRPr="00A742C3">
        <w:rPr>
          <w:b/>
          <w:bCs/>
          <w:u w:val="single"/>
        </w:rPr>
        <w:t>’in</w:t>
      </w:r>
      <w:r w:rsidR="002E6F3B" w:rsidRPr="00A742C3">
        <w:rPr>
          <w:b/>
          <w:bCs/>
          <w:u w:val="single"/>
        </w:rPr>
        <w:t>spection périodique pour permettre le retour des marchandises ou des résidus dangereux en vue de leur élimination ou leur recyclage selon les règles. Le document de transport portera mention de cette exemption.</w:t>
      </w:r>
      <w:r w:rsidR="00D645FC" w:rsidRPr="00A742C3">
        <w:rPr>
          <w:b/>
          <w:bCs/>
          <w:u w:val="single"/>
        </w:rPr>
        <w:t> »</w:t>
      </w:r>
    </w:p>
    <w:p w14:paraId="585B9A94" w14:textId="641C68AC" w:rsidR="00EA58D9" w:rsidRPr="00EA58D9" w:rsidRDefault="00EA58D9" w:rsidP="00EA58D9">
      <w:pPr>
        <w:spacing w:before="240"/>
        <w:jc w:val="center"/>
        <w:rPr>
          <w:u w:val="single"/>
        </w:rPr>
      </w:pPr>
      <w:r>
        <w:rPr>
          <w:u w:val="single"/>
        </w:rPr>
        <w:tab/>
      </w:r>
      <w:r>
        <w:rPr>
          <w:u w:val="single"/>
        </w:rPr>
        <w:tab/>
      </w:r>
      <w:r>
        <w:rPr>
          <w:u w:val="single"/>
        </w:rPr>
        <w:tab/>
      </w:r>
    </w:p>
    <w:p w14:paraId="1C847C97" w14:textId="21AC63EE" w:rsidR="00EA58D9" w:rsidRDefault="00EA58D9" w:rsidP="004E5410">
      <w:pPr>
        <w:pStyle w:val="SingleTxtG"/>
        <w:ind w:left="1701"/>
        <w:rPr>
          <w:b/>
          <w:bCs/>
          <w:u w:val="single"/>
        </w:rPr>
      </w:pPr>
    </w:p>
    <w:p w14:paraId="6D826857" w14:textId="3EE9CB5D" w:rsidR="00EA58D9" w:rsidRDefault="00EA58D9" w:rsidP="004E5410">
      <w:pPr>
        <w:pStyle w:val="SingleTxtG"/>
        <w:ind w:left="1701"/>
        <w:rPr>
          <w:b/>
          <w:bCs/>
          <w:u w:val="single"/>
        </w:rPr>
      </w:pPr>
    </w:p>
    <w:p w14:paraId="2A2B8F12" w14:textId="77777777" w:rsidR="00EA58D9" w:rsidRPr="00A742C3" w:rsidRDefault="00EA58D9" w:rsidP="004E5410">
      <w:pPr>
        <w:pStyle w:val="SingleTxtG"/>
        <w:ind w:left="1701"/>
        <w:rPr>
          <w:b/>
          <w:bCs/>
          <w:u w:val="single"/>
        </w:rPr>
      </w:pPr>
    </w:p>
    <w:sectPr w:rsidR="00EA58D9" w:rsidRPr="00A742C3">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96C3" w14:textId="77777777" w:rsidR="00D13709" w:rsidRDefault="00D13709"/>
  </w:endnote>
  <w:endnote w:type="continuationSeparator" w:id="0">
    <w:p w14:paraId="44615C50" w14:textId="77777777" w:rsidR="00D13709" w:rsidRDefault="00D13709"/>
  </w:endnote>
  <w:endnote w:type="continuationNotice" w:id="1">
    <w:p w14:paraId="55E98586" w14:textId="77777777" w:rsidR="00D13709" w:rsidRDefault="00D1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55B9" w14:textId="5893B808"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AE0474">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C86D" w14:textId="3D8C2119"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D645FC">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E7D1" w14:textId="77777777" w:rsidR="00D13709" w:rsidRDefault="00D13709">
      <w:pPr>
        <w:tabs>
          <w:tab w:val="right" w:pos="2155"/>
        </w:tabs>
        <w:spacing w:after="80"/>
        <w:ind w:left="680"/>
        <w:rPr>
          <w:u w:val="single"/>
        </w:rPr>
      </w:pPr>
      <w:r>
        <w:rPr>
          <w:u w:val="single"/>
        </w:rPr>
        <w:tab/>
      </w:r>
    </w:p>
  </w:footnote>
  <w:footnote w:type="continuationSeparator" w:id="0">
    <w:p w14:paraId="5736267C" w14:textId="77777777" w:rsidR="00D13709" w:rsidRDefault="00D13709">
      <w:pPr>
        <w:tabs>
          <w:tab w:val="left" w:pos="2155"/>
        </w:tabs>
        <w:spacing w:after="80"/>
        <w:ind w:left="680"/>
        <w:rPr>
          <w:u w:val="single"/>
        </w:rPr>
      </w:pPr>
      <w:r>
        <w:rPr>
          <w:u w:val="single"/>
        </w:rPr>
        <w:tab/>
      </w:r>
    </w:p>
  </w:footnote>
  <w:footnote w:type="continuationNotice" w:id="1">
    <w:p w14:paraId="6E88163C" w14:textId="77777777" w:rsidR="00D13709" w:rsidRDefault="00D13709"/>
  </w:footnote>
  <w:footnote w:id="2">
    <w:p w14:paraId="4499417F" w14:textId="77777777" w:rsidR="00C3425D" w:rsidRDefault="00C3425D" w:rsidP="00C3425D">
      <w:pPr>
        <w:pStyle w:val="FootnoteText"/>
        <w:tabs>
          <w:tab w:val="left" w:pos="1418"/>
        </w:tabs>
        <w:ind w:firstLine="0"/>
      </w:pPr>
      <w:r>
        <w:rPr>
          <w:rStyle w:val="FootnoteReference"/>
        </w:rPr>
        <w:footnoteRef/>
      </w:r>
      <w:r>
        <w:tab/>
      </w:r>
      <w:r w:rsidR="009D1070" w:rsidRPr="00BB2688">
        <w:rPr>
          <w:spacing w:val="-2"/>
          <w:lang w:val="fr-FR"/>
        </w:rPr>
        <w:t>Conformément au programme de travail du Sous-Comi</w:t>
      </w:r>
      <w:r w:rsidR="009D1070">
        <w:rPr>
          <w:spacing w:val="-2"/>
          <w:lang w:val="fr-FR"/>
        </w:rPr>
        <w:t>té pour la période biennale 2019-2020</w:t>
      </w:r>
      <w:r w:rsidR="009D1070" w:rsidRPr="00BB2688">
        <w:rPr>
          <w:spacing w:val="-2"/>
          <w:lang w:val="fr-FR"/>
        </w:rPr>
        <w:t xml:space="preserve">, approuvé par le Comité à sa </w:t>
      </w:r>
      <w:r w:rsidR="009D1070">
        <w:rPr>
          <w:spacing w:val="-2"/>
          <w:lang w:val="fr-FR"/>
        </w:rPr>
        <w:t>neuvième</w:t>
      </w:r>
      <w:r w:rsidR="009D1070" w:rsidRPr="00BB2688">
        <w:rPr>
          <w:spacing w:val="-2"/>
          <w:lang w:val="fr-FR"/>
        </w:rPr>
        <w:t xml:space="preserve"> session (voir ST/SG/AC.10/C.3/</w:t>
      </w:r>
      <w:r w:rsidR="009D1070">
        <w:rPr>
          <w:spacing w:val="-2"/>
          <w:lang w:val="fr-FR"/>
        </w:rPr>
        <w:t>108, par. 141, et ST/SG/AC.10/46, par. 14</w:t>
      </w:r>
      <w:r w:rsidR="009D1070" w:rsidRPr="00BB2688">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5650" w14:textId="1361EF0D" w:rsidR="007C2370" w:rsidRDefault="007C2370">
    <w:pPr>
      <w:pStyle w:val="Header"/>
      <w:rPr>
        <w:lang w:val="en-US"/>
      </w:rPr>
    </w:pPr>
    <w:r>
      <w:rPr>
        <w:lang w:val="en-US"/>
      </w:rPr>
      <w:t>S</w:t>
    </w:r>
    <w:r w:rsidR="00AB7366">
      <w:rPr>
        <w:lang w:val="en-US"/>
      </w:rPr>
      <w:t>T/SG/AC.10/C.3/201</w:t>
    </w:r>
    <w:r w:rsidR="009D1070">
      <w:rPr>
        <w:lang w:val="en-US"/>
      </w:rPr>
      <w:t>9</w:t>
    </w:r>
    <w:r>
      <w:rPr>
        <w:lang w:val="en-US"/>
      </w:rPr>
      <w:t>/</w:t>
    </w:r>
    <w:r w:rsidR="00B8317F">
      <w:rPr>
        <w:lang w:val="en-US"/>
      </w:rPr>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1524" w14:textId="65EFD9EA" w:rsidR="007C2370" w:rsidRDefault="00663195">
    <w:pPr>
      <w:pStyle w:val="Header"/>
      <w:jc w:val="right"/>
      <w:rPr>
        <w:lang w:val="en-US"/>
      </w:rPr>
    </w:pPr>
    <w:r>
      <w:rPr>
        <w:lang w:val="en-US"/>
      </w:rPr>
      <w:t>ST/SG/AC.10/C.3/201</w:t>
    </w:r>
    <w:r w:rsidR="009D1070">
      <w:rPr>
        <w:lang w:val="en-US"/>
      </w:rPr>
      <w:t>9</w:t>
    </w:r>
    <w:r>
      <w:rPr>
        <w:lang w:val="en-US"/>
      </w:rPr>
      <w:t>/</w:t>
    </w:r>
    <w:r w:rsidR="00EA58D9">
      <w:rPr>
        <w:lang w:val="en-US"/>
      </w:rPr>
      <w:t>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042A" w14:textId="77777777" w:rsidR="007C2370" w:rsidRDefault="007C2370" w:rsidP="00C3425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8C6412F"/>
    <w:multiLevelType w:val="hybridMultilevel"/>
    <w:tmpl w:val="9296EA52"/>
    <w:lvl w:ilvl="0" w:tplc="599414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FCE6890"/>
    <w:multiLevelType w:val="hybridMultilevel"/>
    <w:tmpl w:val="588677BE"/>
    <w:lvl w:ilvl="0" w:tplc="FC5260B4">
      <w:start w:val="1"/>
      <w:numFmt w:val="decimal"/>
      <w:lvlText w:val="%1."/>
      <w:lvlJc w:val="left"/>
      <w:pPr>
        <w:ind w:left="1704" w:hanging="570"/>
      </w:pPr>
      <w:rPr>
        <w:rFonts w:hint="default"/>
      </w:rPr>
    </w:lvl>
    <w:lvl w:ilvl="1" w:tplc="04090019">
      <w:start w:val="1"/>
      <w:numFmt w:val="lowerLetter"/>
      <w:lvlText w:val="%2."/>
      <w:lvlJc w:val="left"/>
      <w:pPr>
        <w:ind w:left="305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0"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1" w15:restartNumberingAfterBreak="0">
    <w:nsid w:val="375F6B88"/>
    <w:multiLevelType w:val="hybridMultilevel"/>
    <w:tmpl w:val="AC4E97A0"/>
    <w:lvl w:ilvl="0" w:tplc="04847E7A">
      <w:start w:val="7"/>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5" w15:restartNumberingAfterBreak="0">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DE41DE6"/>
    <w:multiLevelType w:val="hybridMultilevel"/>
    <w:tmpl w:val="5F443ECC"/>
    <w:lvl w:ilvl="0" w:tplc="23142388">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0"/>
  </w:num>
  <w:num w:numId="4">
    <w:abstractNumId w:val="1"/>
  </w:num>
  <w:num w:numId="5">
    <w:abstractNumId w:val="2"/>
  </w:num>
  <w:num w:numId="6">
    <w:abstractNumId w:val="10"/>
  </w:num>
  <w:num w:numId="7">
    <w:abstractNumId w:val="17"/>
  </w:num>
  <w:num w:numId="8">
    <w:abstractNumId w:val="21"/>
  </w:num>
  <w:num w:numId="9">
    <w:abstractNumId w:val="14"/>
  </w:num>
  <w:num w:numId="10">
    <w:abstractNumId w:val="22"/>
  </w:num>
  <w:num w:numId="11">
    <w:abstractNumId w:val="13"/>
  </w:num>
  <w:num w:numId="12">
    <w:abstractNumId w:val="18"/>
  </w:num>
  <w:num w:numId="13">
    <w:abstractNumId w:val="18"/>
  </w:num>
  <w:num w:numId="14">
    <w:abstractNumId w:val="18"/>
  </w:num>
  <w:num w:numId="15">
    <w:abstractNumId w:val="5"/>
  </w:num>
  <w:num w:numId="16">
    <w:abstractNumId w:val="7"/>
  </w:num>
  <w:num w:numId="17">
    <w:abstractNumId w:val="16"/>
  </w:num>
  <w:num w:numId="18">
    <w:abstractNumId w:val="4"/>
  </w:num>
  <w:num w:numId="19">
    <w:abstractNumId w:val="20"/>
  </w:num>
  <w:num w:numId="20">
    <w:abstractNumId w:val="9"/>
  </w:num>
  <w:num w:numId="21">
    <w:abstractNumId w:val="6"/>
  </w:num>
  <w:num w:numId="22">
    <w:abstractNumId w:val="15"/>
  </w:num>
  <w:num w:numId="23">
    <w:abstractNumId w:val="8"/>
  </w:num>
  <w:num w:numId="24">
    <w:abstractNumId w:val="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02"/>
    <w:rsid w:val="000021A7"/>
    <w:rsid w:val="00012DAC"/>
    <w:rsid w:val="00013866"/>
    <w:rsid w:val="00014AEA"/>
    <w:rsid w:val="00042CFB"/>
    <w:rsid w:val="00046BFA"/>
    <w:rsid w:val="00051400"/>
    <w:rsid w:val="00054394"/>
    <w:rsid w:val="0005650A"/>
    <w:rsid w:val="000659E4"/>
    <w:rsid w:val="000806FE"/>
    <w:rsid w:val="00083294"/>
    <w:rsid w:val="000B3266"/>
    <w:rsid w:val="000C06F0"/>
    <w:rsid w:val="000F1361"/>
    <w:rsid w:val="000F7333"/>
    <w:rsid w:val="001058BC"/>
    <w:rsid w:val="0010591A"/>
    <w:rsid w:val="001174AE"/>
    <w:rsid w:val="0015596D"/>
    <w:rsid w:val="0015782F"/>
    <w:rsid w:val="001A44AF"/>
    <w:rsid w:val="001B6C30"/>
    <w:rsid w:val="001C6A24"/>
    <w:rsid w:val="001D2282"/>
    <w:rsid w:val="001E0915"/>
    <w:rsid w:val="001E36A9"/>
    <w:rsid w:val="001F1DF1"/>
    <w:rsid w:val="00203D55"/>
    <w:rsid w:val="00210222"/>
    <w:rsid w:val="0023481B"/>
    <w:rsid w:val="00236B05"/>
    <w:rsid w:val="00237CAF"/>
    <w:rsid w:val="00242278"/>
    <w:rsid w:val="00253A00"/>
    <w:rsid w:val="0026107C"/>
    <w:rsid w:val="002D0389"/>
    <w:rsid w:val="002D0D8B"/>
    <w:rsid w:val="002D3C26"/>
    <w:rsid w:val="002E2543"/>
    <w:rsid w:val="002E6F3B"/>
    <w:rsid w:val="00321DA8"/>
    <w:rsid w:val="00366908"/>
    <w:rsid w:val="00377958"/>
    <w:rsid w:val="003A46D3"/>
    <w:rsid w:val="003C1D73"/>
    <w:rsid w:val="003D240F"/>
    <w:rsid w:val="003E003D"/>
    <w:rsid w:val="003E0660"/>
    <w:rsid w:val="003E1C76"/>
    <w:rsid w:val="003F76C3"/>
    <w:rsid w:val="00403C69"/>
    <w:rsid w:val="00410486"/>
    <w:rsid w:val="00411A60"/>
    <w:rsid w:val="004133DE"/>
    <w:rsid w:val="004244F8"/>
    <w:rsid w:val="004362EC"/>
    <w:rsid w:val="004438B6"/>
    <w:rsid w:val="00460828"/>
    <w:rsid w:val="00460FB7"/>
    <w:rsid w:val="004909C7"/>
    <w:rsid w:val="00490C26"/>
    <w:rsid w:val="004B6935"/>
    <w:rsid w:val="004C7AF3"/>
    <w:rsid w:val="004D406E"/>
    <w:rsid w:val="004E16BC"/>
    <w:rsid w:val="004E2FE0"/>
    <w:rsid w:val="004E5410"/>
    <w:rsid w:val="00543D98"/>
    <w:rsid w:val="00553ABF"/>
    <w:rsid w:val="00582F51"/>
    <w:rsid w:val="00596465"/>
    <w:rsid w:val="005A4236"/>
    <w:rsid w:val="005A725B"/>
    <w:rsid w:val="005B7088"/>
    <w:rsid w:val="005C2F4C"/>
    <w:rsid w:val="005D130D"/>
    <w:rsid w:val="005D5FB8"/>
    <w:rsid w:val="005E1C38"/>
    <w:rsid w:val="005F08E7"/>
    <w:rsid w:val="005F25FC"/>
    <w:rsid w:val="00602038"/>
    <w:rsid w:val="0063146A"/>
    <w:rsid w:val="00637F41"/>
    <w:rsid w:val="006437EB"/>
    <w:rsid w:val="00653DE1"/>
    <w:rsid w:val="00654BFA"/>
    <w:rsid w:val="00663195"/>
    <w:rsid w:val="006655BC"/>
    <w:rsid w:val="006800CE"/>
    <w:rsid w:val="00692206"/>
    <w:rsid w:val="00693E6C"/>
    <w:rsid w:val="006A0657"/>
    <w:rsid w:val="006B41BB"/>
    <w:rsid w:val="006C6714"/>
    <w:rsid w:val="006E38B9"/>
    <w:rsid w:val="00714E18"/>
    <w:rsid w:val="00724429"/>
    <w:rsid w:val="00734DB1"/>
    <w:rsid w:val="00750540"/>
    <w:rsid w:val="007651D0"/>
    <w:rsid w:val="00765CE2"/>
    <w:rsid w:val="007808F4"/>
    <w:rsid w:val="007848F1"/>
    <w:rsid w:val="00797850"/>
    <w:rsid w:val="007B3972"/>
    <w:rsid w:val="007C2370"/>
    <w:rsid w:val="007C44B3"/>
    <w:rsid w:val="007F25D7"/>
    <w:rsid w:val="007F44FA"/>
    <w:rsid w:val="007F5758"/>
    <w:rsid w:val="007F7FB2"/>
    <w:rsid w:val="00853D97"/>
    <w:rsid w:val="00865F74"/>
    <w:rsid w:val="0088239A"/>
    <w:rsid w:val="008A1990"/>
    <w:rsid w:val="008B50F1"/>
    <w:rsid w:val="008C6D7E"/>
    <w:rsid w:val="008D3D17"/>
    <w:rsid w:val="008E603E"/>
    <w:rsid w:val="008F7C2B"/>
    <w:rsid w:val="0090534C"/>
    <w:rsid w:val="00924EAE"/>
    <w:rsid w:val="00925219"/>
    <w:rsid w:val="00932414"/>
    <w:rsid w:val="00936806"/>
    <w:rsid w:val="00963ABD"/>
    <w:rsid w:val="009809C7"/>
    <w:rsid w:val="009C65A4"/>
    <w:rsid w:val="009D1070"/>
    <w:rsid w:val="009F1D42"/>
    <w:rsid w:val="009F4F69"/>
    <w:rsid w:val="00A02675"/>
    <w:rsid w:val="00A12E4C"/>
    <w:rsid w:val="00A26BB4"/>
    <w:rsid w:val="00A27161"/>
    <w:rsid w:val="00A33E02"/>
    <w:rsid w:val="00A47DAE"/>
    <w:rsid w:val="00A63DC6"/>
    <w:rsid w:val="00A64AD8"/>
    <w:rsid w:val="00A64E61"/>
    <w:rsid w:val="00A742C3"/>
    <w:rsid w:val="00A77A16"/>
    <w:rsid w:val="00AB7366"/>
    <w:rsid w:val="00AD6337"/>
    <w:rsid w:val="00AE0474"/>
    <w:rsid w:val="00AE5DE4"/>
    <w:rsid w:val="00B002C0"/>
    <w:rsid w:val="00B31474"/>
    <w:rsid w:val="00B50585"/>
    <w:rsid w:val="00B535AB"/>
    <w:rsid w:val="00B8317F"/>
    <w:rsid w:val="00B87401"/>
    <w:rsid w:val="00B90BC5"/>
    <w:rsid w:val="00B96B24"/>
    <w:rsid w:val="00BA24A5"/>
    <w:rsid w:val="00BC3265"/>
    <w:rsid w:val="00BC64B7"/>
    <w:rsid w:val="00BD0A04"/>
    <w:rsid w:val="00BE4353"/>
    <w:rsid w:val="00BF5491"/>
    <w:rsid w:val="00C03BF6"/>
    <w:rsid w:val="00C06386"/>
    <w:rsid w:val="00C25565"/>
    <w:rsid w:val="00C31757"/>
    <w:rsid w:val="00C3425D"/>
    <w:rsid w:val="00C363BE"/>
    <w:rsid w:val="00C3691C"/>
    <w:rsid w:val="00C42DB2"/>
    <w:rsid w:val="00C45B63"/>
    <w:rsid w:val="00C557B3"/>
    <w:rsid w:val="00C55D8F"/>
    <w:rsid w:val="00CA6F0F"/>
    <w:rsid w:val="00CB75C1"/>
    <w:rsid w:val="00CD093A"/>
    <w:rsid w:val="00CE70EE"/>
    <w:rsid w:val="00CE7102"/>
    <w:rsid w:val="00CF15C4"/>
    <w:rsid w:val="00D13709"/>
    <w:rsid w:val="00D567D3"/>
    <w:rsid w:val="00D645FC"/>
    <w:rsid w:val="00D80310"/>
    <w:rsid w:val="00D8542C"/>
    <w:rsid w:val="00D87DEE"/>
    <w:rsid w:val="00D96C4D"/>
    <w:rsid w:val="00DA422B"/>
    <w:rsid w:val="00DC4A55"/>
    <w:rsid w:val="00DC7C47"/>
    <w:rsid w:val="00DF0BF7"/>
    <w:rsid w:val="00E342C8"/>
    <w:rsid w:val="00E412FE"/>
    <w:rsid w:val="00E4160F"/>
    <w:rsid w:val="00E60D87"/>
    <w:rsid w:val="00E6328D"/>
    <w:rsid w:val="00E72C4C"/>
    <w:rsid w:val="00E8311F"/>
    <w:rsid w:val="00EA58D9"/>
    <w:rsid w:val="00EC76DD"/>
    <w:rsid w:val="00ED14EB"/>
    <w:rsid w:val="00ED6661"/>
    <w:rsid w:val="00EE3058"/>
    <w:rsid w:val="00F40F1B"/>
    <w:rsid w:val="00F433B8"/>
    <w:rsid w:val="00F43B95"/>
    <w:rsid w:val="00F43BCB"/>
    <w:rsid w:val="00F46AFD"/>
    <w:rsid w:val="00F62ED1"/>
    <w:rsid w:val="00F71F61"/>
    <w:rsid w:val="00FA4A4F"/>
    <w:rsid w:val="00FC433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433378B"/>
  <w15:docId w15:val="{2D1FCD9B-3437-4BFA-9B31-1261E69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BodyTextIndent2">
    <w:name w:val="Body Text Indent 2"/>
    <w:basedOn w:val="Normal"/>
    <w:link w:val="BodyTextIndent2Char"/>
    <w:semiHidden/>
    <w:unhideWhenUsed/>
    <w:rsid w:val="008C6D7E"/>
    <w:pPr>
      <w:spacing w:after="120" w:line="480" w:lineRule="auto"/>
      <w:ind w:left="283"/>
    </w:pPr>
  </w:style>
  <w:style w:type="character" w:customStyle="1" w:styleId="BodyTextIndent2Char">
    <w:name w:val="Body Text Indent 2 Char"/>
    <w:basedOn w:val="DefaultParagraphFont"/>
    <w:link w:val="BodyTextIndent2"/>
    <w:semiHidden/>
    <w:rsid w:val="008C6D7E"/>
    <w:rPr>
      <w:lang w:val="fr-CH" w:eastAsia="en-US"/>
    </w:rPr>
  </w:style>
  <w:style w:type="paragraph" w:customStyle="1" w:styleId="Default">
    <w:name w:val="Default"/>
    <w:rsid w:val="00AE5DE4"/>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8911">
      <w:bodyDiv w:val="1"/>
      <w:marLeft w:val="0"/>
      <w:marRight w:val="0"/>
      <w:marTop w:val="0"/>
      <w:marBottom w:val="0"/>
      <w:divBdr>
        <w:top w:val="none" w:sz="0" w:space="0" w:color="auto"/>
        <w:left w:val="none" w:sz="0" w:space="0" w:color="auto"/>
        <w:bottom w:val="none" w:sz="0" w:space="0" w:color="auto"/>
        <w:right w:val="none" w:sz="0" w:space="0" w:color="auto"/>
      </w:divBdr>
    </w:div>
    <w:div w:id="487480775">
      <w:bodyDiv w:val="1"/>
      <w:marLeft w:val="0"/>
      <w:marRight w:val="0"/>
      <w:marTop w:val="0"/>
      <w:marBottom w:val="0"/>
      <w:divBdr>
        <w:top w:val="none" w:sz="0" w:space="0" w:color="auto"/>
        <w:left w:val="none" w:sz="0" w:space="0" w:color="auto"/>
        <w:bottom w:val="none" w:sz="0" w:space="0" w:color="auto"/>
        <w:right w:val="none" w:sz="0" w:space="0" w:color="auto"/>
      </w:divBdr>
    </w:div>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234436879">
      <w:bodyDiv w:val="1"/>
      <w:marLeft w:val="0"/>
      <w:marRight w:val="0"/>
      <w:marTop w:val="0"/>
      <w:marBottom w:val="0"/>
      <w:divBdr>
        <w:top w:val="none" w:sz="0" w:space="0" w:color="auto"/>
        <w:left w:val="none" w:sz="0" w:space="0" w:color="auto"/>
        <w:bottom w:val="none" w:sz="0" w:space="0" w:color="auto"/>
        <w:right w:val="none" w:sz="0" w:space="0" w:color="auto"/>
      </w:divBdr>
    </w:div>
    <w:div w:id="1620527730">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A060-4EBA-4704-9D70-E37979BE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742</Words>
  <Characters>4050</Characters>
  <Application>Microsoft Office Word</Application>
  <DocSecurity>0</DocSecurity>
  <Lines>88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9</cp:revision>
  <cp:lastPrinted>2019-09-13T12:00:00Z</cp:lastPrinted>
  <dcterms:created xsi:type="dcterms:W3CDTF">2019-09-07T19:27:00Z</dcterms:created>
  <dcterms:modified xsi:type="dcterms:W3CDTF">2019-09-13T12:00:00Z</dcterms:modified>
</cp:coreProperties>
</file>