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EB6A061" w14:textId="77777777" w:rsidTr="006476E1">
        <w:trPr>
          <w:trHeight w:val="851"/>
        </w:trPr>
        <w:tc>
          <w:tcPr>
            <w:tcW w:w="1259" w:type="dxa"/>
            <w:tcBorders>
              <w:top w:val="nil"/>
              <w:left w:val="nil"/>
              <w:bottom w:val="single" w:sz="4" w:space="0" w:color="auto"/>
              <w:right w:val="nil"/>
            </w:tcBorders>
          </w:tcPr>
          <w:p w14:paraId="3A620EDA" w14:textId="77777777"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14:paraId="5EE0836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61F02AD" w14:textId="77777777" w:rsidR="00E52109" w:rsidRDefault="005546EA" w:rsidP="005546EA">
            <w:pPr>
              <w:suppressAutoHyphens w:val="0"/>
              <w:spacing w:after="20"/>
              <w:jc w:val="right"/>
            </w:pPr>
            <w:r w:rsidRPr="005546EA">
              <w:rPr>
                <w:sz w:val="40"/>
              </w:rPr>
              <w:t>ST</w:t>
            </w:r>
            <w:r>
              <w:t>/SG/AC.10/C.3/2019/56</w:t>
            </w:r>
          </w:p>
        </w:tc>
      </w:tr>
      <w:tr w:rsidR="00E52109" w14:paraId="2F85C651" w14:textId="77777777" w:rsidTr="006476E1">
        <w:trPr>
          <w:trHeight w:val="2835"/>
        </w:trPr>
        <w:tc>
          <w:tcPr>
            <w:tcW w:w="1259" w:type="dxa"/>
            <w:tcBorders>
              <w:top w:val="single" w:sz="4" w:space="0" w:color="auto"/>
              <w:left w:val="nil"/>
              <w:bottom w:val="single" w:sz="12" w:space="0" w:color="auto"/>
              <w:right w:val="nil"/>
            </w:tcBorders>
          </w:tcPr>
          <w:p w14:paraId="4F339AE7" w14:textId="77777777" w:rsidR="00E52109" w:rsidRDefault="00E52109" w:rsidP="006476E1">
            <w:pPr>
              <w:spacing w:before="120"/>
              <w:jc w:val="center"/>
            </w:pPr>
            <w:r>
              <w:rPr>
                <w:noProof/>
                <w:lang w:val="fr-CH" w:eastAsia="fr-CH"/>
              </w:rPr>
              <w:drawing>
                <wp:inline distT="0" distB="0" distL="0" distR="0" wp14:anchorId="293EADC5" wp14:editId="649D301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9CA7ED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86FC4CF" w14:textId="77777777" w:rsidR="00D94B05" w:rsidRDefault="005546EA" w:rsidP="005546EA">
            <w:pPr>
              <w:suppressAutoHyphens w:val="0"/>
              <w:spacing w:before="240"/>
            </w:pPr>
            <w:r>
              <w:t>Distr.: General</w:t>
            </w:r>
          </w:p>
          <w:p w14:paraId="32DE0B79" w14:textId="77777777" w:rsidR="005546EA" w:rsidRDefault="005546EA" w:rsidP="005546EA">
            <w:pPr>
              <w:suppressAutoHyphens w:val="0"/>
            </w:pPr>
            <w:r>
              <w:t>13 September 2019</w:t>
            </w:r>
          </w:p>
          <w:p w14:paraId="0B6AE55F" w14:textId="77777777" w:rsidR="005546EA" w:rsidRDefault="005546EA" w:rsidP="005546EA">
            <w:pPr>
              <w:suppressAutoHyphens w:val="0"/>
            </w:pPr>
            <w:r>
              <w:t>English</w:t>
            </w:r>
          </w:p>
          <w:p w14:paraId="1EEE1AC5" w14:textId="77777777" w:rsidR="005546EA" w:rsidRDefault="005546EA" w:rsidP="005546EA">
            <w:pPr>
              <w:suppressAutoHyphens w:val="0"/>
            </w:pPr>
            <w:r>
              <w:t>Original: French</w:t>
            </w:r>
          </w:p>
        </w:tc>
      </w:tr>
    </w:tbl>
    <w:p w14:paraId="3A15E798" w14:textId="77777777" w:rsidR="00A00BEC" w:rsidRPr="00F8226F" w:rsidRDefault="00A00BEC" w:rsidP="00A00BEC">
      <w:pPr>
        <w:spacing w:before="120"/>
        <w:rPr>
          <w:b/>
          <w:bCs/>
          <w:sz w:val="24"/>
          <w:szCs w:val="24"/>
        </w:rPr>
      </w:pPr>
      <w:r w:rsidRPr="00F8226F">
        <w:rPr>
          <w:b/>
          <w:bCs/>
          <w:sz w:val="24"/>
          <w:szCs w:val="24"/>
        </w:rPr>
        <w:t xml:space="preserve">Committee of Experts on the Transport of Dangerous Goods </w:t>
      </w:r>
      <w:r w:rsidRPr="00F8226F">
        <w:rPr>
          <w:b/>
          <w:bCs/>
          <w:sz w:val="24"/>
          <w:szCs w:val="24"/>
        </w:rPr>
        <w:br/>
        <w:t xml:space="preserve">and on the Globally Harmonized System of Classification </w:t>
      </w:r>
      <w:r w:rsidRPr="00F8226F">
        <w:rPr>
          <w:b/>
          <w:bCs/>
          <w:sz w:val="24"/>
          <w:szCs w:val="24"/>
        </w:rPr>
        <w:br/>
        <w:t>and Labelling of Chemicals</w:t>
      </w:r>
    </w:p>
    <w:p w14:paraId="756287B6" w14:textId="77777777" w:rsidR="00A00BEC" w:rsidRPr="00F8226F" w:rsidRDefault="00A00BEC" w:rsidP="00A00BEC">
      <w:pPr>
        <w:spacing w:before="120"/>
        <w:rPr>
          <w:b/>
          <w:bCs/>
        </w:rPr>
      </w:pPr>
      <w:r w:rsidRPr="00F8226F">
        <w:rPr>
          <w:b/>
          <w:bCs/>
        </w:rPr>
        <w:t>Sub-Committee of Experts on the Transport of Dangerous Goods</w:t>
      </w:r>
    </w:p>
    <w:p w14:paraId="5FFD349F" w14:textId="77777777" w:rsidR="00A00BEC" w:rsidRPr="00F8226F" w:rsidRDefault="00A00BEC" w:rsidP="00A00BEC">
      <w:pPr>
        <w:spacing w:before="120"/>
        <w:rPr>
          <w:b/>
          <w:bCs/>
        </w:rPr>
      </w:pPr>
      <w:r w:rsidRPr="00F8226F">
        <w:rPr>
          <w:b/>
          <w:bCs/>
        </w:rPr>
        <w:t>Fifty-sixth session</w:t>
      </w:r>
    </w:p>
    <w:p w14:paraId="0FD899FF" w14:textId="77777777" w:rsidR="00A00BEC" w:rsidRPr="0092054A" w:rsidRDefault="00A00BEC" w:rsidP="00A00BEC">
      <w:r w:rsidRPr="0092054A">
        <w:t>Geneva, 2–11 December 2019</w:t>
      </w:r>
    </w:p>
    <w:p w14:paraId="03988423" w14:textId="77777777" w:rsidR="00A00BEC" w:rsidRPr="0092054A" w:rsidRDefault="00A00BEC" w:rsidP="00A00BEC">
      <w:r w:rsidRPr="0092054A">
        <w:t>Item 3 of the provisional agenda</w:t>
      </w:r>
    </w:p>
    <w:p w14:paraId="0D11E48C" w14:textId="77777777" w:rsidR="00A00BEC" w:rsidRPr="00F8226F" w:rsidRDefault="00A00BEC" w:rsidP="00A00BEC">
      <w:pPr>
        <w:rPr>
          <w:b/>
          <w:bCs/>
        </w:rPr>
      </w:pPr>
      <w:r w:rsidRPr="00F8226F">
        <w:rPr>
          <w:b/>
          <w:bCs/>
        </w:rPr>
        <w:t>Listing, classification and packing</w:t>
      </w:r>
    </w:p>
    <w:p w14:paraId="02797A52" w14:textId="77777777" w:rsidR="00A00BEC" w:rsidRPr="0092054A" w:rsidRDefault="00A00BEC" w:rsidP="00A00BEC">
      <w:pPr>
        <w:pStyle w:val="HChG"/>
      </w:pPr>
      <w:r w:rsidRPr="0092054A">
        <w:tab/>
      </w:r>
      <w:r w:rsidRPr="0092054A">
        <w:tab/>
        <w:t>Scope of 4.1.2.2</w:t>
      </w:r>
    </w:p>
    <w:p w14:paraId="09565CC1" w14:textId="77777777" w:rsidR="00A00BEC" w:rsidRDefault="00A00BEC" w:rsidP="00A00BEC">
      <w:pPr>
        <w:pStyle w:val="H1G"/>
      </w:pPr>
      <w:r w:rsidRPr="0092054A">
        <w:tab/>
      </w:r>
      <w:r w:rsidRPr="0092054A">
        <w:tab/>
        <w:t>Transmitted by the expert from Switzerlan</w:t>
      </w:r>
      <w:r>
        <w:t>d</w:t>
      </w:r>
      <w:r w:rsidRPr="00585042">
        <w:rPr>
          <w:rStyle w:val="FootnoteReference"/>
          <w:b w:val="0"/>
          <w:bCs/>
          <w:sz w:val="20"/>
          <w:vertAlign w:val="baseline"/>
        </w:rPr>
        <w:footnoteReference w:customMarkFollows="1" w:id="2"/>
        <w:t>*</w:t>
      </w:r>
    </w:p>
    <w:tbl>
      <w:tblPr>
        <w:tblStyle w:val="TableGrid"/>
        <w:tblW w:w="0" w:type="auto"/>
        <w:jc w:val="center"/>
        <w:tblLook w:val="01E0" w:firstRow="1" w:lastRow="1" w:firstColumn="1" w:lastColumn="1" w:noHBand="0" w:noVBand="0"/>
      </w:tblPr>
      <w:tblGrid>
        <w:gridCol w:w="9629"/>
      </w:tblGrid>
      <w:tr w:rsidR="00A00BEC" w14:paraId="645C8893" w14:textId="77777777" w:rsidTr="007E6004">
        <w:trPr>
          <w:jc w:val="center"/>
        </w:trPr>
        <w:tc>
          <w:tcPr>
            <w:tcW w:w="9637" w:type="dxa"/>
            <w:tcBorders>
              <w:bottom w:val="nil"/>
            </w:tcBorders>
          </w:tcPr>
          <w:p w14:paraId="51311E19" w14:textId="77777777" w:rsidR="00A00BEC" w:rsidRPr="00CD0A92" w:rsidRDefault="00A00BEC" w:rsidP="007E6004">
            <w:pPr>
              <w:tabs>
                <w:tab w:val="left" w:pos="255"/>
              </w:tabs>
              <w:suppressAutoHyphens w:val="0"/>
              <w:spacing w:before="240" w:after="120"/>
              <w:rPr>
                <w:sz w:val="24"/>
              </w:rPr>
            </w:pPr>
            <w:r>
              <w:tab/>
            </w:r>
            <w:r>
              <w:rPr>
                <w:i/>
                <w:sz w:val="24"/>
              </w:rPr>
              <w:t>Summary</w:t>
            </w:r>
          </w:p>
        </w:tc>
      </w:tr>
      <w:tr w:rsidR="00A00BEC" w14:paraId="3DEDEAE1" w14:textId="77777777" w:rsidTr="007E6004">
        <w:trPr>
          <w:jc w:val="center"/>
        </w:trPr>
        <w:tc>
          <w:tcPr>
            <w:tcW w:w="9637" w:type="dxa"/>
            <w:tcBorders>
              <w:top w:val="nil"/>
              <w:bottom w:val="nil"/>
            </w:tcBorders>
            <w:shd w:val="clear" w:color="auto" w:fill="auto"/>
          </w:tcPr>
          <w:p w14:paraId="4CF068B6" w14:textId="77777777" w:rsidR="00A00BEC" w:rsidRPr="001819AF" w:rsidRDefault="00A00BEC" w:rsidP="007E6004">
            <w:pPr>
              <w:pStyle w:val="SingleTxtG"/>
              <w:spacing w:after="60"/>
              <w:ind w:left="2552" w:hanging="2268"/>
              <w:rPr>
                <w:bCs/>
              </w:rPr>
            </w:pPr>
            <w:r>
              <w:rPr>
                <w:b/>
                <w:szCs w:val="22"/>
              </w:rPr>
              <w:t>Executive s</w:t>
            </w:r>
            <w:r w:rsidRPr="004F0D24">
              <w:rPr>
                <w:b/>
                <w:szCs w:val="22"/>
              </w:rPr>
              <w:t>ummary</w:t>
            </w:r>
            <w:r>
              <w:rPr>
                <w:szCs w:val="22"/>
              </w:rPr>
              <w:t>:</w:t>
            </w:r>
            <w:r>
              <w:rPr>
                <w:szCs w:val="22"/>
              </w:rPr>
              <w:tab/>
            </w:r>
            <w:r w:rsidRPr="0092054A">
              <w:t>Clarify the scope of 4.1.2.2 for non-metal intermediate bulk containers (IBCs) to enable their carriage for the disposal or recycling of the dangerous goods they contain.</w:t>
            </w:r>
          </w:p>
        </w:tc>
      </w:tr>
      <w:tr w:rsidR="00A00BEC" w14:paraId="3F64AEF9" w14:textId="77777777" w:rsidTr="007E6004">
        <w:trPr>
          <w:jc w:val="center"/>
        </w:trPr>
        <w:tc>
          <w:tcPr>
            <w:tcW w:w="9637" w:type="dxa"/>
            <w:tcBorders>
              <w:top w:val="nil"/>
              <w:bottom w:val="nil"/>
            </w:tcBorders>
            <w:shd w:val="clear" w:color="auto" w:fill="auto"/>
          </w:tcPr>
          <w:p w14:paraId="6B588EA1" w14:textId="77777777" w:rsidR="00A00BEC" w:rsidRPr="00084034" w:rsidRDefault="00A00BEC" w:rsidP="007E6004">
            <w:pPr>
              <w:pStyle w:val="SingleTxtG"/>
              <w:ind w:left="2552" w:hanging="2268"/>
              <w:rPr>
                <w:color w:val="6699FF"/>
                <w:szCs w:val="22"/>
              </w:rPr>
            </w:pPr>
            <w:r w:rsidRPr="004F0D24">
              <w:rPr>
                <w:b/>
                <w:szCs w:val="22"/>
              </w:rPr>
              <w:t>Action to be taken</w:t>
            </w:r>
            <w:r>
              <w:rPr>
                <w:szCs w:val="22"/>
              </w:rPr>
              <w:t>:</w:t>
            </w:r>
            <w:r>
              <w:rPr>
                <w:szCs w:val="22"/>
              </w:rPr>
              <w:tab/>
            </w:r>
            <w:r w:rsidRPr="0092054A">
              <w:t>Amend the text of 4.1.2.2.</w:t>
            </w:r>
          </w:p>
        </w:tc>
      </w:tr>
      <w:tr w:rsidR="00A00BEC" w14:paraId="5B83101B" w14:textId="77777777" w:rsidTr="007E6004">
        <w:trPr>
          <w:jc w:val="center"/>
        </w:trPr>
        <w:tc>
          <w:tcPr>
            <w:tcW w:w="9637" w:type="dxa"/>
            <w:tcBorders>
              <w:top w:val="nil"/>
              <w:bottom w:val="nil"/>
            </w:tcBorders>
            <w:shd w:val="clear" w:color="auto" w:fill="auto"/>
          </w:tcPr>
          <w:p w14:paraId="1499634C" w14:textId="77777777" w:rsidR="00A00BEC" w:rsidRPr="00084034" w:rsidRDefault="00A00BEC" w:rsidP="007E6004">
            <w:pPr>
              <w:pStyle w:val="SingleTxtG"/>
              <w:ind w:left="2552" w:hanging="2268"/>
              <w:rPr>
                <w:color w:val="6699FF"/>
                <w:szCs w:val="22"/>
              </w:rPr>
            </w:pPr>
            <w:r>
              <w:rPr>
                <w:b/>
                <w:szCs w:val="22"/>
              </w:rPr>
              <w:t>Related documents</w:t>
            </w:r>
            <w:r>
              <w:rPr>
                <w:szCs w:val="22"/>
              </w:rPr>
              <w:t>:</w:t>
            </w:r>
            <w:r>
              <w:rPr>
                <w:szCs w:val="22"/>
              </w:rPr>
              <w:tab/>
            </w:r>
            <w:r w:rsidRPr="0092054A">
              <w:t>ST/SG/AC.10/C.3/2019/27, ST/SG/AC.10/C.3/110</w:t>
            </w:r>
          </w:p>
        </w:tc>
      </w:tr>
      <w:tr w:rsidR="00A00BEC" w14:paraId="02F80533" w14:textId="77777777" w:rsidTr="007E6004">
        <w:trPr>
          <w:jc w:val="center"/>
        </w:trPr>
        <w:tc>
          <w:tcPr>
            <w:tcW w:w="9637" w:type="dxa"/>
            <w:tcBorders>
              <w:top w:val="nil"/>
            </w:tcBorders>
          </w:tcPr>
          <w:p w14:paraId="4E0DD02C" w14:textId="77777777" w:rsidR="00A00BEC" w:rsidRDefault="00A00BEC" w:rsidP="007E6004">
            <w:pPr>
              <w:suppressAutoHyphens w:val="0"/>
            </w:pPr>
          </w:p>
        </w:tc>
      </w:tr>
    </w:tbl>
    <w:p w14:paraId="7FEC2780" w14:textId="77777777" w:rsidR="00A00BEC" w:rsidRPr="0092054A" w:rsidRDefault="00A00BEC" w:rsidP="00A00BEC">
      <w:pPr>
        <w:pStyle w:val="HChG"/>
      </w:pPr>
      <w:r w:rsidRPr="0092054A">
        <w:tab/>
      </w:r>
      <w:r w:rsidRPr="0092054A">
        <w:tab/>
        <w:t>Introduction</w:t>
      </w:r>
    </w:p>
    <w:p w14:paraId="21B45FA0" w14:textId="77777777" w:rsidR="00A00BEC" w:rsidRPr="0092054A" w:rsidRDefault="00A00BEC" w:rsidP="00A00BEC">
      <w:pPr>
        <w:pStyle w:val="SingleTxtG"/>
      </w:pPr>
      <w:r w:rsidRPr="0092054A">
        <w:t>1.</w:t>
      </w:r>
      <w:r w:rsidRPr="0092054A">
        <w:tab/>
        <w:t>At the July 2019 session, document ST/SG/AC.10/C.3/2019/27 raised the issue of the transport of rigid plastics IBCs after the date of expiry of the last periodic test or inspection specified in 4.1.2.2. The reasons for raising this issue are given in the document cited.</w:t>
      </w:r>
    </w:p>
    <w:p w14:paraId="1FC54CED" w14:textId="77777777" w:rsidR="00A00BEC" w:rsidRPr="0092054A" w:rsidRDefault="00A00BEC" w:rsidP="00A00BEC">
      <w:pPr>
        <w:pStyle w:val="SingleTxtG"/>
      </w:pPr>
      <w:r w:rsidRPr="0092054A">
        <w:t>2.</w:t>
      </w:r>
      <w:r w:rsidRPr="0092054A">
        <w:tab/>
        <w:t xml:space="preserve">According to the report of the meeting, the Sub-Committee could not find a consensus on the proposal. While some delegations considered that the current provisions were clear and fit for purpose, others acknowledged that the text could be improved to address the issue raised by Switzerland and proposed some improvements (e.g. restructuring the text to make the new text only applicable to IBCs for disposal, including non-metallic IBCs). </w:t>
      </w:r>
    </w:p>
    <w:p w14:paraId="6F24E4BB" w14:textId="77777777" w:rsidR="00A00BEC" w:rsidRPr="0092054A" w:rsidRDefault="00A00BEC" w:rsidP="00A00BEC">
      <w:pPr>
        <w:pStyle w:val="SingleTxtG"/>
      </w:pPr>
      <w:r w:rsidRPr="0092054A">
        <w:lastRenderedPageBreak/>
        <w:t>3.</w:t>
      </w:r>
      <w:r w:rsidRPr="0092054A">
        <w:tab/>
        <w:t xml:space="preserve">In the proposal presented below, we have separated the case of metal IBCs from that of non-metallic IBCs. We are adding a new heading to 4.1.2.2. We maintain the current text for metal IBCs in paragraph 4.1.2.2.1 and add a paragraph 4.1.2.2.2 for rigid plastics IBC or composite IBCs that is almost identical to the current text in 4.1.2.2 but in which the references to inspections and tests, which are currently in the plural, are replaced by a reference to the two and a half year inspection, which is the only inspection to which these IBCs are subject during their period of validity. </w:t>
      </w:r>
    </w:p>
    <w:p w14:paraId="7567C275" w14:textId="77777777" w:rsidR="00A00BEC" w:rsidRPr="0092054A" w:rsidRDefault="00A00BEC" w:rsidP="00A00BEC">
      <w:pPr>
        <w:pStyle w:val="HChG"/>
      </w:pPr>
      <w:r w:rsidRPr="0092054A">
        <w:tab/>
      </w:r>
      <w:r w:rsidRPr="0092054A">
        <w:tab/>
        <w:t>Proposal</w:t>
      </w:r>
    </w:p>
    <w:p w14:paraId="289BEB55" w14:textId="77777777" w:rsidR="00A00BEC" w:rsidRPr="0092054A" w:rsidRDefault="00A00BEC" w:rsidP="00A00BEC">
      <w:pPr>
        <w:pStyle w:val="SingleTxtG"/>
      </w:pPr>
      <w:r w:rsidRPr="0092054A">
        <w:t>4.</w:t>
      </w:r>
      <w:r w:rsidRPr="0092054A">
        <w:tab/>
        <w:t>Amend 4.1.2.2 as follows (added text underlined in bold, deleted text in strikethrough):</w:t>
      </w:r>
    </w:p>
    <w:p w14:paraId="009FD3DB" w14:textId="77777777" w:rsidR="00A00BEC" w:rsidRPr="0092054A" w:rsidRDefault="00A00BEC" w:rsidP="00A00BEC">
      <w:pPr>
        <w:pStyle w:val="SingleTxtG"/>
        <w:ind w:left="1701"/>
      </w:pPr>
      <w:r w:rsidRPr="0092054A">
        <w:t xml:space="preserve">Add a new heading to read “4.1.2.2 Filling of IBCs after the date of expiry of the last periodic inspection and test and the period of use”. </w:t>
      </w:r>
    </w:p>
    <w:p w14:paraId="0E8F1FF9" w14:textId="77777777" w:rsidR="00A00BEC" w:rsidRPr="0092054A" w:rsidRDefault="00A00BEC" w:rsidP="00A00BEC">
      <w:pPr>
        <w:pStyle w:val="SingleTxtG"/>
        <w:ind w:left="1701"/>
      </w:pPr>
      <w:r w:rsidRPr="0092054A">
        <w:t>Delete the words “</w:t>
      </w:r>
      <w:r w:rsidRPr="00D6081D">
        <w:rPr>
          <w:strike/>
        </w:rPr>
        <w:t>, rigid plastics IBC or composite IBC,</w:t>
      </w:r>
      <w:r w:rsidRPr="0092054A">
        <w:t xml:space="preserve">” in the first sentence of the current 4.1.2.2 and renumber the current 4.1.2.2 as 4.1.2.2.1 as follows: </w:t>
      </w:r>
    </w:p>
    <w:p w14:paraId="23CA5BC4" w14:textId="77777777" w:rsidR="00A00BEC" w:rsidRPr="0092054A" w:rsidRDefault="00A00BEC" w:rsidP="00A00BEC">
      <w:pPr>
        <w:pStyle w:val="SingleTxtG"/>
        <w:ind w:left="1701"/>
      </w:pPr>
      <w:r w:rsidRPr="0092054A">
        <w:t>“4.1.2.2</w:t>
      </w:r>
      <w:r w:rsidRPr="00280FD0">
        <w:rPr>
          <w:b/>
          <w:bCs/>
          <w:u w:val="single"/>
        </w:rPr>
        <w:t>.1</w:t>
      </w:r>
      <w:r w:rsidRPr="0092054A">
        <w:t xml:space="preserve"> Every metal</w:t>
      </w:r>
      <w:r w:rsidRPr="00280FD0">
        <w:rPr>
          <w:strike/>
        </w:rPr>
        <w:t xml:space="preserve">, rigid plastics and composite </w:t>
      </w:r>
      <w:r w:rsidRPr="0092054A">
        <w:t>IBC</w:t>
      </w:r>
      <w:r w:rsidRPr="00280FD0">
        <w:rPr>
          <w:strike/>
        </w:rPr>
        <w:t>,</w:t>
      </w:r>
      <w:r w:rsidRPr="0092054A">
        <w:t xml:space="preserve"> shall be inspected and tested, as relevant, in accordance with 6.5.4.4 or 6.5.4.5: ... [remains unchanged].” </w:t>
      </w:r>
    </w:p>
    <w:p w14:paraId="252F380C" w14:textId="77777777" w:rsidR="00A00BEC" w:rsidRPr="0092054A" w:rsidRDefault="00A00BEC" w:rsidP="00A00BEC">
      <w:pPr>
        <w:pStyle w:val="SingleTxtG"/>
        <w:ind w:left="1701"/>
      </w:pPr>
      <w:r w:rsidRPr="0092054A">
        <w:t>Insert a new paragraph 4.1.2.2.2 as follows:</w:t>
      </w:r>
    </w:p>
    <w:p w14:paraId="1F85EB48" w14:textId="77777777" w:rsidR="00A00BEC" w:rsidRPr="00155165" w:rsidRDefault="00A00BEC" w:rsidP="00A00BEC">
      <w:pPr>
        <w:pStyle w:val="SingleTxtG"/>
        <w:ind w:left="1701"/>
        <w:rPr>
          <w:b/>
          <w:bCs/>
          <w:u w:val="single"/>
        </w:rPr>
      </w:pPr>
      <w:r w:rsidRPr="00205AB4">
        <w:t>“</w:t>
      </w:r>
      <w:r w:rsidRPr="00155165">
        <w:rPr>
          <w:b/>
          <w:bCs/>
          <w:u w:val="single"/>
        </w:rPr>
        <w:t xml:space="preserve">4.1.2.2.2 Every rigid plastics IBC or composite IBC shall be inspected and tested, as relevant, in accordance with 6.5.4.4 or 6.5.4.5: </w:t>
      </w:r>
    </w:p>
    <w:p w14:paraId="6F9FECDA" w14:textId="77777777" w:rsidR="00A00BEC" w:rsidRPr="00155165" w:rsidRDefault="00A00BEC" w:rsidP="00A00BEC">
      <w:pPr>
        <w:pStyle w:val="SingleTxtG"/>
        <w:ind w:left="1701"/>
        <w:rPr>
          <w:b/>
          <w:bCs/>
          <w:u w:val="single"/>
        </w:rPr>
      </w:pPr>
      <w:r w:rsidRPr="00155165">
        <w:rPr>
          <w:b/>
          <w:bCs/>
          <w:u w:val="single"/>
        </w:rPr>
        <w:t>-</w:t>
      </w:r>
      <w:r w:rsidRPr="00155165">
        <w:rPr>
          <w:b/>
          <w:bCs/>
          <w:u w:val="single"/>
        </w:rPr>
        <w:tab/>
        <w:t xml:space="preserve">before it is put into service; </w:t>
      </w:r>
    </w:p>
    <w:p w14:paraId="654E5886" w14:textId="77777777" w:rsidR="00A00BEC" w:rsidRPr="00155165" w:rsidRDefault="00A00BEC" w:rsidP="00A00BEC">
      <w:pPr>
        <w:pStyle w:val="SingleTxtG"/>
        <w:ind w:left="1701"/>
        <w:rPr>
          <w:b/>
          <w:bCs/>
          <w:u w:val="single"/>
        </w:rPr>
      </w:pPr>
      <w:r w:rsidRPr="00155165">
        <w:rPr>
          <w:b/>
          <w:bCs/>
          <w:u w:val="single"/>
        </w:rPr>
        <w:t>-</w:t>
      </w:r>
      <w:r w:rsidRPr="00155165">
        <w:rPr>
          <w:b/>
          <w:bCs/>
          <w:u w:val="single"/>
        </w:rPr>
        <w:tab/>
        <w:t xml:space="preserve">thereafter at an interval of not more than two and a half years; and </w:t>
      </w:r>
    </w:p>
    <w:p w14:paraId="09A6EF84" w14:textId="77777777" w:rsidR="00A00BEC" w:rsidRPr="00155165" w:rsidRDefault="00A00BEC" w:rsidP="00A00BEC">
      <w:pPr>
        <w:pStyle w:val="SingleTxtG"/>
        <w:ind w:left="1701"/>
        <w:rPr>
          <w:b/>
          <w:bCs/>
          <w:u w:val="single"/>
        </w:rPr>
      </w:pPr>
      <w:r w:rsidRPr="00155165">
        <w:rPr>
          <w:b/>
          <w:bCs/>
          <w:u w:val="single"/>
        </w:rPr>
        <w:t>-</w:t>
      </w:r>
      <w:r w:rsidRPr="00155165">
        <w:rPr>
          <w:b/>
          <w:bCs/>
          <w:u w:val="single"/>
        </w:rPr>
        <w:tab/>
        <w:t xml:space="preserve">after the repair or remanufacture, before it is re-used for carriage. </w:t>
      </w:r>
    </w:p>
    <w:p w14:paraId="643F3E78" w14:textId="77777777" w:rsidR="00A00BEC" w:rsidRPr="00155165" w:rsidRDefault="00A00BEC" w:rsidP="00A00BEC">
      <w:pPr>
        <w:pStyle w:val="SingleTxtG"/>
        <w:ind w:left="1701"/>
        <w:rPr>
          <w:b/>
          <w:bCs/>
          <w:u w:val="single"/>
        </w:rPr>
      </w:pPr>
      <w:r w:rsidRPr="00155165">
        <w:rPr>
          <w:b/>
          <w:bCs/>
          <w:u w:val="single"/>
        </w:rPr>
        <w:t xml:space="preserve">A rigid plastics IBC or composite IBC shall not be filled and offered for carriage after the date of expiry of the last periodic test or inspection or after the date of expiry of the period of use accepted in accordance with 4.1.1.15. However, a rigid plastics IBC or composite IBC filled prior to the date of expiry of the </w:t>
      </w:r>
      <w:proofErr w:type="gramStart"/>
      <w:r w:rsidRPr="00155165">
        <w:rPr>
          <w:b/>
          <w:bCs/>
          <w:u w:val="single"/>
        </w:rPr>
        <w:t>two and a half year</w:t>
      </w:r>
      <w:proofErr w:type="gramEnd"/>
      <w:r w:rsidRPr="00155165">
        <w:rPr>
          <w:b/>
          <w:bCs/>
          <w:u w:val="single"/>
        </w:rPr>
        <w:t xml:space="preserve"> inspection or after the date of expiry of the period of use accepted in accordance with 4.1.1.15 may be carried for a period not to exceed three months beyond the date of expiry of the last periodic inspection. </w:t>
      </w:r>
    </w:p>
    <w:p w14:paraId="694C5F2D" w14:textId="77777777" w:rsidR="00A00BEC" w:rsidRPr="00155165" w:rsidRDefault="00A00BEC" w:rsidP="00A00BEC">
      <w:pPr>
        <w:pStyle w:val="SingleTxtG"/>
        <w:ind w:left="1701"/>
        <w:rPr>
          <w:b/>
          <w:bCs/>
          <w:u w:val="single"/>
        </w:rPr>
      </w:pPr>
      <w:r w:rsidRPr="00155165">
        <w:rPr>
          <w:b/>
          <w:bCs/>
          <w:u w:val="single"/>
        </w:rPr>
        <w:t>In addition, a rigid plastics or composite IBC may be carried:</w:t>
      </w:r>
    </w:p>
    <w:p w14:paraId="31EC3C88" w14:textId="77777777" w:rsidR="00A00BEC" w:rsidRPr="00155165" w:rsidRDefault="00A00BEC" w:rsidP="00A00BEC">
      <w:pPr>
        <w:pStyle w:val="SingleTxtG"/>
        <w:ind w:left="1701"/>
        <w:rPr>
          <w:b/>
          <w:bCs/>
          <w:u w:val="single"/>
        </w:rPr>
      </w:pPr>
      <w:r w:rsidRPr="00155165">
        <w:rPr>
          <w:b/>
          <w:bCs/>
          <w:u w:val="single"/>
        </w:rPr>
        <w:t>-</w:t>
      </w:r>
      <w:r w:rsidRPr="00155165">
        <w:rPr>
          <w:b/>
          <w:bCs/>
          <w:u w:val="single"/>
        </w:rPr>
        <w:tab/>
        <w:t xml:space="preserve">after the date of expiry of the </w:t>
      </w:r>
      <w:proofErr w:type="gramStart"/>
      <w:r w:rsidRPr="00155165">
        <w:rPr>
          <w:b/>
          <w:bCs/>
          <w:u w:val="single"/>
        </w:rPr>
        <w:t>two and a half year</w:t>
      </w:r>
      <w:proofErr w:type="gramEnd"/>
      <w:r w:rsidRPr="00155165">
        <w:rPr>
          <w:b/>
          <w:bCs/>
          <w:u w:val="single"/>
        </w:rPr>
        <w:t xml:space="preserve"> inspection after emptying but before cleaning, for purposes of performing the required inspection prior to refilling; and</w:t>
      </w:r>
    </w:p>
    <w:p w14:paraId="4EDAF88F" w14:textId="77777777" w:rsidR="00A00BEC" w:rsidRDefault="00A00BEC" w:rsidP="00A00BEC">
      <w:pPr>
        <w:pStyle w:val="SingleTxtG"/>
        <w:ind w:left="1701"/>
      </w:pPr>
      <w:r w:rsidRPr="00155165">
        <w:rPr>
          <w:b/>
          <w:bCs/>
          <w:u w:val="single"/>
        </w:rPr>
        <w:t>-</w:t>
      </w:r>
      <w:r w:rsidRPr="00155165">
        <w:rPr>
          <w:b/>
          <w:bCs/>
          <w:u w:val="single"/>
        </w:rPr>
        <w:tab/>
        <w:t>unless otherwise approved by the competent authority, for a period not to exceed six months beyond the date of expiry of the period of use accepted in accordance with 4.1.1.15 or the date of expiry of the periodic inspection to allow the return of dangerous goods or residues for proper disposal or recycling. Reference to this exemption shall be entered in the transport document.</w:t>
      </w:r>
      <w:r w:rsidRPr="0092054A">
        <w:t>”</w:t>
      </w:r>
    </w:p>
    <w:p w14:paraId="417E66E8" w14:textId="77777777" w:rsidR="00AF5DE1" w:rsidRPr="00A00BEC" w:rsidRDefault="00A00BEC" w:rsidP="00A00BEC">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AF5DE1" w:rsidRPr="00A00BEC" w:rsidSect="003979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DB38" w14:textId="77777777" w:rsidR="00BD3E83" w:rsidRPr="00C47B2E" w:rsidRDefault="00BD3E83" w:rsidP="00C47B2E">
      <w:pPr>
        <w:pStyle w:val="Footer"/>
      </w:pPr>
    </w:p>
  </w:endnote>
  <w:endnote w:type="continuationSeparator" w:id="0">
    <w:p w14:paraId="2A982511" w14:textId="77777777" w:rsidR="00BD3E83" w:rsidRPr="00C47B2E" w:rsidRDefault="00BD3E83" w:rsidP="00C47B2E">
      <w:pPr>
        <w:pStyle w:val="Footer"/>
      </w:pPr>
    </w:p>
  </w:endnote>
  <w:endnote w:type="continuationNotice" w:id="1">
    <w:p w14:paraId="13905FAE" w14:textId="77777777" w:rsidR="00BD3E83" w:rsidRPr="00C47B2E" w:rsidRDefault="00BD3E8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75F5" w14:textId="77777777" w:rsidR="00D94B05" w:rsidRPr="00D94B05" w:rsidRDefault="005546EA" w:rsidP="005546EA">
    <w:pPr>
      <w:pStyle w:val="Footer"/>
      <w:tabs>
        <w:tab w:val="right" w:pos="9638"/>
      </w:tabs>
    </w:pPr>
    <w:r w:rsidRPr="005546EA">
      <w:rPr>
        <w:b/>
        <w:bCs/>
        <w:sz w:val="18"/>
      </w:rPr>
      <w:fldChar w:fldCharType="begin"/>
    </w:r>
    <w:r w:rsidRPr="005546EA">
      <w:rPr>
        <w:b/>
        <w:bCs/>
        <w:sz w:val="18"/>
      </w:rPr>
      <w:instrText xml:space="preserve"> PAGE  \* MERGEFORMAT </w:instrText>
    </w:r>
    <w:r w:rsidRPr="005546EA">
      <w:rPr>
        <w:b/>
        <w:bCs/>
        <w:sz w:val="18"/>
      </w:rPr>
      <w:fldChar w:fldCharType="separate"/>
    </w:r>
    <w:r w:rsidRPr="005546EA">
      <w:rPr>
        <w:b/>
        <w:bCs/>
        <w:noProof/>
        <w:sz w:val="18"/>
      </w:rPr>
      <w:t>2</w:t>
    </w:r>
    <w:r w:rsidRPr="005546EA">
      <w:rPr>
        <w:b/>
        <w:bCs/>
        <w:sz w:val="18"/>
      </w:rPr>
      <w:fldChar w:fldCharType="end"/>
    </w:r>
    <w:r>
      <w:tab/>
      <w:t>GE.19-15734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5910" w14:textId="77777777" w:rsidR="00D94B05" w:rsidRPr="00D94B05" w:rsidRDefault="005546EA" w:rsidP="005546EA">
    <w:pPr>
      <w:pStyle w:val="Footer"/>
      <w:tabs>
        <w:tab w:val="right" w:pos="9638"/>
      </w:tabs>
      <w:rPr>
        <w:b/>
        <w:sz w:val="18"/>
      </w:rPr>
    </w:pPr>
    <w:r>
      <w:rPr>
        <w:b/>
        <w:sz w:val="18"/>
      </w:rPr>
      <w:t>GE.19-15734</w:t>
    </w:r>
    <w:r>
      <w:rPr>
        <w:b/>
        <w:sz w:val="18"/>
      </w:rPr>
      <w:tab/>
    </w:r>
    <w:r w:rsidRPr="005546EA">
      <w:rPr>
        <w:bCs/>
        <w:sz w:val="18"/>
      </w:rPr>
      <w:fldChar w:fldCharType="begin"/>
    </w:r>
    <w:r w:rsidRPr="005546EA">
      <w:rPr>
        <w:bCs/>
        <w:sz w:val="18"/>
      </w:rPr>
      <w:instrText xml:space="preserve"> PAGE  \* MERGEFORMAT </w:instrText>
    </w:r>
    <w:r w:rsidRPr="005546EA">
      <w:rPr>
        <w:bCs/>
        <w:sz w:val="18"/>
      </w:rPr>
      <w:fldChar w:fldCharType="separate"/>
    </w:r>
    <w:r w:rsidRPr="005546EA">
      <w:rPr>
        <w:bCs/>
        <w:noProof/>
        <w:sz w:val="18"/>
      </w:rPr>
      <w:t>3</w:t>
    </w:r>
    <w:r w:rsidRPr="005546EA">
      <w:rPr>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87F3" w14:textId="77777777" w:rsidR="005546EA" w:rsidRDefault="005546EA">
    <w:pPr>
      <w:pStyle w:val="Footer"/>
      <w:rPr>
        <w:sz w:val="20"/>
      </w:rPr>
    </w:pPr>
    <w:r>
      <w:rPr>
        <w:noProof/>
        <w:lang w:eastAsia="zh-CN"/>
      </w:rPr>
      <w:drawing>
        <wp:anchor distT="0" distB="0" distL="114300" distR="114300" simplePos="0" relativeHeight="251659264" behindDoc="1" locked="1" layoutInCell="1" allowOverlap="1" wp14:anchorId="00876710" wp14:editId="6589712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436093" w14:textId="53C72242" w:rsidR="005546EA" w:rsidRDefault="005546EA" w:rsidP="005546EA">
    <w:pPr>
      <w:pStyle w:val="Footer"/>
      <w:rPr>
        <w:sz w:val="20"/>
      </w:rPr>
    </w:pPr>
    <w:r>
      <w:rPr>
        <w:sz w:val="20"/>
      </w:rPr>
      <w:t>GE.19-</w:t>
    </w:r>
    <w:proofErr w:type="gramStart"/>
    <w:r>
      <w:rPr>
        <w:sz w:val="20"/>
      </w:rPr>
      <w:t>15734  (</w:t>
    </w:r>
    <w:proofErr w:type="gramEnd"/>
    <w:r>
      <w:rPr>
        <w:sz w:val="20"/>
      </w:rPr>
      <w:t>E)</w:t>
    </w:r>
    <w:r w:rsidR="00553340">
      <w:rPr>
        <w:sz w:val="20"/>
      </w:rPr>
      <w:t xml:space="preserve">    </w:t>
    </w:r>
    <w:r w:rsidR="009A3877">
      <w:rPr>
        <w:sz w:val="20"/>
      </w:rPr>
      <w:t>180919    200919</w:t>
    </w:r>
  </w:p>
  <w:p w14:paraId="12DCC571" w14:textId="77777777" w:rsidR="005546EA" w:rsidRPr="005546EA" w:rsidRDefault="005546EA" w:rsidP="005546E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4C7DD88" wp14:editId="628A9E5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ST/SG/AC.10/C.3/2019/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7A2CB" w14:textId="77777777" w:rsidR="00BD3E83" w:rsidRPr="00C47B2E" w:rsidRDefault="00BD3E83" w:rsidP="00C47B2E">
      <w:pPr>
        <w:tabs>
          <w:tab w:val="right" w:pos="2155"/>
        </w:tabs>
        <w:spacing w:after="80" w:line="240" w:lineRule="auto"/>
        <w:ind w:left="680"/>
      </w:pPr>
      <w:r>
        <w:rPr>
          <w:u w:val="single"/>
        </w:rPr>
        <w:tab/>
      </w:r>
    </w:p>
  </w:footnote>
  <w:footnote w:type="continuationSeparator" w:id="0">
    <w:p w14:paraId="173FE25E" w14:textId="77777777" w:rsidR="00BD3E83" w:rsidRPr="00C47B2E" w:rsidRDefault="00BD3E83" w:rsidP="005E716E">
      <w:pPr>
        <w:tabs>
          <w:tab w:val="right" w:pos="2155"/>
        </w:tabs>
        <w:spacing w:after="80" w:line="240" w:lineRule="auto"/>
        <w:ind w:left="680"/>
      </w:pPr>
      <w:r>
        <w:rPr>
          <w:u w:val="single"/>
        </w:rPr>
        <w:tab/>
      </w:r>
    </w:p>
  </w:footnote>
  <w:footnote w:type="continuationNotice" w:id="1">
    <w:p w14:paraId="793C25D3" w14:textId="77777777" w:rsidR="00BD3E83" w:rsidRPr="00C47B2E" w:rsidRDefault="00BD3E83" w:rsidP="00C47B2E">
      <w:pPr>
        <w:pStyle w:val="Footer"/>
      </w:pPr>
    </w:p>
  </w:footnote>
  <w:footnote w:id="2">
    <w:p w14:paraId="7AE8898D" w14:textId="77777777" w:rsidR="00A00BEC" w:rsidRPr="008209BB" w:rsidRDefault="00A00BEC" w:rsidP="00A00BEC">
      <w:pPr>
        <w:pStyle w:val="FootnoteText"/>
      </w:pPr>
      <w:r>
        <w:rPr>
          <w:rStyle w:val="FootnoteReference"/>
        </w:rPr>
        <w:tab/>
      </w:r>
      <w:r w:rsidRPr="008209BB">
        <w:rPr>
          <w:rStyle w:val="FootnoteReference"/>
          <w:sz w:val="20"/>
          <w:vertAlign w:val="baseline"/>
        </w:rPr>
        <w:t>*</w:t>
      </w:r>
      <w:r>
        <w:rPr>
          <w:rStyle w:val="FootnoteReference"/>
          <w:sz w:val="20"/>
          <w:vertAlign w:val="baseline"/>
        </w:rPr>
        <w:tab/>
      </w:r>
      <w:r>
        <w:t>In accordance with the programme of work of the Sub-Committee for the biennium 2019–2020 approved by the Committee at its ninth session (see ST/SG/AC.10/C.3/108, para. 141, and ST/SG/AC.10/46,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2473" w14:textId="77777777" w:rsidR="005546EA" w:rsidRDefault="005546EA" w:rsidP="005546EA">
    <w:pPr>
      <w:pStyle w:val="Header"/>
    </w:pPr>
    <w:r>
      <w:t>ST/SG/AC.10/C.3/2019/56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A658" w14:textId="77777777" w:rsidR="00D94B05" w:rsidRPr="00D94B05" w:rsidRDefault="005546EA" w:rsidP="005546EA">
    <w:pPr>
      <w:pStyle w:val="Header"/>
      <w:jc w:val="right"/>
    </w:pPr>
    <w:r>
      <w:t>ST/SG/AC.10/C.3/2019/56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83"/>
    <w:rsid w:val="00046E92"/>
    <w:rsid w:val="00063C90"/>
    <w:rsid w:val="00101B98"/>
    <w:rsid w:val="001B3141"/>
    <w:rsid w:val="00247E2C"/>
    <w:rsid w:val="002A32CB"/>
    <w:rsid w:val="002D6C53"/>
    <w:rsid w:val="002F5595"/>
    <w:rsid w:val="00334F6A"/>
    <w:rsid w:val="00342AC8"/>
    <w:rsid w:val="00343302"/>
    <w:rsid w:val="003979DE"/>
    <w:rsid w:val="003B4550"/>
    <w:rsid w:val="003D2A18"/>
    <w:rsid w:val="00461253"/>
    <w:rsid w:val="004A2814"/>
    <w:rsid w:val="004C0622"/>
    <w:rsid w:val="005042C2"/>
    <w:rsid w:val="00553340"/>
    <w:rsid w:val="005546EA"/>
    <w:rsid w:val="005E716E"/>
    <w:rsid w:val="0061292F"/>
    <w:rsid w:val="006476E1"/>
    <w:rsid w:val="006604DF"/>
    <w:rsid w:val="00671529"/>
    <w:rsid w:val="0070489D"/>
    <w:rsid w:val="007268F9"/>
    <w:rsid w:val="00750282"/>
    <w:rsid w:val="00764440"/>
    <w:rsid w:val="0077101B"/>
    <w:rsid w:val="007C52B0"/>
    <w:rsid w:val="008147C8"/>
    <w:rsid w:val="0081753A"/>
    <w:rsid w:val="009411B4"/>
    <w:rsid w:val="009A3877"/>
    <w:rsid w:val="009D0139"/>
    <w:rsid w:val="009D717D"/>
    <w:rsid w:val="009F5CDC"/>
    <w:rsid w:val="00A00BEC"/>
    <w:rsid w:val="00A05A27"/>
    <w:rsid w:val="00A775CF"/>
    <w:rsid w:val="00AD1A9C"/>
    <w:rsid w:val="00AF5DE1"/>
    <w:rsid w:val="00B06045"/>
    <w:rsid w:val="00B52EF4"/>
    <w:rsid w:val="00B86B8F"/>
    <w:rsid w:val="00BD3E83"/>
    <w:rsid w:val="00C03015"/>
    <w:rsid w:val="00C0358D"/>
    <w:rsid w:val="00C35A27"/>
    <w:rsid w:val="00C47B2E"/>
    <w:rsid w:val="00D63CD2"/>
    <w:rsid w:val="00D94B05"/>
    <w:rsid w:val="00E02C2B"/>
    <w:rsid w:val="00E21C27"/>
    <w:rsid w:val="00E26BCF"/>
    <w:rsid w:val="00E52109"/>
    <w:rsid w:val="00E75317"/>
    <w:rsid w:val="00ED6C48"/>
    <w:rsid w:val="00F65F5D"/>
    <w:rsid w:val="00F86A3A"/>
    <w:rsid w:val="00FF1E0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2904A"/>
  <w15:docId w15:val="{A30B7292-9AA5-4C22-9C9C-0D85A05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A00BE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B130-E87B-4C84-ACCD-4F3ED080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ST/SG/AC.10/C.3/2019/56</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ST/SG/AC.10/C.3/2019/56</dc:title>
  <dc:subject>1915734</dc:subject>
  <dc:creator>CPM</dc:creator>
  <cp:keywords/>
  <dc:description/>
  <cp:lastModifiedBy>Laurence Berthet</cp:lastModifiedBy>
  <cp:revision>2</cp:revision>
  <cp:lastPrinted>2019-09-20T13:32:00Z</cp:lastPrinted>
  <dcterms:created xsi:type="dcterms:W3CDTF">2019-09-20T13:32:00Z</dcterms:created>
  <dcterms:modified xsi:type="dcterms:W3CDTF">2019-09-20T13:32:00Z</dcterms:modified>
</cp:coreProperties>
</file>