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31474" w14:paraId="1F5E145C" w14:textId="77777777" w:rsidTr="00BA24A5">
        <w:trPr>
          <w:trHeight w:hRule="exact" w:val="851"/>
        </w:trPr>
        <w:tc>
          <w:tcPr>
            <w:tcW w:w="1276" w:type="dxa"/>
            <w:tcBorders>
              <w:bottom w:val="single" w:sz="4" w:space="0" w:color="auto"/>
            </w:tcBorders>
          </w:tcPr>
          <w:p w14:paraId="040FE69F" w14:textId="77777777" w:rsidR="00B31474" w:rsidRDefault="00B31474"/>
        </w:tc>
        <w:tc>
          <w:tcPr>
            <w:tcW w:w="2268" w:type="dxa"/>
            <w:tcBorders>
              <w:bottom w:val="single" w:sz="4" w:space="0" w:color="auto"/>
            </w:tcBorders>
            <w:vAlign w:val="bottom"/>
          </w:tcPr>
          <w:p w14:paraId="710F19BB" w14:textId="77777777" w:rsidR="00B31474" w:rsidRDefault="00B31474">
            <w:pPr>
              <w:spacing w:after="80" w:line="300" w:lineRule="exact"/>
              <w:rPr>
                <w:sz w:val="28"/>
              </w:rPr>
            </w:pPr>
            <w:r>
              <w:rPr>
                <w:sz w:val="28"/>
              </w:rPr>
              <w:t>Nations Unies</w:t>
            </w:r>
          </w:p>
        </w:tc>
        <w:tc>
          <w:tcPr>
            <w:tcW w:w="6095" w:type="dxa"/>
            <w:gridSpan w:val="2"/>
            <w:tcBorders>
              <w:bottom w:val="single" w:sz="4" w:space="0" w:color="auto"/>
            </w:tcBorders>
            <w:vAlign w:val="bottom"/>
          </w:tcPr>
          <w:p w14:paraId="6B5B0F12" w14:textId="77777777" w:rsidR="00B31474" w:rsidRDefault="005F25FC" w:rsidP="006A0657">
            <w:pPr>
              <w:jc w:val="right"/>
              <w:rPr>
                <w:lang w:val="en-US"/>
              </w:rPr>
            </w:pPr>
            <w:r w:rsidRPr="007E25DA">
              <w:rPr>
                <w:sz w:val="40"/>
              </w:rPr>
              <w:t>ST</w:t>
            </w:r>
            <w:r w:rsidR="00CB75C1">
              <w:t>/SG/AC.10/C.3/201</w:t>
            </w:r>
            <w:r w:rsidR="006A0657">
              <w:t>9</w:t>
            </w:r>
            <w:r>
              <w:t>/</w:t>
            </w:r>
            <w:r w:rsidR="005402AB">
              <w:t>28</w:t>
            </w:r>
          </w:p>
        </w:tc>
      </w:tr>
      <w:tr w:rsidR="00B31474" w14:paraId="029B9706" w14:textId="77777777">
        <w:trPr>
          <w:trHeight w:hRule="exact" w:val="2835"/>
        </w:trPr>
        <w:tc>
          <w:tcPr>
            <w:tcW w:w="1276" w:type="dxa"/>
            <w:tcBorders>
              <w:top w:val="single" w:sz="4" w:space="0" w:color="auto"/>
              <w:bottom w:val="single" w:sz="12" w:space="0" w:color="auto"/>
            </w:tcBorders>
          </w:tcPr>
          <w:p w14:paraId="773FD9C5" w14:textId="77777777" w:rsidR="00B31474" w:rsidRDefault="00924EAE">
            <w:pPr>
              <w:spacing w:before="120"/>
              <w:jc w:val="center"/>
            </w:pPr>
            <w:r>
              <w:rPr>
                <w:noProof/>
                <w:lang w:val="en-US"/>
              </w:rPr>
              <w:drawing>
                <wp:inline distT="0" distB="0" distL="0" distR="0" wp14:anchorId="5D840F28" wp14:editId="2E464EF8">
                  <wp:extent cx="708660" cy="59436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66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7925E4A" w14:textId="77777777" w:rsidR="00B31474" w:rsidRDefault="00E60D87">
            <w:pPr>
              <w:spacing w:before="120" w:line="420" w:lineRule="exact"/>
              <w:rPr>
                <w:b/>
                <w:sz w:val="40"/>
                <w:szCs w:val="40"/>
              </w:rPr>
            </w:pPr>
            <w:r>
              <w:rPr>
                <w:b/>
                <w:sz w:val="40"/>
                <w:szCs w:val="40"/>
              </w:rPr>
              <w:t>Secré</w:t>
            </w:r>
            <w:r w:rsidR="00C557B3">
              <w:rPr>
                <w:b/>
                <w:sz w:val="40"/>
                <w:szCs w:val="40"/>
              </w:rPr>
              <w:t>tariat</w:t>
            </w:r>
          </w:p>
        </w:tc>
        <w:tc>
          <w:tcPr>
            <w:tcW w:w="2835" w:type="dxa"/>
            <w:tcBorders>
              <w:top w:val="single" w:sz="4" w:space="0" w:color="auto"/>
              <w:bottom w:val="single" w:sz="12" w:space="0" w:color="auto"/>
            </w:tcBorders>
          </w:tcPr>
          <w:p w14:paraId="7538234F" w14:textId="77777777" w:rsidR="00C3425D" w:rsidRDefault="00B31474">
            <w:pPr>
              <w:spacing w:before="240" w:line="240" w:lineRule="exact"/>
            </w:pPr>
            <w:proofErr w:type="spellStart"/>
            <w:r>
              <w:t>Distr</w:t>
            </w:r>
            <w:proofErr w:type="spellEnd"/>
            <w:r>
              <w:t xml:space="preserve">. </w:t>
            </w:r>
            <w:proofErr w:type="gramStart"/>
            <w:r>
              <w:t>générale</w:t>
            </w:r>
            <w:proofErr w:type="gramEnd"/>
            <w:r w:rsidR="00C3425D">
              <w:br/>
            </w:r>
            <w:r w:rsidR="005402AB">
              <w:t>8 avril 2019</w:t>
            </w:r>
          </w:p>
          <w:p w14:paraId="05AF7328" w14:textId="77777777" w:rsidR="00B31474" w:rsidRDefault="00B31474">
            <w:pPr>
              <w:spacing w:line="240" w:lineRule="exact"/>
            </w:pPr>
          </w:p>
          <w:p w14:paraId="36E176E9" w14:textId="77777777" w:rsidR="00B31474" w:rsidRDefault="00B31474">
            <w:pPr>
              <w:spacing w:line="240" w:lineRule="exact"/>
            </w:pPr>
            <w:r>
              <w:t>Original: français</w:t>
            </w:r>
          </w:p>
        </w:tc>
      </w:tr>
    </w:tbl>
    <w:p w14:paraId="25FD7482" w14:textId="77777777" w:rsidR="00853D97" w:rsidRPr="00CA0680" w:rsidRDefault="00853D97" w:rsidP="00853D97">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076B62F8" w14:textId="77777777" w:rsidR="00853D97" w:rsidRPr="00CA0680" w:rsidRDefault="00853D97" w:rsidP="00853D97">
      <w:pPr>
        <w:spacing w:before="120"/>
        <w:rPr>
          <w:b/>
        </w:rPr>
      </w:pPr>
      <w:r w:rsidRPr="00CA0680">
        <w:rPr>
          <w:b/>
        </w:rPr>
        <w:t>Sous</w:t>
      </w:r>
      <w:r>
        <w:rPr>
          <w:b/>
        </w:rPr>
        <w:t>-</w:t>
      </w:r>
      <w:r w:rsidRPr="00CA0680">
        <w:rPr>
          <w:b/>
        </w:rPr>
        <w:t>Comité d</w:t>
      </w:r>
      <w:r>
        <w:rPr>
          <w:b/>
        </w:rPr>
        <w:t>’</w:t>
      </w:r>
      <w:r w:rsidRPr="00CA0680">
        <w:rPr>
          <w:b/>
        </w:rPr>
        <w:t>experts du transport des marchandises dangereuses</w:t>
      </w:r>
    </w:p>
    <w:p w14:paraId="3DC07001" w14:textId="77777777" w:rsidR="005402AB" w:rsidRPr="00AD0B8B" w:rsidRDefault="005402AB" w:rsidP="005402AB">
      <w:pPr>
        <w:spacing w:before="120"/>
        <w:rPr>
          <w:b/>
        </w:rPr>
      </w:pPr>
      <w:r w:rsidRPr="00AD0B8B">
        <w:rPr>
          <w:b/>
          <w:bCs/>
        </w:rPr>
        <w:t>Cinquante-</w:t>
      </w:r>
      <w:r>
        <w:rPr>
          <w:b/>
          <w:bCs/>
        </w:rPr>
        <w:t>cinquième</w:t>
      </w:r>
      <w:r w:rsidRPr="00AD0B8B">
        <w:rPr>
          <w:b/>
        </w:rPr>
        <w:t xml:space="preserve"> session</w:t>
      </w:r>
    </w:p>
    <w:p w14:paraId="1A959AC7" w14:textId="77777777" w:rsidR="005402AB" w:rsidRPr="00AD0B8B" w:rsidRDefault="005402AB" w:rsidP="005402AB">
      <w:r w:rsidRPr="00AD0B8B">
        <w:t xml:space="preserve">Genève, </w:t>
      </w:r>
      <w:r>
        <w:t>1-5 juillet 2019</w:t>
      </w:r>
    </w:p>
    <w:p w14:paraId="785F718C" w14:textId="77777777" w:rsidR="005402AB" w:rsidRPr="00AD0B8B" w:rsidRDefault="005402AB" w:rsidP="005402AB">
      <w:r w:rsidRPr="00AD0B8B">
        <w:t xml:space="preserve">Point </w:t>
      </w:r>
      <w:r>
        <w:t>3</w:t>
      </w:r>
      <w:r w:rsidRPr="00AD0B8B">
        <w:t xml:space="preserve"> de l’ordre du jour provisoire</w:t>
      </w:r>
    </w:p>
    <w:p w14:paraId="0093FCFA" w14:textId="77777777" w:rsidR="005402AB" w:rsidRPr="00AD0B8B" w:rsidRDefault="005402AB" w:rsidP="005402AB">
      <w:pPr>
        <w:rPr>
          <w:b/>
          <w:bCs/>
        </w:rPr>
      </w:pPr>
      <w:r w:rsidRPr="00AD0B8B">
        <w:rPr>
          <w:b/>
          <w:bCs/>
          <w:lang w:val="fr-FR"/>
        </w:rPr>
        <w:t>Inscription, classement et emballage</w:t>
      </w:r>
    </w:p>
    <w:p w14:paraId="485CB2B3" w14:textId="77777777" w:rsidR="00C363BE" w:rsidRDefault="00B90BC5" w:rsidP="00C363BE">
      <w:pPr>
        <w:pStyle w:val="HChG"/>
      </w:pPr>
      <w:r>
        <w:rPr>
          <w:lang w:val="fr-FR"/>
        </w:rPr>
        <w:tab/>
      </w:r>
      <w:r>
        <w:rPr>
          <w:lang w:val="fr-FR"/>
        </w:rPr>
        <w:tab/>
      </w:r>
      <w:r w:rsidR="00C363BE">
        <w:tab/>
      </w:r>
      <w:r w:rsidR="00F9231C">
        <w:t>Transport d</w:t>
      </w:r>
      <w:r w:rsidR="00C309B6">
        <w:t>’emballages</w:t>
      </w:r>
      <w:r w:rsidR="00F9231C">
        <w:t xml:space="preserve"> en vue de </w:t>
      </w:r>
      <w:r w:rsidR="00490D14">
        <w:t>leur élimination ou recyclage</w:t>
      </w:r>
    </w:p>
    <w:p w14:paraId="2740597E" w14:textId="77777777" w:rsidR="00E72C4C" w:rsidRDefault="00E72C4C" w:rsidP="00C363BE">
      <w:pPr>
        <w:pStyle w:val="HChG"/>
        <w:rPr>
          <w:rFonts w:eastAsia="Arial"/>
          <w:lang w:val="fr-FR"/>
        </w:rPr>
      </w:pPr>
      <w:r>
        <w:rPr>
          <w:rFonts w:eastAsia="Arial"/>
          <w:lang w:val="fr-FR"/>
        </w:rPr>
        <w:tab/>
      </w:r>
      <w:r>
        <w:rPr>
          <w:rFonts w:eastAsia="Arial"/>
          <w:lang w:val="fr-FR"/>
        </w:rPr>
        <w:tab/>
      </w:r>
      <w:r w:rsidRPr="00E72C4C">
        <w:rPr>
          <w:rFonts w:eastAsia="Arial"/>
          <w:lang w:val="fr-FR"/>
        </w:rPr>
        <w:t>Communication d</w:t>
      </w:r>
      <w:r w:rsidR="00BC3265">
        <w:rPr>
          <w:rFonts w:eastAsia="Arial"/>
          <w:lang w:val="fr-FR"/>
        </w:rPr>
        <w:t>e l’expert</w:t>
      </w:r>
      <w:r w:rsidR="004362EC">
        <w:rPr>
          <w:rFonts w:eastAsia="Arial"/>
          <w:lang w:val="fr-FR"/>
        </w:rPr>
        <w:t xml:space="preserve"> de la</w:t>
      </w:r>
      <w:r w:rsidRPr="00E72C4C">
        <w:rPr>
          <w:rFonts w:eastAsia="Arial"/>
          <w:lang w:val="fr-FR"/>
        </w:rPr>
        <w:t xml:space="preserve"> </w:t>
      </w:r>
      <w:r w:rsidR="00210222">
        <w:rPr>
          <w:rFonts w:eastAsia="Arial"/>
          <w:lang w:val="fr-FR"/>
        </w:rPr>
        <w:t>Suisse</w:t>
      </w:r>
      <w:r w:rsidR="00C3425D">
        <w:rPr>
          <w:rStyle w:val="FootnoteReference"/>
          <w:rFonts w:eastAsia="Arial"/>
        </w:rPr>
        <w:footnoteReference w:id="2"/>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924EAE" w14:paraId="6274ED90" w14:textId="77777777" w:rsidTr="007542F2">
        <w:trPr>
          <w:jc w:val="center"/>
        </w:trPr>
        <w:tc>
          <w:tcPr>
            <w:tcW w:w="9637" w:type="dxa"/>
            <w:shd w:val="clear" w:color="auto" w:fill="auto"/>
          </w:tcPr>
          <w:p w14:paraId="6AB5FB41" w14:textId="77777777" w:rsidR="00924EAE" w:rsidRDefault="00924EAE" w:rsidP="007542F2">
            <w:pPr>
              <w:tabs>
                <w:tab w:val="right" w:pos="8505"/>
              </w:tabs>
              <w:spacing w:before="240" w:after="120"/>
              <w:ind w:left="255"/>
              <w:rPr>
                <w:i/>
                <w:color w:val="FF0000"/>
                <w:sz w:val="24"/>
              </w:rPr>
            </w:pPr>
            <w:r>
              <w:rPr>
                <w:i/>
                <w:sz w:val="24"/>
              </w:rPr>
              <w:t>Résumé</w:t>
            </w:r>
            <w:r>
              <w:rPr>
                <w:i/>
                <w:sz w:val="24"/>
              </w:rPr>
              <w:tab/>
            </w:r>
          </w:p>
        </w:tc>
      </w:tr>
      <w:tr w:rsidR="00924EAE" w14:paraId="0A27ECE2" w14:textId="77777777" w:rsidTr="007542F2">
        <w:trPr>
          <w:jc w:val="center"/>
        </w:trPr>
        <w:tc>
          <w:tcPr>
            <w:tcW w:w="9637" w:type="dxa"/>
            <w:shd w:val="clear" w:color="auto" w:fill="auto"/>
          </w:tcPr>
          <w:p w14:paraId="3ACA9E4E" w14:textId="77777777" w:rsidR="00924EAE" w:rsidRDefault="00924EAE" w:rsidP="00490D14">
            <w:pPr>
              <w:pStyle w:val="SingleTxtG"/>
              <w:ind w:left="2552" w:hanging="2268"/>
            </w:pPr>
            <w:r>
              <w:rPr>
                <w:b/>
              </w:rPr>
              <w:t xml:space="preserve">Résumé </w:t>
            </w:r>
            <w:proofErr w:type="gramStart"/>
            <w:r>
              <w:rPr>
                <w:b/>
              </w:rPr>
              <w:t>analytique:</w:t>
            </w:r>
            <w:proofErr w:type="gramEnd"/>
            <w:r>
              <w:rPr>
                <w:b/>
              </w:rPr>
              <w:tab/>
            </w:r>
            <w:r w:rsidR="00490D14" w:rsidRPr="00490D14">
              <w:t xml:space="preserve">Il s’agit d’introduire une règle générale qui autorise le transport d’emballages vides, y compris les </w:t>
            </w:r>
            <w:r w:rsidR="0037434C">
              <w:t>grands emballages pour vrac (</w:t>
            </w:r>
            <w:r w:rsidR="00490D14" w:rsidRPr="00490D14">
              <w:t>GRV</w:t>
            </w:r>
            <w:r w:rsidR="0037434C">
              <w:t>)</w:t>
            </w:r>
            <w:r w:rsidR="00490D14" w:rsidRPr="00490D14">
              <w:t xml:space="preserve"> et des grands emballages vides, en vue de leur élimination, de leur recyclage ou de la récupération de leurs matériaux</w:t>
            </w:r>
            <w:r w:rsidR="00490D14">
              <w:t xml:space="preserve">, même dans le cas où ils ne satisfont pas aux dispositions du Règlement type. </w:t>
            </w:r>
          </w:p>
        </w:tc>
      </w:tr>
      <w:tr w:rsidR="00924EAE" w14:paraId="69FA2604" w14:textId="77777777" w:rsidTr="007542F2">
        <w:trPr>
          <w:jc w:val="center"/>
        </w:trPr>
        <w:tc>
          <w:tcPr>
            <w:tcW w:w="9637" w:type="dxa"/>
            <w:shd w:val="clear" w:color="auto" w:fill="auto"/>
          </w:tcPr>
          <w:p w14:paraId="38B745B6" w14:textId="77777777" w:rsidR="00924EAE" w:rsidRDefault="00924EAE" w:rsidP="00490D14">
            <w:pPr>
              <w:pStyle w:val="SingleTxtG"/>
              <w:ind w:left="2552" w:hanging="2268"/>
            </w:pPr>
            <w:r>
              <w:rPr>
                <w:b/>
              </w:rPr>
              <w:t>Mesure à prendre:</w:t>
            </w:r>
            <w:r>
              <w:rPr>
                <w:b/>
              </w:rPr>
              <w:tab/>
            </w:r>
            <w:r w:rsidR="006A0657">
              <w:t xml:space="preserve">Modifier le texte du </w:t>
            </w:r>
            <w:r w:rsidR="00C42DB2">
              <w:t>4.1.</w:t>
            </w:r>
            <w:r w:rsidR="00490D14">
              <w:t>1.11</w:t>
            </w:r>
            <w:r>
              <w:t xml:space="preserve">. </w:t>
            </w:r>
          </w:p>
        </w:tc>
      </w:tr>
      <w:tr w:rsidR="00924EAE" w14:paraId="2D0C7A34" w14:textId="77777777" w:rsidTr="007542F2">
        <w:trPr>
          <w:jc w:val="center"/>
        </w:trPr>
        <w:tc>
          <w:tcPr>
            <w:tcW w:w="9637" w:type="dxa"/>
            <w:shd w:val="clear" w:color="auto" w:fill="auto"/>
          </w:tcPr>
          <w:p w14:paraId="3C914B8F" w14:textId="77777777" w:rsidR="00924EAE" w:rsidRDefault="00924EAE" w:rsidP="001B6C30">
            <w:pPr>
              <w:pStyle w:val="SingleTxtG"/>
              <w:ind w:left="2552" w:hanging="2268"/>
              <w:jc w:val="left"/>
            </w:pPr>
            <w:r>
              <w:rPr>
                <w:b/>
              </w:rPr>
              <w:t>Documents connexes:</w:t>
            </w:r>
            <w:r>
              <w:rPr>
                <w:b/>
              </w:rPr>
              <w:tab/>
            </w:r>
          </w:p>
        </w:tc>
      </w:tr>
      <w:tr w:rsidR="00924EAE" w14:paraId="18AE05D9" w14:textId="77777777" w:rsidTr="007542F2">
        <w:trPr>
          <w:jc w:val="center"/>
        </w:trPr>
        <w:tc>
          <w:tcPr>
            <w:tcW w:w="9637" w:type="dxa"/>
            <w:shd w:val="clear" w:color="auto" w:fill="auto"/>
          </w:tcPr>
          <w:p w14:paraId="52B8DAC8" w14:textId="77777777" w:rsidR="00924EAE" w:rsidRDefault="00924EAE" w:rsidP="007542F2">
            <w:pPr>
              <w:jc w:val="center"/>
              <w:rPr>
                <w:b/>
                <w:color w:val="FF0000"/>
              </w:rPr>
            </w:pPr>
          </w:p>
        </w:tc>
      </w:tr>
    </w:tbl>
    <w:p w14:paraId="67230B7B" w14:textId="77777777" w:rsidR="00924EAE" w:rsidRDefault="00924EAE" w:rsidP="00924EAE">
      <w:pPr>
        <w:pStyle w:val="HChG"/>
      </w:pPr>
      <w:r>
        <w:br w:type="page"/>
      </w:r>
      <w:r>
        <w:lastRenderedPageBreak/>
        <w:tab/>
      </w:r>
      <w:r>
        <w:tab/>
        <w:t>Introduction</w:t>
      </w:r>
    </w:p>
    <w:p w14:paraId="467C499F" w14:textId="77777777" w:rsidR="0022799E" w:rsidRDefault="0022799E" w:rsidP="00E9110F">
      <w:pPr>
        <w:pStyle w:val="SingleTxtG"/>
        <w:numPr>
          <w:ilvl w:val="0"/>
          <w:numId w:val="23"/>
        </w:numPr>
        <w:ind w:left="1134" w:firstLine="0"/>
      </w:pPr>
      <w:r>
        <w:t xml:space="preserve">Le transport d’emballages qui ne satisfont plus aux exigences du 4.1.1.3 aux fins de leur élimination ou recyclage et ayant contenu ou contenant des marchandises dangereuses n’est pas autorisé par le Règlement type. </w:t>
      </w:r>
    </w:p>
    <w:p w14:paraId="29212DBB" w14:textId="77777777" w:rsidR="00C90A50" w:rsidRDefault="0022799E" w:rsidP="00E9110F">
      <w:pPr>
        <w:pStyle w:val="SingleTxtG"/>
        <w:numPr>
          <w:ilvl w:val="0"/>
          <w:numId w:val="23"/>
        </w:numPr>
        <w:ind w:left="1134" w:firstLine="0"/>
      </w:pPr>
      <w:r>
        <w:t xml:space="preserve">Un emballage périmé ne peut être </w:t>
      </w:r>
      <w:r w:rsidR="0000467C">
        <w:t xml:space="preserve">transporté aux fin de son élimination avec les marquages et dans les conditions de transport de la marchandise dangereuse qu’il contient ou qu’il a contenue. Lors d’envois </w:t>
      </w:r>
      <w:r w:rsidR="006324A4">
        <w:t xml:space="preserve">d’une </w:t>
      </w:r>
      <w:r w:rsidR="0000467C">
        <w:t>grande quantité de tels emballages périmés</w:t>
      </w:r>
      <w:r w:rsidR="00C90A50">
        <w:t>,</w:t>
      </w:r>
      <w:r w:rsidR="0000467C">
        <w:t xml:space="preserve"> l’utilisateur n’a pas toujours intérêt à reclasser ces envois dans la rubrique ONU 3509 </w:t>
      </w:r>
      <w:r w:rsidR="0000467C">
        <w:rPr>
          <w:sz w:val="22"/>
          <w:szCs w:val="22"/>
        </w:rPr>
        <w:t>EMBALLAGES AU REBUT, VIDES, NON NETTOYÉS</w:t>
      </w:r>
      <w:r w:rsidR="0000467C">
        <w:t xml:space="preserve">. Il </w:t>
      </w:r>
      <w:r w:rsidR="00C309B6">
        <w:t xml:space="preserve">peut </w:t>
      </w:r>
      <w:r w:rsidR="00EC1F55">
        <w:t xml:space="preserve">choisir de transporter </w:t>
      </w:r>
      <w:r w:rsidR="0000467C">
        <w:t>dans les conditions de transport déterminées par la marchandise que le récipient contient ou avait contenu</w:t>
      </w:r>
      <w:r w:rsidR="006324A4">
        <w:t xml:space="preserve"> mais à la condition que les emballages satisfassent toutes les dispositions du Règlement</w:t>
      </w:r>
      <w:r w:rsidR="0000467C">
        <w:t xml:space="preserve">. </w:t>
      </w:r>
      <w:r w:rsidR="002246A8">
        <w:t>On observe que même s’il choisit de reclasser son envoi dans la rubrique</w:t>
      </w:r>
      <w:r w:rsidR="00C90A50">
        <w:t xml:space="preserve"> ONU 3509</w:t>
      </w:r>
      <w:r w:rsidR="002246A8">
        <w:t>,</w:t>
      </w:r>
      <w:r w:rsidR="00C90A50">
        <w:t xml:space="preserve"> rien n’indique dans le Règlement type que le transport d’emballages vides non nettoyés qui ne satisfont pas aux exigences du 4.1.1.3 est autorisé sous cette rubrique.</w:t>
      </w:r>
    </w:p>
    <w:p w14:paraId="78E43805" w14:textId="77777777" w:rsidR="002631FC" w:rsidRPr="002631FC" w:rsidRDefault="006324A4" w:rsidP="00E9110F">
      <w:pPr>
        <w:pStyle w:val="SingleTxtG"/>
        <w:numPr>
          <w:ilvl w:val="0"/>
          <w:numId w:val="23"/>
        </w:numPr>
        <w:ind w:left="1134" w:firstLine="0"/>
      </w:pPr>
      <w:r>
        <w:t>L’exemple de la r</w:t>
      </w:r>
      <w:r w:rsidR="002631FC" w:rsidRPr="002631FC">
        <w:t xml:space="preserve">ubrique </w:t>
      </w:r>
      <w:r w:rsidR="0037434C">
        <w:t>ONU</w:t>
      </w:r>
      <w:r w:rsidR="002631FC" w:rsidRPr="002631FC">
        <w:t xml:space="preserve"> 3509 </w:t>
      </w:r>
      <w:r w:rsidR="00091BA9">
        <w:rPr>
          <w:sz w:val="22"/>
          <w:szCs w:val="22"/>
        </w:rPr>
        <w:t xml:space="preserve">EMBALLAGES AU REBUT, VIDES, NON NETTOYÉS </w:t>
      </w:r>
      <w:r w:rsidR="002631FC" w:rsidRPr="002631FC">
        <w:t>et la disposit</w:t>
      </w:r>
      <w:r w:rsidR="00F9231C" w:rsidRPr="002631FC">
        <w:t xml:space="preserve">ion spéciale 374 qui lui est assignée </w:t>
      </w:r>
      <w:r>
        <w:t xml:space="preserve">va dans le bon sens mais les textes actuels ne résolvent pas encore le cas des emballages non conformes. Selon la </w:t>
      </w:r>
      <w:r w:rsidR="0037434C">
        <w:t>disposition spéciale</w:t>
      </w:r>
      <w:r>
        <w:t xml:space="preserve"> 374 la rubrique est </w:t>
      </w:r>
      <w:r w:rsidR="00F9231C" w:rsidRPr="002631FC">
        <w:t>destinés au transport d’emballages, grands em</w:t>
      </w:r>
      <w:r w:rsidR="002631FC">
        <w:t xml:space="preserve">ballages et GRV </w:t>
      </w:r>
      <w:r w:rsidR="00F9231C" w:rsidRPr="002631FC">
        <w:t>ou des parties de ceux-ci qui ont contenu des marchandises dangereuses autres q</w:t>
      </w:r>
      <w:r w:rsidR="002631FC" w:rsidRPr="002631FC">
        <w:t>u</w:t>
      </w:r>
      <w:r w:rsidR="00F9231C" w:rsidRPr="002631FC">
        <w:t>e des matières radioactives</w:t>
      </w:r>
      <w:r w:rsidR="002631FC" w:rsidRPr="002631FC">
        <w:t xml:space="preserve"> et qui sont transportés en vue d’être éliminés, recyclés ou récupérés, sauf à des fins de reconditionnement, de réparation, d’entretien de routine, de reconstruction ou de réutilisation, et qui ont été vidés de façon à ne plus contenir que des résidus de marchandises dangereuses adhérant aux éléments des emballages lorsqu’</w:t>
      </w:r>
      <w:r w:rsidR="002631FC">
        <w:t>ils sont présentés au transport.</w:t>
      </w:r>
    </w:p>
    <w:p w14:paraId="664616E5" w14:textId="77777777" w:rsidR="00C80099" w:rsidRDefault="00C80099" w:rsidP="00C80099">
      <w:pPr>
        <w:pStyle w:val="SingleTxtG"/>
        <w:numPr>
          <w:ilvl w:val="0"/>
          <w:numId w:val="23"/>
        </w:numPr>
        <w:ind w:left="1134" w:firstLine="0"/>
      </w:pPr>
      <w:r>
        <w:t xml:space="preserve">Tout en se référant à l’autorisation par l’autorité compétente, le texte de la </w:t>
      </w:r>
      <w:r w:rsidR="0037434C">
        <w:t>disposition spéciale</w:t>
      </w:r>
      <w:r>
        <w:t xml:space="preserve"> 374 n’exonère pas les emballages du respect des autres dispositions du Règlement type concernant l’homologation, les épreuves et inspections des emballages. Les mots « ou des parties de ceux-ci » qui apparaissent sont dans ce contexte difficiles à comprendre, car </w:t>
      </w:r>
      <w:r w:rsidR="002246A8">
        <w:t>il semble impossible qu’</w:t>
      </w:r>
      <w:r>
        <w:t>une partie d’un emballage p</w:t>
      </w:r>
      <w:r w:rsidR="00C309B6">
        <w:t>uiss</w:t>
      </w:r>
      <w:r w:rsidR="002246A8">
        <w:t xml:space="preserve">e satisfaire </w:t>
      </w:r>
      <w:r>
        <w:t>aux modèle type et pouvoir passer les épreuves et inspections</w:t>
      </w:r>
      <w:r w:rsidR="002246A8">
        <w:t xml:space="preserve">. </w:t>
      </w:r>
      <w:r>
        <w:t xml:space="preserve">On doit conclure que la volonté était bien d’autoriser le transport d’emballages qui ne respectent plus les dispositions du Règlement type aux fins de leur mise au rebut. </w:t>
      </w:r>
    </w:p>
    <w:p w14:paraId="29E92B6E" w14:textId="77777777" w:rsidR="00C80099" w:rsidRDefault="00C80099" w:rsidP="00C80099">
      <w:pPr>
        <w:pStyle w:val="SingleTxtG"/>
        <w:numPr>
          <w:ilvl w:val="0"/>
          <w:numId w:val="23"/>
        </w:numPr>
        <w:ind w:left="1134" w:firstLine="0"/>
      </w:pPr>
      <w:r>
        <w:t>Si la volonté des auteurs était d’autoriser le transport d’emballages aux fins de leur mise au rebut sans qu’ils satisfassent les exigences du Règlement type, plutôt que de le sous-entendre par les termes employés (« </w:t>
      </w:r>
      <w:r w:rsidRPr="002631FC">
        <w:t>des parties de ceux-ci</w:t>
      </w:r>
      <w:r>
        <w:t> »), il semble plus adéquat de le dire directement dans le Règlement type sans attendre que les autorités compétentes aillent au-delà de ce que le Règlement type permet.</w:t>
      </w:r>
    </w:p>
    <w:p w14:paraId="7133E570" w14:textId="77777777" w:rsidR="006324A4" w:rsidRDefault="00C80099" w:rsidP="006324A4">
      <w:pPr>
        <w:pStyle w:val="SingleTxtG"/>
        <w:numPr>
          <w:ilvl w:val="0"/>
          <w:numId w:val="23"/>
        </w:numPr>
        <w:ind w:left="1134" w:firstLine="0"/>
      </w:pPr>
      <w:r>
        <w:t>Ainsi, tant</w:t>
      </w:r>
      <w:r w:rsidR="006324A4">
        <w:t xml:space="preserve"> dans le cas de la rubrique </w:t>
      </w:r>
      <w:r w:rsidR="0037434C">
        <w:t>ONU</w:t>
      </w:r>
      <w:r w:rsidR="006324A4">
        <w:t xml:space="preserve"> 3509 que dans le cas mentionné d’un transport so</w:t>
      </w:r>
      <w:r>
        <w:t>us</w:t>
      </w:r>
      <w:r w:rsidR="006324A4">
        <w:t xml:space="preserve"> la rubrique du produit contenu ou ayant été contenu </w:t>
      </w:r>
      <w:r>
        <w:t>originellement</w:t>
      </w:r>
      <w:r w:rsidR="006324A4">
        <w:t>, il semble nécessaire d’autoriser également le transport des emballages en vue de leur élimination même s’ils ne respectent pas les dispositions règlementaires faute de quoi ces transports sont toujours sujets à des autorisations spéciales ce qui ne facilite pas l</w:t>
      </w:r>
      <w:r>
        <w:t>’</w:t>
      </w:r>
      <w:r w:rsidR="006324A4">
        <w:t>élimination</w:t>
      </w:r>
      <w:r>
        <w:t xml:space="preserve"> des emballages périmés</w:t>
      </w:r>
      <w:r w:rsidR="006324A4">
        <w:t>.</w:t>
      </w:r>
      <w:r w:rsidR="00F32A7C">
        <w:t xml:space="preserve"> Pour ce qui est des transports d’emballages vides non nettoyés dans les conditions prévues pour les marchandises dangereuses qu’ils ont contenues à l’origine, il ne semble pas nécessaire de les soumettre à une autorisation préalable de l’autorité compétente tel que la </w:t>
      </w:r>
      <w:r w:rsidR="0037434C">
        <w:t>disposition spéciale</w:t>
      </w:r>
      <w:r w:rsidR="00F32A7C">
        <w:t xml:space="preserve"> 374 le prévoit dans l</w:t>
      </w:r>
      <w:r w:rsidR="002246A8">
        <w:t>e</w:t>
      </w:r>
      <w:r w:rsidR="00F32A7C">
        <w:t xml:space="preserve"> cas de la rubrique </w:t>
      </w:r>
      <w:r w:rsidR="0037434C">
        <w:t>ONU</w:t>
      </w:r>
      <w:r w:rsidR="00F32A7C">
        <w:t xml:space="preserve"> 3509</w:t>
      </w:r>
      <w:r w:rsidR="002246A8">
        <w:t xml:space="preserve">, à condition </w:t>
      </w:r>
      <w:r w:rsidR="00C309B6">
        <w:t xml:space="preserve">néanmoins </w:t>
      </w:r>
      <w:r w:rsidR="002246A8">
        <w:t>d’exclure certains risques</w:t>
      </w:r>
      <w:r w:rsidR="00F32A7C">
        <w:t>.</w:t>
      </w:r>
      <w:r w:rsidR="006324A4">
        <w:t xml:space="preserve"> </w:t>
      </w:r>
    </w:p>
    <w:p w14:paraId="6EF5E8A7" w14:textId="77777777" w:rsidR="005402AB" w:rsidRDefault="005402AB">
      <w:pPr>
        <w:suppressAutoHyphens w:val="0"/>
        <w:spacing w:line="240" w:lineRule="auto"/>
      </w:pPr>
      <w:r>
        <w:br w:type="page"/>
      </w:r>
    </w:p>
    <w:p w14:paraId="6AEB4F51" w14:textId="77777777" w:rsidR="008C6D7E" w:rsidRDefault="008C6D7E" w:rsidP="001D2282">
      <w:pPr>
        <w:pStyle w:val="SingleTxtG"/>
        <w:numPr>
          <w:ilvl w:val="0"/>
          <w:numId w:val="23"/>
        </w:numPr>
        <w:ind w:left="1134" w:firstLine="0"/>
      </w:pPr>
      <w:r>
        <w:lastRenderedPageBreak/>
        <w:t xml:space="preserve">Si les experts estiment </w:t>
      </w:r>
      <w:r w:rsidR="00091BA9">
        <w:t>utile d’</w:t>
      </w:r>
      <w:r w:rsidR="00C80099">
        <w:t>autoriser ce type de transport nous proposons de l’introduire comme règle générale pour tous les emballages en reprenant le concept déjà introduit dans la disposition 374.</w:t>
      </w:r>
      <w:r w:rsidR="00A62DE8">
        <w:t xml:space="preserve"> Etant donné qu’il y a certains risques qui ne devraient pas bénéficier de cette possibilité nous avons repris l’approche élaborée pour la rubrique ONU 3509 dans la disposition spéciale 663 de l’ADR où une série de risques et de classes de dangers sont exclus</w:t>
      </w:r>
      <w:r w:rsidR="002246A8">
        <w:t xml:space="preserve"> a priori</w:t>
      </w:r>
      <w:r w:rsidR="00A62DE8">
        <w:t xml:space="preserve">. </w:t>
      </w:r>
    </w:p>
    <w:p w14:paraId="604ED1FB" w14:textId="77777777" w:rsidR="00924EAE" w:rsidRDefault="005402AB" w:rsidP="005402AB">
      <w:pPr>
        <w:pStyle w:val="HChG"/>
      </w:pPr>
      <w:r>
        <w:tab/>
      </w:r>
      <w:r>
        <w:tab/>
      </w:r>
      <w:r w:rsidR="00924EAE" w:rsidRPr="005402AB">
        <w:t>Proposition</w:t>
      </w:r>
    </w:p>
    <w:p w14:paraId="4ADA7841" w14:textId="77777777" w:rsidR="00970CA2" w:rsidRDefault="00970CA2" w:rsidP="00CD03B5">
      <w:pPr>
        <w:pStyle w:val="SingleTxtG"/>
        <w:numPr>
          <w:ilvl w:val="0"/>
          <w:numId w:val="23"/>
        </w:numPr>
      </w:pPr>
      <w:r>
        <w:t xml:space="preserve">Modifier le 4.1.1.11 comme suit (nouveau texte </w:t>
      </w:r>
      <w:r w:rsidRPr="0037434C">
        <w:rPr>
          <w:b/>
          <w:bCs/>
          <w:u w:val="single"/>
        </w:rPr>
        <w:t>souligné en gras</w:t>
      </w:r>
      <w:r>
        <w:t xml:space="preserve"> ; texte biffé </w:t>
      </w:r>
      <w:r w:rsidRPr="005402AB">
        <w:rPr>
          <w:strike/>
        </w:rPr>
        <w:t>barré</w:t>
      </w:r>
      <w:r>
        <w:t>)</w:t>
      </w:r>
    </w:p>
    <w:p w14:paraId="3A4428EF" w14:textId="77777777" w:rsidR="00970CA2" w:rsidRDefault="00970CA2" w:rsidP="005402AB">
      <w:pPr>
        <w:pStyle w:val="BodyTextIndent"/>
        <w:spacing w:after="200"/>
        <w:ind w:left="1701" w:right="1134"/>
        <w:jc w:val="both"/>
      </w:pPr>
      <w:r>
        <w:t>« </w:t>
      </w:r>
      <w:r w:rsidRPr="007755A7">
        <w:t>4.1.1.11</w:t>
      </w:r>
      <w:r w:rsidRPr="007755A7">
        <w:tab/>
      </w:r>
      <w:r w:rsidRPr="00970CA2">
        <w:rPr>
          <w:b/>
          <w:u w:val="single"/>
        </w:rPr>
        <w:t xml:space="preserve">Transport d’emballages vides, y compris les GRV et </w:t>
      </w:r>
      <w:r w:rsidR="00EC1F55">
        <w:rPr>
          <w:b/>
          <w:u w:val="single"/>
        </w:rPr>
        <w:t>d</w:t>
      </w:r>
      <w:r w:rsidRPr="00970CA2">
        <w:rPr>
          <w:b/>
          <w:u w:val="single"/>
        </w:rPr>
        <w:t>es grands emballages vides, ayant contenu une marchandise dangereuse</w:t>
      </w:r>
      <w:r w:rsidRPr="007755A7">
        <w:t xml:space="preserve"> </w:t>
      </w:r>
    </w:p>
    <w:p w14:paraId="63E33210" w14:textId="77777777" w:rsidR="00970CA2" w:rsidRPr="007755A7" w:rsidRDefault="00970CA2" w:rsidP="005402AB">
      <w:pPr>
        <w:pStyle w:val="BodyTextIndent"/>
        <w:spacing w:after="200"/>
        <w:ind w:left="1701" w:right="1134"/>
      </w:pPr>
      <w:r>
        <w:t>4.1.1.11.1</w:t>
      </w:r>
      <w:r>
        <w:tab/>
      </w:r>
      <w:r w:rsidRPr="007755A7">
        <w:t xml:space="preserve">Les emballages vides, y compris les GRV et les grands emballages vides, ayant contenu une marchandise dangereuse sont soumis aux mêmes prescriptions qu'un emballage plein, à moins que des mesures appropriées n'aient été prises pour exclure tout </w:t>
      </w:r>
      <w:r>
        <w:t>danger</w:t>
      </w:r>
      <w:r w:rsidRPr="007755A7">
        <w:t>.</w:t>
      </w:r>
    </w:p>
    <w:p w14:paraId="1E047677" w14:textId="77777777" w:rsidR="00947A43" w:rsidRDefault="00970CA2" w:rsidP="005402AB">
      <w:pPr>
        <w:pStyle w:val="SingleTxtG"/>
        <w:ind w:left="1701"/>
        <w:rPr>
          <w:b/>
          <w:u w:val="single"/>
        </w:rPr>
      </w:pPr>
      <w:r w:rsidRPr="00970CA2">
        <w:rPr>
          <w:b/>
          <w:u w:val="single"/>
        </w:rPr>
        <w:t>4.1.1.11.2</w:t>
      </w:r>
      <w:r w:rsidRPr="00970CA2">
        <w:rPr>
          <w:b/>
          <w:u w:val="single"/>
        </w:rPr>
        <w:tab/>
      </w:r>
      <w:r w:rsidR="00CD03B5" w:rsidRPr="00970CA2">
        <w:rPr>
          <w:b/>
          <w:u w:val="single"/>
        </w:rPr>
        <w:t> </w:t>
      </w:r>
      <w:r w:rsidR="00947A43" w:rsidRPr="00970CA2">
        <w:rPr>
          <w:b/>
          <w:u w:val="single"/>
        </w:rPr>
        <w:t>il n’est pas nécessaire que les dispositions du 4.1.1.3</w:t>
      </w:r>
      <w:r w:rsidR="00947A43">
        <w:rPr>
          <w:b/>
          <w:u w:val="single"/>
        </w:rPr>
        <w:t xml:space="preserve"> soient satisfaites pour </w:t>
      </w:r>
      <w:r w:rsidR="00EC1F55">
        <w:rPr>
          <w:b/>
          <w:u w:val="single"/>
        </w:rPr>
        <w:t>les</w:t>
      </w:r>
      <w:r w:rsidR="00CD03B5" w:rsidRPr="00970CA2">
        <w:rPr>
          <w:b/>
          <w:u w:val="single"/>
        </w:rPr>
        <w:t xml:space="preserve"> emballages, </w:t>
      </w:r>
      <w:r w:rsidR="00947A43">
        <w:rPr>
          <w:b/>
          <w:u w:val="single"/>
        </w:rPr>
        <w:t>d</w:t>
      </w:r>
      <w:r w:rsidR="00CD03B5" w:rsidRPr="00970CA2">
        <w:rPr>
          <w:b/>
          <w:u w:val="single"/>
        </w:rPr>
        <w:t xml:space="preserve">es grands emballages ou </w:t>
      </w:r>
      <w:r w:rsidR="00947A43">
        <w:rPr>
          <w:b/>
          <w:u w:val="single"/>
        </w:rPr>
        <w:t>d</w:t>
      </w:r>
      <w:r w:rsidR="00CD03B5" w:rsidRPr="00970CA2">
        <w:rPr>
          <w:b/>
          <w:u w:val="single"/>
        </w:rPr>
        <w:t xml:space="preserve">es grands récipients pour vrac (GRV), ou des parties de ceux-ci, qui ont contenu des marchandises dangereuses </w:t>
      </w:r>
      <w:r w:rsidR="00EC1F55">
        <w:rPr>
          <w:b/>
          <w:u w:val="single"/>
        </w:rPr>
        <w:t>et qui sont transportés en vue de leur élimination</w:t>
      </w:r>
      <w:r w:rsidR="00CD03B5" w:rsidRPr="00970CA2">
        <w:rPr>
          <w:b/>
          <w:u w:val="single"/>
        </w:rPr>
        <w:t xml:space="preserve">, </w:t>
      </w:r>
      <w:r w:rsidR="00EC1F55">
        <w:rPr>
          <w:b/>
          <w:u w:val="single"/>
        </w:rPr>
        <w:t>de leur recyclage</w:t>
      </w:r>
      <w:r w:rsidR="00CD03B5" w:rsidRPr="00970CA2">
        <w:rPr>
          <w:b/>
          <w:u w:val="single"/>
        </w:rPr>
        <w:t xml:space="preserve"> ou </w:t>
      </w:r>
      <w:r w:rsidR="00EC1F55">
        <w:rPr>
          <w:b/>
          <w:u w:val="single"/>
        </w:rPr>
        <w:t>de la récupération de leurs matériaux,</w:t>
      </w:r>
      <w:r w:rsidR="00CD03B5" w:rsidRPr="00970CA2">
        <w:rPr>
          <w:b/>
          <w:u w:val="single"/>
        </w:rPr>
        <w:t xml:space="preserve"> à conditions qu’ils aient été vidés de façon à ne plus contenir que des résidus de marchandises dangereuses adhérant aux éléments des emballages lorsqu’ils sont présentés au transport</w:t>
      </w:r>
      <w:r w:rsidR="00EC1F55">
        <w:rPr>
          <w:b/>
          <w:u w:val="single"/>
        </w:rPr>
        <w:t xml:space="preserve">, en respectant les </w:t>
      </w:r>
      <w:r w:rsidR="00947A43">
        <w:rPr>
          <w:b/>
          <w:u w:val="single"/>
        </w:rPr>
        <w:t>dispositions suivantes</w:t>
      </w:r>
      <w:r w:rsidR="00EC1F55">
        <w:rPr>
          <w:b/>
          <w:u w:val="single"/>
        </w:rPr>
        <w:t> </w:t>
      </w:r>
      <w:r w:rsidR="00947A43">
        <w:rPr>
          <w:b/>
          <w:u w:val="single"/>
        </w:rPr>
        <w:t>:</w:t>
      </w:r>
    </w:p>
    <w:p w14:paraId="2C41873A" w14:textId="77777777" w:rsidR="00322181" w:rsidRPr="00970CA2" w:rsidRDefault="00947A43" w:rsidP="00A15B81">
      <w:pPr>
        <w:spacing w:after="200"/>
        <w:ind w:left="1701" w:right="1134"/>
        <w:jc w:val="both"/>
        <w:rPr>
          <w:b/>
          <w:u w:val="single"/>
        </w:rPr>
      </w:pPr>
      <w:r>
        <w:rPr>
          <w:b/>
          <w:u w:val="single"/>
        </w:rPr>
        <w:t>-</w:t>
      </w:r>
      <w:r>
        <w:rPr>
          <w:b/>
          <w:u w:val="single"/>
        </w:rPr>
        <w:tab/>
        <w:t>L</w:t>
      </w:r>
      <w:r w:rsidR="00322181" w:rsidRPr="00970CA2">
        <w:rPr>
          <w:b/>
          <w:u w:val="single"/>
        </w:rPr>
        <w:t>es résidus présents dans les emballages mis au rebut, vides, non nettoyés ne peuvent être que des ma</w:t>
      </w:r>
      <w:r w:rsidR="00970CA2">
        <w:rPr>
          <w:b/>
          <w:u w:val="single"/>
        </w:rPr>
        <w:t xml:space="preserve">tières dangereuses appartenant à la </w:t>
      </w:r>
      <w:r w:rsidR="00322181" w:rsidRPr="00970CA2">
        <w:rPr>
          <w:b/>
          <w:u w:val="single"/>
        </w:rPr>
        <w:t xml:space="preserve">classes 3, </w:t>
      </w:r>
      <w:r w:rsidR="00970CA2">
        <w:rPr>
          <w:b/>
          <w:u w:val="single"/>
        </w:rPr>
        <w:t xml:space="preserve">aux divisions </w:t>
      </w:r>
      <w:r w:rsidR="00322181" w:rsidRPr="00970CA2">
        <w:rPr>
          <w:b/>
          <w:u w:val="single"/>
        </w:rPr>
        <w:t xml:space="preserve">4.1, 5.1, 6.1, </w:t>
      </w:r>
      <w:r w:rsidR="00970CA2">
        <w:rPr>
          <w:b/>
          <w:u w:val="single"/>
        </w:rPr>
        <w:t xml:space="preserve">aux classes </w:t>
      </w:r>
      <w:r w:rsidR="00322181" w:rsidRPr="00970CA2">
        <w:rPr>
          <w:b/>
          <w:u w:val="single"/>
        </w:rPr>
        <w:t>8 ou 9. En outre, il ne doit pas s’agir:</w:t>
      </w:r>
    </w:p>
    <w:p w14:paraId="68ED874C" w14:textId="77777777" w:rsidR="00322181" w:rsidRPr="00970CA2" w:rsidRDefault="00322181" w:rsidP="00A15B81">
      <w:pPr>
        <w:spacing w:after="200"/>
        <w:ind w:left="1701" w:right="1134"/>
        <w:jc w:val="both"/>
        <w:rPr>
          <w:b/>
          <w:u w:val="single"/>
        </w:rPr>
      </w:pPr>
      <w:r w:rsidRPr="00970CA2">
        <w:rPr>
          <w:b/>
          <w:u w:val="single"/>
        </w:rPr>
        <w:t>-</w:t>
      </w:r>
      <w:r w:rsidRPr="00970CA2">
        <w:rPr>
          <w:b/>
          <w:u w:val="single"/>
        </w:rPr>
        <w:tab/>
        <w:t xml:space="preserve">De matières affectées au groupe d’emballage I ou pour lesquelles “0” figure dans la colonne (7a) de la Liste de marchandises </w:t>
      </w:r>
      <w:proofErr w:type="gramStart"/>
      <w:r w:rsidRPr="00970CA2">
        <w:rPr>
          <w:b/>
          <w:u w:val="single"/>
        </w:rPr>
        <w:t>dangereuses;</w:t>
      </w:r>
      <w:proofErr w:type="gramEnd"/>
      <w:r w:rsidRPr="00970CA2">
        <w:rPr>
          <w:b/>
          <w:u w:val="single"/>
        </w:rPr>
        <w:t xml:space="preserve"> ni</w:t>
      </w:r>
    </w:p>
    <w:p w14:paraId="7B6C5688" w14:textId="77777777" w:rsidR="00322181" w:rsidRPr="00970CA2" w:rsidRDefault="00322181" w:rsidP="00A15B81">
      <w:pPr>
        <w:spacing w:after="200"/>
        <w:ind w:left="1701" w:right="1134"/>
        <w:jc w:val="both"/>
        <w:rPr>
          <w:b/>
          <w:u w:val="single"/>
        </w:rPr>
      </w:pPr>
      <w:r w:rsidRPr="00970CA2">
        <w:rPr>
          <w:b/>
          <w:u w:val="single"/>
        </w:rPr>
        <w:t>-</w:t>
      </w:r>
      <w:r w:rsidRPr="00970CA2">
        <w:rPr>
          <w:b/>
          <w:u w:val="single"/>
        </w:rPr>
        <w:tab/>
        <w:t xml:space="preserve">De matières classées comme étant des matières explosibles désensibilisées de la classe 3 ou </w:t>
      </w:r>
      <w:r w:rsidR="00970CA2">
        <w:rPr>
          <w:b/>
          <w:u w:val="single"/>
        </w:rPr>
        <w:t xml:space="preserve">division </w:t>
      </w:r>
      <w:r w:rsidRPr="00970CA2">
        <w:rPr>
          <w:b/>
          <w:u w:val="single"/>
        </w:rPr>
        <w:t>4.1; ni</w:t>
      </w:r>
    </w:p>
    <w:p w14:paraId="06409D24" w14:textId="77777777" w:rsidR="00322181" w:rsidRPr="00970CA2" w:rsidRDefault="00322181" w:rsidP="00A15B81">
      <w:pPr>
        <w:spacing w:after="200"/>
        <w:ind w:left="1701" w:right="1134"/>
        <w:jc w:val="both"/>
        <w:rPr>
          <w:b/>
          <w:u w:val="single"/>
        </w:rPr>
      </w:pPr>
      <w:r w:rsidRPr="00970CA2">
        <w:rPr>
          <w:b/>
          <w:u w:val="single"/>
        </w:rPr>
        <w:t>-</w:t>
      </w:r>
      <w:r w:rsidRPr="00970CA2">
        <w:rPr>
          <w:b/>
          <w:u w:val="single"/>
        </w:rPr>
        <w:tab/>
        <w:t xml:space="preserve">De matières classées comme étant des matières </w:t>
      </w:r>
      <w:proofErr w:type="spellStart"/>
      <w:r w:rsidRPr="00970CA2">
        <w:rPr>
          <w:b/>
          <w:u w:val="single"/>
        </w:rPr>
        <w:t>autoréactives</w:t>
      </w:r>
      <w:proofErr w:type="spellEnd"/>
      <w:r w:rsidRPr="00970CA2">
        <w:rPr>
          <w:b/>
          <w:u w:val="single"/>
        </w:rPr>
        <w:t xml:space="preserve"> de la </w:t>
      </w:r>
      <w:r w:rsidR="00970CA2">
        <w:rPr>
          <w:b/>
          <w:u w:val="single"/>
        </w:rPr>
        <w:t>division</w:t>
      </w:r>
      <w:r w:rsidRPr="00970CA2">
        <w:rPr>
          <w:b/>
          <w:u w:val="single"/>
        </w:rPr>
        <w:t> 4.1; ni</w:t>
      </w:r>
    </w:p>
    <w:p w14:paraId="77D919C2" w14:textId="77777777" w:rsidR="00322181" w:rsidRPr="00970CA2" w:rsidRDefault="00322181" w:rsidP="00A15B81">
      <w:pPr>
        <w:spacing w:after="200"/>
        <w:ind w:left="1701" w:right="1134"/>
        <w:jc w:val="both"/>
        <w:rPr>
          <w:b/>
          <w:u w:val="single"/>
        </w:rPr>
      </w:pPr>
      <w:r w:rsidRPr="00970CA2">
        <w:rPr>
          <w:b/>
          <w:u w:val="single"/>
        </w:rPr>
        <w:t>-</w:t>
      </w:r>
      <w:r w:rsidRPr="00970CA2">
        <w:rPr>
          <w:b/>
          <w:u w:val="single"/>
        </w:rPr>
        <w:tab/>
        <w:t>De matières radioactives; ni</w:t>
      </w:r>
    </w:p>
    <w:p w14:paraId="5EBE23B5" w14:textId="77777777" w:rsidR="00322181" w:rsidRPr="00970CA2" w:rsidRDefault="00322181" w:rsidP="00A15B81">
      <w:pPr>
        <w:spacing w:after="200"/>
        <w:ind w:left="1701" w:right="1134"/>
        <w:jc w:val="both"/>
        <w:rPr>
          <w:b/>
          <w:u w:val="single"/>
        </w:rPr>
      </w:pPr>
      <w:r w:rsidRPr="00970CA2">
        <w:rPr>
          <w:b/>
          <w:u w:val="single"/>
        </w:rPr>
        <w:t>-</w:t>
      </w:r>
      <w:r w:rsidRPr="00970CA2">
        <w:rPr>
          <w:b/>
          <w:u w:val="single"/>
        </w:rPr>
        <w:tab/>
        <w:t xml:space="preserve">D’amiante (ONU 2212 et ONU 2590), de diphényles </w:t>
      </w:r>
      <w:proofErr w:type="spellStart"/>
      <w:r w:rsidRPr="00970CA2">
        <w:rPr>
          <w:b/>
          <w:u w:val="single"/>
        </w:rPr>
        <w:t>polychlorés</w:t>
      </w:r>
      <w:proofErr w:type="spellEnd"/>
      <w:r w:rsidRPr="00970CA2">
        <w:rPr>
          <w:b/>
          <w:u w:val="single"/>
        </w:rPr>
        <w:t xml:space="preserve"> (ONU 2315 et ONU 3432), de diphényles </w:t>
      </w:r>
      <w:proofErr w:type="spellStart"/>
      <w:r w:rsidRPr="00970CA2">
        <w:rPr>
          <w:b/>
          <w:u w:val="single"/>
        </w:rPr>
        <w:t>polyhalogénés</w:t>
      </w:r>
      <w:proofErr w:type="spellEnd"/>
      <w:r w:rsidRPr="00970CA2">
        <w:rPr>
          <w:b/>
          <w:u w:val="single"/>
        </w:rPr>
        <w:t xml:space="preserve">, de </w:t>
      </w:r>
      <w:proofErr w:type="spellStart"/>
      <w:r w:rsidRPr="00970CA2">
        <w:rPr>
          <w:b/>
          <w:u w:val="single"/>
        </w:rPr>
        <w:t>monométhyldiphénylméthanes</w:t>
      </w:r>
      <w:proofErr w:type="spellEnd"/>
      <w:r w:rsidRPr="00970CA2">
        <w:rPr>
          <w:b/>
          <w:u w:val="single"/>
        </w:rPr>
        <w:t xml:space="preserve"> halogénés ou de </w:t>
      </w:r>
      <w:proofErr w:type="spellStart"/>
      <w:r w:rsidRPr="00970CA2">
        <w:rPr>
          <w:b/>
          <w:u w:val="single"/>
        </w:rPr>
        <w:t>terphényles</w:t>
      </w:r>
      <w:proofErr w:type="spellEnd"/>
      <w:r w:rsidRPr="00970CA2">
        <w:rPr>
          <w:b/>
          <w:u w:val="single"/>
        </w:rPr>
        <w:t xml:space="preserve"> </w:t>
      </w:r>
      <w:proofErr w:type="spellStart"/>
      <w:r w:rsidRPr="00970CA2">
        <w:rPr>
          <w:b/>
          <w:u w:val="single"/>
        </w:rPr>
        <w:t>polyh</w:t>
      </w:r>
      <w:r w:rsidR="00947A43">
        <w:rPr>
          <w:b/>
          <w:u w:val="single"/>
        </w:rPr>
        <w:t>alogénés</w:t>
      </w:r>
      <w:proofErr w:type="spellEnd"/>
      <w:r w:rsidR="00947A43">
        <w:rPr>
          <w:b/>
          <w:u w:val="single"/>
        </w:rPr>
        <w:t xml:space="preserve"> (ONU 3151 et ONU 3152) ; et</w:t>
      </w:r>
    </w:p>
    <w:p w14:paraId="3F6CB6E3" w14:textId="77777777" w:rsidR="00947A43" w:rsidRDefault="00947A43" w:rsidP="00A15B81">
      <w:pPr>
        <w:spacing w:after="200"/>
        <w:ind w:left="1701" w:right="1134"/>
        <w:jc w:val="both"/>
        <w:rPr>
          <w:b/>
          <w:u w:val="single"/>
        </w:rPr>
      </w:pPr>
      <w:r>
        <w:rPr>
          <w:b/>
          <w:u w:val="single"/>
        </w:rPr>
        <w:t>-</w:t>
      </w:r>
      <w:r>
        <w:rPr>
          <w:b/>
          <w:u w:val="single"/>
        </w:rPr>
        <w:tab/>
      </w:r>
      <w:r w:rsidRPr="00970CA2">
        <w:rPr>
          <w:b/>
          <w:u w:val="single"/>
        </w:rPr>
        <w:t xml:space="preserve">Les emballages mis au rebut, vides, non nettoyés souillés de résidus qui présentent un </w:t>
      </w:r>
      <w:proofErr w:type="gramStart"/>
      <w:r w:rsidRPr="00970CA2">
        <w:rPr>
          <w:b/>
          <w:u w:val="single"/>
        </w:rPr>
        <w:t>danger </w:t>
      </w:r>
      <w:r w:rsidRPr="00970CA2" w:rsidDel="009A73DC">
        <w:rPr>
          <w:b/>
          <w:u w:val="single"/>
        </w:rPr>
        <w:t xml:space="preserve"> </w:t>
      </w:r>
      <w:r w:rsidRPr="00970CA2">
        <w:rPr>
          <w:b/>
          <w:u w:val="single"/>
        </w:rPr>
        <w:t>principal</w:t>
      </w:r>
      <w:proofErr w:type="gramEnd"/>
      <w:r w:rsidRPr="00970CA2">
        <w:rPr>
          <w:b/>
          <w:u w:val="single"/>
        </w:rPr>
        <w:t xml:space="preserve"> ou subsidiaire de </w:t>
      </w:r>
      <w:r>
        <w:rPr>
          <w:b/>
          <w:u w:val="single"/>
        </w:rPr>
        <w:t>division</w:t>
      </w:r>
      <w:r w:rsidRPr="00970CA2">
        <w:rPr>
          <w:b/>
          <w:u w:val="single"/>
        </w:rPr>
        <w:t> 5.1 ne doivent pas être emballés avec d’autres emballages mis au rebut, vides, non nettoyés, ni chargés en même temps que d’autres emballages mis au rebut, vides, non nettoyés dans le même conteneur, véhicule ou conteneur pour vrac</w:t>
      </w:r>
      <w:r>
        <w:rPr>
          <w:b/>
          <w:u w:val="single"/>
        </w:rPr>
        <w:t> ;</w:t>
      </w:r>
    </w:p>
    <w:p w14:paraId="48B0FE07" w14:textId="77777777" w:rsidR="00322181" w:rsidRPr="00970CA2" w:rsidRDefault="00947A43" w:rsidP="00A15B81">
      <w:pPr>
        <w:spacing w:after="200"/>
        <w:ind w:left="1701" w:right="1134"/>
        <w:jc w:val="both"/>
        <w:rPr>
          <w:b/>
          <w:u w:val="single"/>
        </w:rPr>
      </w:pPr>
      <w:r>
        <w:rPr>
          <w:b/>
          <w:u w:val="single"/>
        </w:rPr>
        <w:lastRenderedPageBreak/>
        <w:t>-</w:t>
      </w:r>
      <w:r>
        <w:rPr>
          <w:b/>
          <w:u w:val="single"/>
        </w:rPr>
        <w:tab/>
      </w:r>
      <w:r w:rsidRPr="00947A43">
        <w:rPr>
          <w:b/>
          <w:u w:val="single"/>
        </w:rPr>
        <w:t xml:space="preserve"> </w:t>
      </w:r>
      <w:r w:rsidRPr="00970CA2">
        <w:rPr>
          <w:b/>
          <w:u w:val="single"/>
        </w:rPr>
        <w:t xml:space="preserve">Des procédures de tri documentées doivent être mises en œuvre sur le site de chargement afin d’assurer que les prescriptions applicables sont </w:t>
      </w:r>
      <w:proofErr w:type="gramStart"/>
      <w:r w:rsidRPr="00970CA2">
        <w:rPr>
          <w:b/>
          <w:u w:val="single"/>
        </w:rPr>
        <w:t>satisfaites</w:t>
      </w:r>
      <w:r>
        <w:rPr>
          <w:b/>
          <w:u w:val="single"/>
        </w:rPr>
        <w:t> .</w:t>
      </w:r>
      <w:proofErr w:type="gramEnd"/>
      <w:r>
        <w:rPr>
          <w:b/>
          <w:u w:val="single"/>
        </w:rPr>
        <w:t>».</w:t>
      </w:r>
    </w:p>
    <w:p w14:paraId="490E2B08" w14:textId="77777777" w:rsidR="00091BA9" w:rsidRDefault="00091BA9" w:rsidP="004D6446">
      <w:pPr>
        <w:pStyle w:val="SingleTxtG"/>
        <w:numPr>
          <w:ilvl w:val="0"/>
          <w:numId w:val="23"/>
        </w:numPr>
      </w:pPr>
      <w:r>
        <w:t xml:space="preserve">Modifier la disposition spéciale 374 comme suit (texte ajouté </w:t>
      </w:r>
      <w:r w:rsidRPr="0037434C">
        <w:rPr>
          <w:b/>
          <w:bCs/>
          <w:u w:val="single"/>
        </w:rPr>
        <w:t>souligné en gras</w:t>
      </w:r>
      <w:r>
        <w:t>) </w:t>
      </w:r>
    </w:p>
    <w:p w14:paraId="3F95BF9A" w14:textId="77777777" w:rsidR="00091BA9" w:rsidRDefault="004D6446" w:rsidP="00A15B81">
      <w:pPr>
        <w:pStyle w:val="SingleTxtG"/>
        <w:ind w:left="1701"/>
      </w:pPr>
      <w:r>
        <w:t>« </w:t>
      </w:r>
      <w:r w:rsidR="00091BA9" w:rsidRPr="002E1B9C">
        <w:t>374 Cette rubrique ne doit être utilisée</w:t>
      </w:r>
      <w:r w:rsidR="008C267A">
        <w:t xml:space="preserve"> </w:t>
      </w:r>
      <w:r w:rsidR="00947A43">
        <w:t>[</w:t>
      </w:r>
      <w:r w:rsidR="00091BA9" w:rsidRPr="002E1B9C">
        <w:t>, tel qu’autorisé par l’autorité compétente,</w:t>
      </w:r>
      <w:r w:rsidR="00947A43">
        <w:t>]</w:t>
      </w:r>
      <w:r w:rsidR="00091BA9" w:rsidRPr="002E1B9C">
        <w:t xml:space="preserve"> que </w:t>
      </w:r>
      <w:r w:rsidR="008C267A">
        <w:t xml:space="preserve">pour </w:t>
      </w:r>
      <w:r w:rsidR="008C267A" w:rsidRPr="008C267A">
        <w:t>des emballages, des grands e</w:t>
      </w:r>
      <w:bookmarkStart w:id="0" w:name="_GoBack"/>
      <w:bookmarkEnd w:id="0"/>
      <w:r w:rsidR="008C267A" w:rsidRPr="008C267A">
        <w:t>mballages ou des grands récipients pour vrac (GRV), ou des parties de ceux-ci,</w:t>
      </w:r>
      <w:r w:rsidR="008C267A" w:rsidRPr="00970CA2">
        <w:rPr>
          <w:b/>
          <w:u w:val="single"/>
        </w:rPr>
        <w:t xml:space="preserve"> </w:t>
      </w:r>
      <w:r w:rsidR="008C267A">
        <w:rPr>
          <w:b/>
          <w:u w:val="single"/>
        </w:rPr>
        <w:t xml:space="preserve">qui ne sont pas transportés </w:t>
      </w:r>
      <w:r w:rsidR="008C267A" w:rsidRPr="00EC1F55">
        <w:t>à des fins de reconditionnement, de réparation, d’entretien de routine, de reconstruction ou de réutilisation,</w:t>
      </w:r>
      <w:r w:rsidR="008C267A">
        <w:rPr>
          <w:sz w:val="22"/>
          <w:szCs w:val="22"/>
        </w:rPr>
        <w:t xml:space="preserve"> </w:t>
      </w:r>
      <w:r w:rsidR="00CD03B5" w:rsidRPr="008C267A">
        <w:rPr>
          <w:b/>
          <w:u w:val="single"/>
        </w:rPr>
        <w:t>dans les conditions prévues au 4.1.1.11</w:t>
      </w:r>
      <w:r w:rsidR="00947A43" w:rsidRPr="008C267A">
        <w:rPr>
          <w:b/>
          <w:u w:val="single"/>
        </w:rPr>
        <w:t>.2</w:t>
      </w:r>
      <w:r w:rsidR="00CD03B5">
        <w:t>.</w:t>
      </w:r>
      <w:r>
        <w:t> »</w:t>
      </w:r>
    </w:p>
    <w:p w14:paraId="6EE44DC9" w14:textId="77777777" w:rsidR="008C267A" w:rsidRPr="0037434C" w:rsidRDefault="00C309B6" w:rsidP="00A15B81">
      <w:pPr>
        <w:pStyle w:val="SingleTxtG"/>
        <w:ind w:left="1701"/>
        <w:rPr>
          <w:i/>
          <w:iCs/>
        </w:rPr>
      </w:pPr>
      <w:r w:rsidRPr="0037434C">
        <w:rPr>
          <w:i/>
          <w:iCs/>
        </w:rPr>
        <w:t xml:space="preserve">(Remarque : </w:t>
      </w:r>
      <w:r w:rsidR="008C267A" w:rsidRPr="0037434C">
        <w:rPr>
          <w:i/>
          <w:iCs/>
        </w:rPr>
        <w:t>les mots entre crochets « [, tel qu’autorisé par l’autorité compétente,] » semblent inutiles dans le cadre d</w:t>
      </w:r>
      <w:r w:rsidR="00EC1F55" w:rsidRPr="0037434C">
        <w:rPr>
          <w:i/>
          <w:iCs/>
        </w:rPr>
        <w:t>e</w:t>
      </w:r>
      <w:r w:rsidR="008C267A" w:rsidRPr="0037434C">
        <w:rPr>
          <w:i/>
          <w:iCs/>
        </w:rPr>
        <w:t xml:space="preserve"> </w:t>
      </w:r>
      <w:r w:rsidR="00EC1F55" w:rsidRPr="0037434C">
        <w:rPr>
          <w:i/>
          <w:iCs/>
        </w:rPr>
        <w:t>l’A</w:t>
      </w:r>
      <w:r w:rsidR="008C267A" w:rsidRPr="0037434C">
        <w:rPr>
          <w:i/>
          <w:iCs/>
        </w:rPr>
        <w:t xml:space="preserve">DR étant donné que les textes proposés reprennent intégralement ce qui figure dans la </w:t>
      </w:r>
      <w:r w:rsidR="0037434C">
        <w:rPr>
          <w:i/>
          <w:iCs/>
        </w:rPr>
        <w:t>disposition spéciale</w:t>
      </w:r>
      <w:r w:rsidR="008C267A" w:rsidRPr="0037434C">
        <w:rPr>
          <w:i/>
          <w:iCs/>
        </w:rPr>
        <w:t xml:space="preserve"> 663</w:t>
      </w:r>
      <w:r w:rsidR="00EC1F55" w:rsidRPr="0037434C">
        <w:rPr>
          <w:i/>
          <w:iCs/>
        </w:rPr>
        <w:t xml:space="preserve"> de l’ADR)</w:t>
      </w:r>
      <w:r w:rsidR="008C267A" w:rsidRPr="0037434C">
        <w:rPr>
          <w:i/>
          <w:iCs/>
        </w:rPr>
        <w:t>.</w:t>
      </w:r>
    </w:p>
    <w:p w14:paraId="478905DD" w14:textId="77777777" w:rsidR="00924EAE" w:rsidRPr="00A15B81" w:rsidRDefault="008C267A" w:rsidP="00A15B81">
      <w:pPr>
        <w:spacing w:before="240"/>
        <w:jc w:val="center"/>
        <w:rPr>
          <w:u w:val="single"/>
        </w:rPr>
      </w:pPr>
      <w:r>
        <w:tab/>
      </w:r>
      <w:r>
        <w:tab/>
      </w:r>
      <w:r w:rsidR="00A15B81">
        <w:rPr>
          <w:u w:val="single"/>
        </w:rPr>
        <w:tab/>
      </w:r>
      <w:r w:rsidR="00A15B81">
        <w:rPr>
          <w:u w:val="single"/>
        </w:rPr>
        <w:tab/>
      </w:r>
      <w:r w:rsidR="00A15B81">
        <w:rPr>
          <w:u w:val="single"/>
        </w:rPr>
        <w:tab/>
      </w:r>
    </w:p>
    <w:p w14:paraId="6EB2D436" w14:textId="77777777" w:rsidR="00B31474" w:rsidRDefault="00B31474">
      <w:pPr>
        <w:pStyle w:val="SingleTxtG"/>
        <w:spacing w:before="240" w:after="0"/>
        <w:jc w:val="center"/>
        <w:rPr>
          <w:u w:val="single"/>
        </w:rPr>
      </w:pPr>
    </w:p>
    <w:sectPr w:rsidR="00B31474">
      <w:headerReference w:type="even" r:id="rId9"/>
      <w:headerReference w:type="default" r:id="rId10"/>
      <w:footerReference w:type="even" r:id="rId11"/>
      <w:footerReference w:type="default" r:id="rId12"/>
      <w:headerReference w:type="firs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5814A" w14:textId="77777777" w:rsidR="00D13709" w:rsidRDefault="00D13709"/>
  </w:endnote>
  <w:endnote w:type="continuationSeparator" w:id="0">
    <w:p w14:paraId="3EEB9A20" w14:textId="77777777" w:rsidR="00D13709" w:rsidRDefault="00D13709"/>
  </w:endnote>
  <w:endnote w:type="continuationNotice" w:id="1">
    <w:p w14:paraId="499FE556" w14:textId="77777777" w:rsidR="00D13709" w:rsidRDefault="00D13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DA821" w14:textId="77777777" w:rsidR="007C2370" w:rsidRDefault="007C237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490D14">
      <w:rPr>
        <w:b/>
        <w:noProof/>
        <w:sz w:val="18"/>
      </w:rPr>
      <w:t>2</w:t>
    </w:r>
    <w:r>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7EEE4" w14:textId="77777777" w:rsidR="007C2370" w:rsidRDefault="007C2370">
    <w:pPr>
      <w:pStyle w:val="Footer"/>
      <w:tabs>
        <w:tab w:val="right" w:pos="9638"/>
      </w:tabs>
      <w:rPr>
        <w:sz w:val="18"/>
      </w:rPr>
    </w:pPr>
    <w:r>
      <w:tab/>
    </w:r>
    <w:r>
      <w:rPr>
        <w:b/>
        <w:sz w:val="18"/>
      </w:rPr>
      <w:fldChar w:fldCharType="begin"/>
    </w:r>
    <w:r>
      <w:rPr>
        <w:b/>
        <w:sz w:val="18"/>
      </w:rPr>
      <w:instrText xml:space="preserve"> PAGE  \* MERGEFORMAT </w:instrText>
    </w:r>
    <w:r>
      <w:rPr>
        <w:b/>
        <w:sz w:val="18"/>
      </w:rPr>
      <w:fldChar w:fldCharType="separate"/>
    </w:r>
    <w:r w:rsidR="00C309B6">
      <w:rPr>
        <w:b/>
        <w:noProof/>
        <w:sz w:val="18"/>
      </w:rPr>
      <w:t>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AF630" w14:textId="77777777" w:rsidR="00D13709" w:rsidRDefault="00D13709">
      <w:pPr>
        <w:tabs>
          <w:tab w:val="right" w:pos="2155"/>
        </w:tabs>
        <w:spacing w:after="80"/>
        <w:ind w:left="680"/>
        <w:rPr>
          <w:u w:val="single"/>
        </w:rPr>
      </w:pPr>
      <w:r>
        <w:rPr>
          <w:u w:val="single"/>
        </w:rPr>
        <w:tab/>
      </w:r>
    </w:p>
  </w:footnote>
  <w:footnote w:type="continuationSeparator" w:id="0">
    <w:p w14:paraId="40880B77" w14:textId="77777777" w:rsidR="00D13709" w:rsidRDefault="00D13709">
      <w:pPr>
        <w:tabs>
          <w:tab w:val="left" w:pos="2155"/>
        </w:tabs>
        <w:spacing w:after="80"/>
        <w:ind w:left="680"/>
        <w:rPr>
          <w:u w:val="single"/>
        </w:rPr>
      </w:pPr>
      <w:r>
        <w:rPr>
          <w:u w:val="single"/>
        </w:rPr>
        <w:tab/>
      </w:r>
    </w:p>
  </w:footnote>
  <w:footnote w:type="continuationNotice" w:id="1">
    <w:p w14:paraId="506CD940" w14:textId="77777777" w:rsidR="00D13709" w:rsidRDefault="00D13709"/>
  </w:footnote>
  <w:footnote w:id="2">
    <w:p w14:paraId="2EA2DAA6" w14:textId="77777777" w:rsidR="00C3425D" w:rsidRDefault="00C3425D" w:rsidP="00C3425D">
      <w:pPr>
        <w:pStyle w:val="FootnoteText"/>
        <w:tabs>
          <w:tab w:val="left" w:pos="1418"/>
        </w:tabs>
        <w:ind w:firstLine="0"/>
      </w:pPr>
      <w:r>
        <w:rPr>
          <w:rStyle w:val="FootnoteReference"/>
        </w:rPr>
        <w:footnoteRef/>
      </w:r>
      <w:r>
        <w:tab/>
      </w:r>
      <w:r w:rsidR="005402AB" w:rsidRPr="00BB2688">
        <w:rPr>
          <w:spacing w:val="-2"/>
          <w:lang w:val="fr-FR"/>
        </w:rPr>
        <w:t>Conformément au programme de travail du Sous-Comi</w:t>
      </w:r>
      <w:r w:rsidR="005402AB">
        <w:rPr>
          <w:spacing w:val="-2"/>
          <w:lang w:val="fr-FR"/>
        </w:rPr>
        <w:t>té pour la période biennale 2019-2020</w:t>
      </w:r>
      <w:r w:rsidR="005402AB" w:rsidRPr="00BB2688">
        <w:rPr>
          <w:spacing w:val="-2"/>
          <w:lang w:val="fr-FR"/>
        </w:rPr>
        <w:t xml:space="preserve">, approuvé par le Comité à sa </w:t>
      </w:r>
      <w:r w:rsidR="005402AB">
        <w:rPr>
          <w:spacing w:val="-2"/>
          <w:lang w:val="fr-FR"/>
        </w:rPr>
        <w:t>neuvième</w:t>
      </w:r>
      <w:r w:rsidR="005402AB" w:rsidRPr="00BB2688">
        <w:rPr>
          <w:spacing w:val="-2"/>
          <w:lang w:val="fr-FR"/>
        </w:rPr>
        <w:t xml:space="preserve"> session (voir ST/SG/AC.10/C.3/</w:t>
      </w:r>
      <w:r w:rsidR="005402AB">
        <w:rPr>
          <w:spacing w:val="-2"/>
          <w:lang w:val="fr-FR"/>
        </w:rPr>
        <w:t>108, par. 141, et ST/SG/AC.10/46, par. 14</w:t>
      </w:r>
      <w:r w:rsidR="005402AB" w:rsidRPr="00BB2688">
        <w:rPr>
          <w:spacing w:val="-2"/>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0515D" w14:textId="77777777" w:rsidR="007C2370" w:rsidRDefault="007C2370">
    <w:pPr>
      <w:pStyle w:val="Header"/>
      <w:rPr>
        <w:lang w:val="en-US"/>
      </w:rPr>
    </w:pPr>
    <w:r>
      <w:rPr>
        <w:lang w:val="en-US"/>
      </w:rPr>
      <w:t>S</w:t>
    </w:r>
    <w:r w:rsidR="00AB7366">
      <w:rPr>
        <w:lang w:val="en-US"/>
      </w:rPr>
      <w:t>T/SG/AC.10/C.3/201</w:t>
    </w:r>
    <w:r w:rsidR="005402AB">
      <w:rPr>
        <w:lang w:val="en-US"/>
      </w:rPr>
      <w:t>9</w:t>
    </w:r>
    <w:r>
      <w:rPr>
        <w:lang w:val="en-US"/>
      </w:rPr>
      <w:t>/</w:t>
    </w:r>
    <w:r w:rsidR="005402AB">
      <w:rPr>
        <w:lang w:val="en-US"/>
      </w:rPr>
      <w:t>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5F5E2" w14:textId="77777777" w:rsidR="007C2370" w:rsidRDefault="00663195">
    <w:pPr>
      <w:pStyle w:val="Header"/>
      <w:jc w:val="right"/>
      <w:rPr>
        <w:lang w:val="en-US"/>
      </w:rPr>
    </w:pPr>
    <w:r>
      <w:rPr>
        <w:lang w:val="en-US"/>
      </w:rPr>
      <w:t>ST/SG/AC.10/C.3/201</w:t>
    </w:r>
    <w:r w:rsidR="005402AB">
      <w:rPr>
        <w:lang w:val="en-US"/>
      </w:rPr>
      <w:t>9</w:t>
    </w:r>
    <w:r>
      <w:rPr>
        <w:lang w:val="en-US"/>
      </w:rPr>
      <w:t>/</w:t>
    </w:r>
    <w:r w:rsidR="005402AB">
      <w:rPr>
        <w:lang w:val="en-US"/>
      </w:rPr>
      <w:t>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B33A4" w14:textId="77777777" w:rsidR="007C2370" w:rsidRDefault="007C2370" w:rsidP="00C3425D">
    <w:pPr>
      <w:pStyle w:val="Heade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5"/>
      <w:numFmt w:val="bullet"/>
      <w:lvlText w:val="-"/>
      <w:lvlJc w:val="left"/>
      <w:pPr>
        <w:tabs>
          <w:tab w:val="num" w:pos="2771"/>
        </w:tabs>
        <w:ind w:left="2771" w:hanging="360"/>
      </w:pPr>
      <w:rPr>
        <w:rFonts w:ascii="Times New Roman" w:hAnsi="Times New Roman" w:cs="Times New Roman"/>
      </w:rPr>
    </w:lvl>
  </w:abstractNum>
  <w:abstractNum w:abstractNumId="1" w15:restartNumberingAfterBreak="0">
    <w:nsid w:val="00000004"/>
    <w:multiLevelType w:val="singleLevel"/>
    <w:tmpl w:val="00000004"/>
    <w:name w:val="WW8Num7"/>
    <w:lvl w:ilvl="0">
      <w:start w:val="2"/>
      <w:numFmt w:val="lowerRoman"/>
      <w:lvlText w:val="(%1)"/>
      <w:lvlJc w:val="left"/>
      <w:pPr>
        <w:tabs>
          <w:tab w:val="num" w:pos="3131"/>
        </w:tabs>
        <w:ind w:left="3131" w:hanging="720"/>
      </w:pPr>
    </w:lvl>
  </w:abstractNum>
  <w:abstractNum w:abstractNumId="2"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EBE41F9"/>
    <w:multiLevelType w:val="multilevel"/>
    <w:tmpl w:val="9CFC1C9A"/>
    <w:lvl w:ilvl="0">
      <w:start w:val="2"/>
      <w:numFmt w:val="lowerRoman"/>
      <w:lvlText w:val="(%1)"/>
      <w:lvlJc w:val="left"/>
      <w:pPr>
        <w:tabs>
          <w:tab w:val="num" w:pos="1080"/>
        </w:tabs>
        <w:ind w:left="1080" w:hanging="720"/>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5156DAD"/>
    <w:multiLevelType w:val="hybridMultilevel"/>
    <w:tmpl w:val="6BE22A60"/>
    <w:lvl w:ilvl="0" w:tplc="89588D54">
      <w:start w:val="9"/>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6" w15:restartNumberingAfterBreak="0">
    <w:nsid w:val="1B4C6716"/>
    <w:multiLevelType w:val="hybridMultilevel"/>
    <w:tmpl w:val="DD385F0C"/>
    <w:lvl w:ilvl="0" w:tplc="F64C8474">
      <w:start w:val="1"/>
      <w:numFmt w:val="decimal"/>
      <w:lvlText w:val="%1."/>
      <w:lvlJc w:val="left"/>
      <w:pPr>
        <w:ind w:left="1710" w:hanging="576"/>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1FCE6890"/>
    <w:multiLevelType w:val="hybridMultilevel"/>
    <w:tmpl w:val="588677BE"/>
    <w:lvl w:ilvl="0" w:tplc="FC5260B4">
      <w:start w:val="1"/>
      <w:numFmt w:val="decimal"/>
      <w:lvlText w:val="%1."/>
      <w:lvlJc w:val="left"/>
      <w:pPr>
        <w:ind w:left="1704" w:hanging="570"/>
      </w:pPr>
      <w:rPr>
        <w:rFonts w:hint="default"/>
      </w:rPr>
    </w:lvl>
    <w:lvl w:ilvl="1" w:tplc="04090019">
      <w:start w:val="1"/>
      <w:numFmt w:val="lowerLetter"/>
      <w:lvlText w:val="%2."/>
      <w:lvlJc w:val="left"/>
      <w:pPr>
        <w:ind w:left="305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28FE6458"/>
    <w:multiLevelType w:val="hybridMultilevel"/>
    <w:tmpl w:val="4C4A47A8"/>
    <w:lvl w:ilvl="0" w:tplc="7A28CF46">
      <w:start w:val="8"/>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9" w15:restartNumberingAfterBreak="0">
    <w:nsid w:val="30892B70"/>
    <w:multiLevelType w:val="hybridMultilevel"/>
    <w:tmpl w:val="E8CC56C0"/>
    <w:lvl w:ilvl="0" w:tplc="9A7AE07A">
      <w:start w:val="5"/>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1" w15:restartNumberingAfterBreak="0">
    <w:nsid w:val="3C6C4A17"/>
    <w:multiLevelType w:val="hybridMultilevel"/>
    <w:tmpl w:val="1954FCD6"/>
    <w:lvl w:ilvl="0" w:tplc="3D3469FA">
      <w:start w:val="1"/>
      <w:numFmt w:val="lowerRoman"/>
      <w:lvlText w:val="(%1)"/>
      <w:lvlJc w:val="left"/>
      <w:pPr>
        <w:tabs>
          <w:tab w:val="num" w:pos="1080"/>
        </w:tabs>
        <w:ind w:left="1080" w:hanging="720"/>
      </w:pPr>
      <w:rPr>
        <w:rFonts w:cs="Aria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40164AD2"/>
    <w:multiLevelType w:val="hybridMultilevel"/>
    <w:tmpl w:val="30A6C164"/>
    <w:lvl w:ilvl="0" w:tplc="CFF0ADDA">
      <w:start w:val="1"/>
      <w:numFmt w:val="lowerLetter"/>
      <w:lvlText w:val="%1)"/>
      <w:lvlJc w:val="left"/>
      <w:pPr>
        <w:tabs>
          <w:tab w:val="num" w:pos="2775"/>
        </w:tabs>
        <w:ind w:left="2775" w:hanging="360"/>
      </w:pPr>
      <w:rPr>
        <w:rFonts w:hint="default"/>
      </w:rPr>
    </w:lvl>
    <w:lvl w:ilvl="1" w:tplc="040C0019" w:tentative="1">
      <w:start w:val="1"/>
      <w:numFmt w:val="lowerLetter"/>
      <w:lvlText w:val="%2."/>
      <w:lvlJc w:val="left"/>
      <w:pPr>
        <w:tabs>
          <w:tab w:val="num" w:pos="3495"/>
        </w:tabs>
        <w:ind w:left="3495" w:hanging="360"/>
      </w:pPr>
    </w:lvl>
    <w:lvl w:ilvl="2" w:tplc="040C001B" w:tentative="1">
      <w:start w:val="1"/>
      <w:numFmt w:val="lowerRoman"/>
      <w:lvlText w:val="%3."/>
      <w:lvlJc w:val="right"/>
      <w:pPr>
        <w:tabs>
          <w:tab w:val="num" w:pos="4215"/>
        </w:tabs>
        <w:ind w:left="4215" w:hanging="180"/>
      </w:pPr>
    </w:lvl>
    <w:lvl w:ilvl="3" w:tplc="040C000F" w:tentative="1">
      <w:start w:val="1"/>
      <w:numFmt w:val="decimal"/>
      <w:lvlText w:val="%4."/>
      <w:lvlJc w:val="left"/>
      <w:pPr>
        <w:tabs>
          <w:tab w:val="num" w:pos="4935"/>
        </w:tabs>
        <w:ind w:left="4935" w:hanging="360"/>
      </w:pPr>
    </w:lvl>
    <w:lvl w:ilvl="4" w:tplc="040C0019" w:tentative="1">
      <w:start w:val="1"/>
      <w:numFmt w:val="lowerLetter"/>
      <w:lvlText w:val="%5."/>
      <w:lvlJc w:val="left"/>
      <w:pPr>
        <w:tabs>
          <w:tab w:val="num" w:pos="5655"/>
        </w:tabs>
        <w:ind w:left="5655" w:hanging="360"/>
      </w:pPr>
    </w:lvl>
    <w:lvl w:ilvl="5" w:tplc="040C001B" w:tentative="1">
      <w:start w:val="1"/>
      <w:numFmt w:val="lowerRoman"/>
      <w:lvlText w:val="%6."/>
      <w:lvlJc w:val="right"/>
      <w:pPr>
        <w:tabs>
          <w:tab w:val="num" w:pos="6375"/>
        </w:tabs>
        <w:ind w:left="6375" w:hanging="180"/>
      </w:pPr>
    </w:lvl>
    <w:lvl w:ilvl="6" w:tplc="040C000F" w:tentative="1">
      <w:start w:val="1"/>
      <w:numFmt w:val="decimal"/>
      <w:lvlText w:val="%7."/>
      <w:lvlJc w:val="left"/>
      <w:pPr>
        <w:tabs>
          <w:tab w:val="num" w:pos="7095"/>
        </w:tabs>
        <w:ind w:left="7095" w:hanging="360"/>
      </w:pPr>
    </w:lvl>
    <w:lvl w:ilvl="7" w:tplc="040C0019" w:tentative="1">
      <w:start w:val="1"/>
      <w:numFmt w:val="lowerLetter"/>
      <w:lvlText w:val="%8."/>
      <w:lvlJc w:val="left"/>
      <w:pPr>
        <w:tabs>
          <w:tab w:val="num" w:pos="7815"/>
        </w:tabs>
        <w:ind w:left="7815" w:hanging="360"/>
      </w:pPr>
    </w:lvl>
    <w:lvl w:ilvl="8" w:tplc="040C001B" w:tentative="1">
      <w:start w:val="1"/>
      <w:numFmt w:val="lowerRoman"/>
      <w:lvlText w:val="%9."/>
      <w:lvlJc w:val="right"/>
      <w:pPr>
        <w:tabs>
          <w:tab w:val="num" w:pos="8535"/>
        </w:tabs>
        <w:ind w:left="8535" w:hanging="180"/>
      </w:pPr>
    </w:lvl>
  </w:abstractNum>
  <w:abstractNum w:abstractNumId="13" w15:restartNumberingAfterBreak="0">
    <w:nsid w:val="45187CC0"/>
    <w:multiLevelType w:val="hybridMultilevel"/>
    <w:tmpl w:val="6BE22A60"/>
    <w:lvl w:ilvl="0" w:tplc="89588D54">
      <w:start w:val="9"/>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4" w15:restartNumberingAfterBreak="0">
    <w:nsid w:val="459A69C6"/>
    <w:multiLevelType w:val="hybridMultilevel"/>
    <w:tmpl w:val="E2F2D80C"/>
    <w:lvl w:ilvl="0" w:tplc="2394601E">
      <w:start w:val="1"/>
      <w:numFmt w:val="decimal"/>
      <w:lvlText w:val="%1."/>
      <w:lvlJc w:val="left"/>
      <w:pPr>
        <w:ind w:left="1734" w:hanging="60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5A83202E"/>
    <w:multiLevelType w:val="hybridMultilevel"/>
    <w:tmpl w:val="087E3266"/>
    <w:lvl w:ilvl="0" w:tplc="B7D26494">
      <w:start w:val="1"/>
      <w:numFmt w:val="decimal"/>
      <w:lvlText w:val="%1."/>
      <w:lvlJc w:val="left"/>
      <w:pPr>
        <w:tabs>
          <w:tab w:val="num" w:pos="1689"/>
        </w:tabs>
        <w:ind w:left="1689" w:hanging="555"/>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6" w15:restartNumberingAfterBreak="0">
    <w:nsid w:val="68AD07B2"/>
    <w:multiLevelType w:val="hybridMultilevel"/>
    <w:tmpl w:val="F67EDAEE"/>
    <w:lvl w:ilvl="0" w:tplc="69602098">
      <w:start w:val="1"/>
      <w:numFmt w:val="lowerLetter"/>
      <w:pStyle w:val="Bullet1G"/>
      <w:lvlText w:val="(%1)"/>
      <w:lvlJc w:val="left"/>
      <w:pPr>
        <w:tabs>
          <w:tab w:val="num" w:pos="1701"/>
        </w:tabs>
        <w:ind w:left="1701" w:hanging="170"/>
      </w:pPr>
      <w:rPr>
        <w:rFonts w:ascii="Times New Roman" w:eastAsia="Times New Roman" w:hAnsi="Times New Roman" w:cs="Times New Roman"/>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0177220"/>
    <w:multiLevelType w:val="hybridMultilevel"/>
    <w:tmpl w:val="4948A01E"/>
    <w:lvl w:ilvl="0" w:tplc="E8D4B2A8">
      <w:start w:val="1"/>
      <w:numFmt w:val="decimal"/>
      <w:lvlText w:val="%1."/>
      <w:lvlJc w:val="left"/>
      <w:pPr>
        <w:ind w:left="1710" w:hanging="576"/>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8" w15:restartNumberingAfterBreak="0">
    <w:nsid w:val="71C60DE8"/>
    <w:multiLevelType w:val="hybridMultilevel"/>
    <w:tmpl w:val="6A14144A"/>
    <w:lvl w:ilvl="0" w:tplc="FB208D76">
      <w:start w:val="6"/>
      <w:numFmt w:val="bullet"/>
      <w:lvlText w:val="-"/>
      <w:lvlJc w:val="left"/>
      <w:pPr>
        <w:tabs>
          <w:tab w:val="num" w:pos="1211"/>
        </w:tabs>
        <w:ind w:left="1211" w:hanging="360"/>
      </w:pPr>
      <w:rPr>
        <w:rFonts w:ascii="Times New Roman" w:eastAsia="Times New Roman" w:hAnsi="Times New Roman" w:cs="Times New Roman" w:hint="default"/>
      </w:rPr>
    </w:lvl>
    <w:lvl w:ilvl="1" w:tplc="040C0003" w:tentative="1">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19" w15:restartNumberingAfterBreak="0">
    <w:nsid w:val="766E1B63"/>
    <w:multiLevelType w:val="hybridMultilevel"/>
    <w:tmpl w:val="5B288170"/>
    <w:lvl w:ilvl="0" w:tplc="0DBEB288">
      <w:start w:val="2"/>
      <w:numFmt w:val="lowerRoman"/>
      <w:lvlText w:val="(%1)"/>
      <w:lvlJc w:val="left"/>
      <w:pPr>
        <w:tabs>
          <w:tab w:val="num" w:pos="1080"/>
        </w:tabs>
        <w:ind w:left="1080" w:hanging="720"/>
      </w:pPr>
      <w:rPr>
        <w:rFonts w:cs="Arial"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0"/>
  </w:num>
  <w:num w:numId="4">
    <w:abstractNumId w:val="1"/>
  </w:num>
  <w:num w:numId="5">
    <w:abstractNumId w:val="2"/>
  </w:num>
  <w:num w:numId="6">
    <w:abstractNumId w:val="9"/>
  </w:num>
  <w:num w:numId="7">
    <w:abstractNumId w:val="15"/>
  </w:num>
  <w:num w:numId="8">
    <w:abstractNumId w:val="18"/>
  </w:num>
  <w:num w:numId="9">
    <w:abstractNumId w:val="12"/>
  </w:num>
  <w:num w:numId="10">
    <w:abstractNumId w:val="19"/>
  </w:num>
  <w:num w:numId="11">
    <w:abstractNumId w:val="11"/>
  </w:num>
  <w:num w:numId="12">
    <w:abstractNumId w:val="16"/>
  </w:num>
  <w:num w:numId="13">
    <w:abstractNumId w:val="16"/>
  </w:num>
  <w:num w:numId="14">
    <w:abstractNumId w:val="16"/>
  </w:num>
  <w:num w:numId="15">
    <w:abstractNumId w:val="4"/>
  </w:num>
  <w:num w:numId="16">
    <w:abstractNumId w:val="6"/>
  </w:num>
  <w:num w:numId="17">
    <w:abstractNumId w:val="14"/>
  </w:num>
  <w:num w:numId="18">
    <w:abstractNumId w:val="3"/>
  </w:num>
  <w:num w:numId="19">
    <w:abstractNumId w:val="17"/>
  </w:num>
  <w:num w:numId="20">
    <w:abstractNumId w:val="8"/>
  </w:num>
  <w:num w:numId="21">
    <w:abstractNumId w:val="5"/>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US" w:vendorID="64" w:dllVersion="6" w:nlCheck="1" w:checkStyle="1"/>
  <w:activeWritingStyle w:appName="MSWord" w:lang="de-CH" w:vendorID="64" w:dllVersion="6" w:nlCheck="1" w:checkStyle="1"/>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584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02"/>
    <w:rsid w:val="0000467C"/>
    <w:rsid w:val="00012DAC"/>
    <w:rsid w:val="00013866"/>
    <w:rsid w:val="00014AEA"/>
    <w:rsid w:val="00042CFB"/>
    <w:rsid w:val="00046BFA"/>
    <w:rsid w:val="00051400"/>
    <w:rsid w:val="00054394"/>
    <w:rsid w:val="0005650A"/>
    <w:rsid w:val="000659E4"/>
    <w:rsid w:val="000806FE"/>
    <w:rsid w:val="00083294"/>
    <w:rsid w:val="00091BA9"/>
    <w:rsid w:val="000B3266"/>
    <w:rsid w:val="000C06F0"/>
    <w:rsid w:val="000F1361"/>
    <w:rsid w:val="000F7333"/>
    <w:rsid w:val="001058BC"/>
    <w:rsid w:val="001127B6"/>
    <w:rsid w:val="001174AE"/>
    <w:rsid w:val="0015596D"/>
    <w:rsid w:val="001A44AF"/>
    <w:rsid w:val="001B6C30"/>
    <w:rsid w:val="001C6A24"/>
    <w:rsid w:val="001D2282"/>
    <w:rsid w:val="001E0915"/>
    <w:rsid w:val="001E36A9"/>
    <w:rsid w:val="001F1DF1"/>
    <w:rsid w:val="00203D55"/>
    <w:rsid w:val="00210222"/>
    <w:rsid w:val="002246A8"/>
    <w:rsid w:val="0022799E"/>
    <w:rsid w:val="0023481B"/>
    <w:rsid w:val="00236B05"/>
    <w:rsid w:val="00237CAF"/>
    <w:rsid w:val="00242278"/>
    <w:rsid w:val="00253A00"/>
    <w:rsid w:val="0026107C"/>
    <w:rsid w:val="002631FC"/>
    <w:rsid w:val="002D0389"/>
    <w:rsid w:val="002D0D8B"/>
    <w:rsid w:val="002D3C26"/>
    <w:rsid w:val="002E1B9C"/>
    <w:rsid w:val="002E2543"/>
    <w:rsid w:val="00321DA8"/>
    <w:rsid w:val="00322181"/>
    <w:rsid w:val="00366908"/>
    <w:rsid w:val="0037434C"/>
    <w:rsid w:val="00377958"/>
    <w:rsid w:val="003A46D3"/>
    <w:rsid w:val="003C1D73"/>
    <w:rsid w:val="003E003D"/>
    <w:rsid w:val="003E0660"/>
    <w:rsid w:val="003E1C76"/>
    <w:rsid w:val="003F76C3"/>
    <w:rsid w:val="00403C69"/>
    <w:rsid w:val="00410486"/>
    <w:rsid w:val="00411A60"/>
    <w:rsid w:val="004133DE"/>
    <w:rsid w:val="004244F8"/>
    <w:rsid w:val="004362EC"/>
    <w:rsid w:val="004438B6"/>
    <w:rsid w:val="00460828"/>
    <w:rsid w:val="00460FB7"/>
    <w:rsid w:val="004909C7"/>
    <w:rsid w:val="00490C26"/>
    <w:rsid w:val="00490D14"/>
    <w:rsid w:val="004B6935"/>
    <w:rsid w:val="004C7AF3"/>
    <w:rsid w:val="004D406E"/>
    <w:rsid w:val="004D6446"/>
    <w:rsid w:val="004E16BC"/>
    <w:rsid w:val="00520BF9"/>
    <w:rsid w:val="005402AB"/>
    <w:rsid w:val="00543D98"/>
    <w:rsid w:val="00553ABF"/>
    <w:rsid w:val="00582F51"/>
    <w:rsid w:val="005A4236"/>
    <w:rsid w:val="005B7088"/>
    <w:rsid w:val="005D130D"/>
    <w:rsid w:val="005D5FB8"/>
    <w:rsid w:val="005E1C38"/>
    <w:rsid w:val="005F08E7"/>
    <w:rsid w:val="005F25FC"/>
    <w:rsid w:val="00602038"/>
    <w:rsid w:val="0063146A"/>
    <w:rsid w:val="006324A4"/>
    <w:rsid w:val="00637F41"/>
    <w:rsid w:val="006437EB"/>
    <w:rsid w:val="00653DE1"/>
    <w:rsid w:val="00654BFA"/>
    <w:rsid w:val="00663195"/>
    <w:rsid w:val="006655BC"/>
    <w:rsid w:val="006800CE"/>
    <w:rsid w:val="00692206"/>
    <w:rsid w:val="00693E6C"/>
    <w:rsid w:val="006A0657"/>
    <w:rsid w:val="006B41BB"/>
    <w:rsid w:val="006E38B9"/>
    <w:rsid w:val="00714E18"/>
    <w:rsid w:val="00734DB1"/>
    <w:rsid w:val="00750540"/>
    <w:rsid w:val="007651D0"/>
    <w:rsid w:val="007808F4"/>
    <w:rsid w:val="007848F1"/>
    <w:rsid w:val="00797850"/>
    <w:rsid w:val="007B3972"/>
    <w:rsid w:val="007C2370"/>
    <w:rsid w:val="007C44B3"/>
    <w:rsid w:val="007F25D7"/>
    <w:rsid w:val="007F44FA"/>
    <w:rsid w:val="007F5758"/>
    <w:rsid w:val="007F7FB2"/>
    <w:rsid w:val="00824D1D"/>
    <w:rsid w:val="00853D97"/>
    <w:rsid w:val="0088239A"/>
    <w:rsid w:val="008A1990"/>
    <w:rsid w:val="008B50F1"/>
    <w:rsid w:val="008C267A"/>
    <w:rsid w:val="008C6D7E"/>
    <w:rsid w:val="008E603E"/>
    <w:rsid w:val="008F7C2B"/>
    <w:rsid w:val="00924EAE"/>
    <w:rsid w:val="00925219"/>
    <w:rsid w:val="00936806"/>
    <w:rsid w:val="00947A43"/>
    <w:rsid w:val="00963ABD"/>
    <w:rsid w:val="00970CA2"/>
    <w:rsid w:val="009809C7"/>
    <w:rsid w:val="009C65A4"/>
    <w:rsid w:val="009F1D42"/>
    <w:rsid w:val="009F4F69"/>
    <w:rsid w:val="00A12E4C"/>
    <w:rsid w:val="00A15B81"/>
    <w:rsid w:val="00A26BB4"/>
    <w:rsid w:val="00A27161"/>
    <w:rsid w:val="00A33E02"/>
    <w:rsid w:val="00A47DAE"/>
    <w:rsid w:val="00A62DE8"/>
    <w:rsid w:val="00A63DC6"/>
    <w:rsid w:val="00A64AD8"/>
    <w:rsid w:val="00A64E61"/>
    <w:rsid w:val="00A77A16"/>
    <w:rsid w:val="00AB7366"/>
    <w:rsid w:val="00AD6337"/>
    <w:rsid w:val="00B31474"/>
    <w:rsid w:val="00B535AB"/>
    <w:rsid w:val="00B87401"/>
    <w:rsid w:val="00B90BC5"/>
    <w:rsid w:val="00B96B24"/>
    <w:rsid w:val="00BA24A5"/>
    <w:rsid w:val="00BC3265"/>
    <w:rsid w:val="00BE4353"/>
    <w:rsid w:val="00BF5491"/>
    <w:rsid w:val="00C06386"/>
    <w:rsid w:val="00C25565"/>
    <w:rsid w:val="00C309B6"/>
    <w:rsid w:val="00C31757"/>
    <w:rsid w:val="00C3425D"/>
    <w:rsid w:val="00C363BE"/>
    <w:rsid w:val="00C3691C"/>
    <w:rsid w:val="00C42DB2"/>
    <w:rsid w:val="00C45B63"/>
    <w:rsid w:val="00C557B3"/>
    <w:rsid w:val="00C55D8F"/>
    <w:rsid w:val="00C80099"/>
    <w:rsid w:val="00C90A50"/>
    <w:rsid w:val="00CA6F0F"/>
    <w:rsid w:val="00CB75C1"/>
    <w:rsid w:val="00CD03B5"/>
    <w:rsid w:val="00CD093A"/>
    <w:rsid w:val="00CE70EE"/>
    <w:rsid w:val="00CE7102"/>
    <w:rsid w:val="00CF15C4"/>
    <w:rsid w:val="00D13709"/>
    <w:rsid w:val="00D567D3"/>
    <w:rsid w:val="00D80310"/>
    <w:rsid w:val="00D8542C"/>
    <w:rsid w:val="00D87DEE"/>
    <w:rsid w:val="00D96C4D"/>
    <w:rsid w:val="00DA422B"/>
    <w:rsid w:val="00DC4A55"/>
    <w:rsid w:val="00DC7C47"/>
    <w:rsid w:val="00DF0BF7"/>
    <w:rsid w:val="00E342C8"/>
    <w:rsid w:val="00E412FE"/>
    <w:rsid w:val="00E4160F"/>
    <w:rsid w:val="00E60D87"/>
    <w:rsid w:val="00E6328D"/>
    <w:rsid w:val="00E72C4C"/>
    <w:rsid w:val="00E804CE"/>
    <w:rsid w:val="00E8311F"/>
    <w:rsid w:val="00EC1F55"/>
    <w:rsid w:val="00EC76DD"/>
    <w:rsid w:val="00ED14EB"/>
    <w:rsid w:val="00ED6661"/>
    <w:rsid w:val="00EE3058"/>
    <w:rsid w:val="00EF4BC1"/>
    <w:rsid w:val="00F32A7C"/>
    <w:rsid w:val="00F42A98"/>
    <w:rsid w:val="00F433B8"/>
    <w:rsid w:val="00F43B95"/>
    <w:rsid w:val="00F43BCB"/>
    <w:rsid w:val="00F46AFD"/>
    <w:rsid w:val="00F62ED1"/>
    <w:rsid w:val="00F71F61"/>
    <w:rsid w:val="00F9231C"/>
    <w:rsid w:val="00FA4A4F"/>
    <w:rsid w:val="00FC4339"/>
    <w:rsid w:val="00FD1977"/>
    <w:rsid w:val="00FE6A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1901EC42"/>
  <w15:docId w15:val="{2D1FCD9B-3437-4BFA-9B31-1261E693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4BFA"/>
    <w:pPr>
      <w:suppressAutoHyphens/>
      <w:spacing w:line="240" w:lineRule="atLeast"/>
    </w:pPr>
    <w:rPr>
      <w:lang w:val="fr-CH"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eastAsia="x-none"/>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FootnoteReference">
    <w:name w:val="footnote reference"/>
    <w:aliases w:val="4_G"/>
    <w:semiHidden/>
    <w:rPr>
      <w:rFonts w:ascii="Times New Roman" w:hAnsi="Times New Roman"/>
      <w:sz w:val="18"/>
      <w:vertAlign w:val="superscript"/>
      <w:lang w:val="fr-CH"/>
    </w:rPr>
  </w:style>
  <w:style w:type="character" w:styleId="EndnoteReference">
    <w:name w:val="endnote reference"/>
    <w:aliases w:val="1_G"/>
    <w:basedOn w:val="FootnoteReference"/>
    <w:semiHidden/>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semiHidden/>
    <w:pPr>
      <w:tabs>
        <w:tab w:val="right" w:pos="1021"/>
      </w:tabs>
      <w:spacing w:line="220" w:lineRule="exact"/>
      <w:ind w:left="1134" w:right="1134" w:hanging="1134"/>
    </w:pPr>
    <w:rPr>
      <w:sz w:val="18"/>
    </w:rPr>
  </w:style>
  <w:style w:type="paragraph" w:styleId="EndnoteText">
    <w:name w:val="endnote text"/>
    <w:aliases w:val="2_G"/>
    <w:basedOn w:val="FootnoteText"/>
    <w:semiHidden/>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customStyle="1" w:styleId="WW8Num13z2">
    <w:name w:val="WW8Num13z2"/>
    <w:rsid w:val="00E72C4C"/>
    <w:rPr>
      <w:rFonts w:ascii="Wingdings" w:hAnsi="Wingdings"/>
    </w:rPr>
  </w:style>
  <w:style w:type="character" w:customStyle="1" w:styleId="SingleTxtGChar">
    <w:name w:val="_ Single Txt_G Char"/>
    <w:link w:val="SingleTxtG"/>
    <w:rsid w:val="004133DE"/>
    <w:rPr>
      <w:lang w:val="fr-CH" w:eastAsia="en-US" w:bidi="ar-SA"/>
    </w:rPr>
  </w:style>
  <w:style w:type="character" w:styleId="Hyperlink">
    <w:name w:val="Hyperlink"/>
    <w:rPr>
      <w:color w:val="auto"/>
      <w:u w:val="none"/>
    </w:rPr>
  </w:style>
  <w:style w:type="character" w:styleId="FollowedHyperlink">
    <w:name w:val="FollowedHyperlink"/>
    <w:rPr>
      <w:color w:val="auto"/>
      <w:u w:val="none"/>
    </w:rPr>
  </w:style>
  <w:style w:type="paragraph" w:customStyle="1" w:styleId="Lgende1">
    <w:name w:val="Légende1"/>
    <w:basedOn w:val="Normal"/>
    <w:next w:val="Normal"/>
    <w:pPr>
      <w:tabs>
        <w:tab w:val="left" w:pos="425"/>
        <w:tab w:val="left" w:pos="851"/>
        <w:tab w:val="left" w:pos="1276"/>
      </w:tabs>
      <w:suppressAutoHyphens w:val="0"/>
      <w:spacing w:before="120" w:after="120" w:line="240" w:lineRule="auto"/>
      <w:jc w:val="both"/>
    </w:pPr>
    <w:rPr>
      <w:rFonts w:ascii="Arial" w:hAnsi="Arial"/>
      <w:b/>
      <w:bCs/>
      <w:color w:val="000000"/>
      <w:lang w:val="de-DE" w:eastAsia="ar-SA"/>
    </w:rPr>
  </w:style>
  <w:style w:type="paragraph" w:styleId="Caption">
    <w:name w:val="caption"/>
    <w:basedOn w:val="Normal"/>
    <w:next w:val="Normal"/>
    <w:qFormat/>
    <w:rsid w:val="004133DE"/>
    <w:pPr>
      <w:tabs>
        <w:tab w:val="left" w:pos="425"/>
        <w:tab w:val="left" w:pos="851"/>
        <w:tab w:val="left" w:pos="1276"/>
      </w:tabs>
      <w:suppressAutoHyphens w:val="0"/>
      <w:spacing w:before="120" w:after="120" w:line="240" w:lineRule="auto"/>
      <w:jc w:val="both"/>
    </w:pPr>
    <w:rPr>
      <w:rFonts w:ascii="Arial" w:hAnsi="Arial"/>
      <w:b/>
      <w:bCs/>
      <w:color w:val="000000"/>
      <w:lang w:val="de-DE" w:eastAsia="ar-SA"/>
    </w:rPr>
  </w:style>
  <w:style w:type="paragraph" w:styleId="BodyText2">
    <w:name w:val="Body Text 2"/>
    <w:basedOn w:val="Normal"/>
    <w:rsid w:val="004133DE"/>
    <w:pPr>
      <w:tabs>
        <w:tab w:val="left" w:pos="425"/>
        <w:tab w:val="left" w:pos="851"/>
        <w:tab w:val="left" w:pos="1276"/>
        <w:tab w:val="left" w:pos="2410"/>
      </w:tabs>
      <w:suppressAutoHyphens w:val="0"/>
      <w:spacing w:line="240" w:lineRule="auto"/>
      <w:jc w:val="both"/>
    </w:pPr>
    <w:rPr>
      <w:color w:val="000000"/>
      <w:sz w:val="24"/>
      <w:szCs w:val="24"/>
      <w:lang w:val="fr-FR" w:eastAsia="ar-SA"/>
    </w:rPr>
  </w:style>
  <w:style w:type="paragraph" w:styleId="BlockText">
    <w:name w:val="Block Text"/>
    <w:basedOn w:val="Normal"/>
    <w:rsid w:val="004133DE"/>
    <w:pPr>
      <w:tabs>
        <w:tab w:val="left" w:pos="2268"/>
      </w:tabs>
      <w:spacing w:line="240" w:lineRule="auto"/>
      <w:ind w:left="2268" w:right="-12"/>
      <w:jc w:val="both"/>
    </w:pPr>
    <w:rPr>
      <w:rFonts w:cs="Arial"/>
      <w:sz w:val="24"/>
      <w:lang w:val="en-GB" w:eastAsia="ar-SA"/>
    </w:rPr>
  </w:style>
  <w:style w:type="paragraph" w:styleId="BodyText3">
    <w:name w:val="Body Text 3"/>
    <w:basedOn w:val="Normal"/>
    <w:rsid w:val="004133DE"/>
    <w:pPr>
      <w:tabs>
        <w:tab w:val="left" w:pos="0"/>
        <w:tab w:val="left" w:pos="425"/>
        <w:tab w:val="left" w:pos="851"/>
        <w:tab w:val="left" w:pos="1276"/>
      </w:tabs>
      <w:suppressAutoHyphens w:val="0"/>
      <w:spacing w:line="240" w:lineRule="auto"/>
      <w:ind w:right="-12"/>
      <w:jc w:val="both"/>
    </w:pPr>
    <w:rPr>
      <w:color w:val="000000"/>
      <w:sz w:val="24"/>
      <w:lang w:val="fr-FR" w:eastAsia="ar-SA"/>
    </w:rPr>
  </w:style>
  <w:style w:type="table" w:styleId="TableGrid">
    <w:name w:val="Table Grid"/>
    <w:basedOn w:val="TableNormal"/>
    <w:rsid w:val="00236B0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36A9"/>
    <w:pPr>
      <w:spacing w:line="240" w:lineRule="auto"/>
    </w:pPr>
    <w:rPr>
      <w:rFonts w:ascii="Tahoma" w:hAnsi="Tahoma" w:cs="Tahoma"/>
      <w:sz w:val="16"/>
      <w:szCs w:val="16"/>
    </w:rPr>
  </w:style>
  <w:style w:type="character" w:customStyle="1" w:styleId="BalloonTextChar">
    <w:name w:val="Balloon Text Char"/>
    <w:link w:val="BalloonText"/>
    <w:rsid w:val="001E36A9"/>
    <w:rPr>
      <w:rFonts w:ascii="Tahoma" w:hAnsi="Tahoma" w:cs="Tahoma"/>
      <w:sz w:val="16"/>
      <w:szCs w:val="16"/>
      <w:lang w:val="fr-CH"/>
    </w:rPr>
  </w:style>
  <w:style w:type="character" w:customStyle="1" w:styleId="SingleTxtGCar">
    <w:name w:val="_ Single Txt_G Car"/>
    <w:rsid w:val="00490C26"/>
    <w:rPr>
      <w:lang w:val="fr-CH" w:eastAsia="en-US" w:bidi="ar-SA"/>
    </w:rPr>
  </w:style>
  <w:style w:type="character" w:customStyle="1" w:styleId="HChGChar">
    <w:name w:val="_ H _Ch_G Char"/>
    <w:link w:val="HChG"/>
    <w:rsid w:val="00490C26"/>
    <w:rPr>
      <w:b/>
      <w:sz w:val="28"/>
      <w:lang w:val="fr-CH"/>
    </w:rPr>
  </w:style>
  <w:style w:type="paragraph" w:customStyle="1" w:styleId="ParNoG">
    <w:name w:val="_ParNo_G"/>
    <w:basedOn w:val="SingleTxtG"/>
    <w:link w:val="ParNoGCar"/>
    <w:rsid w:val="00460828"/>
    <w:pPr>
      <w:numPr>
        <w:numId w:val="18"/>
      </w:numPr>
    </w:pPr>
  </w:style>
  <w:style w:type="character" w:customStyle="1" w:styleId="ParNoGCar">
    <w:name w:val="_ParNo_G Car"/>
    <w:link w:val="ParNoG"/>
    <w:rsid w:val="00460828"/>
    <w:rPr>
      <w:lang w:eastAsia="en-US"/>
    </w:rPr>
  </w:style>
  <w:style w:type="character" w:customStyle="1" w:styleId="H23GChar">
    <w:name w:val="_ H_2/3_G Char"/>
    <w:link w:val="H23G"/>
    <w:rsid w:val="006655BC"/>
    <w:rPr>
      <w:b/>
      <w:lang w:eastAsia="en-US"/>
    </w:rPr>
  </w:style>
  <w:style w:type="paragraph" w:styleId="BodyTextIndent3">
    <w:name w:val="Body Text Indent 3"/>
    <w:basedOn w:val="Normal"/>
    <w:link w:val="BodyTextIndent3Char"/>
    <w:rsid w:val="00042CFB"/>
    <w:pPr>
      <w:spacing w:after="120"/>
      <w:ind w:left="283"/>
    </w:pPr>
    <w:rPr>
      <w:sz w:val="16"/>
      <w:szCs w:val="16"/>
    </w:rPr>
  </w:style>
  <w:style w:type="character" w:customStyle="1" w:styleId="BodyTextIndent3Char">
    <w:name w:val="Body Text Indent 3 Char"/>
    <w:link w:val="BodyTextIndent3"/>
    <w:rsid w:val="00042CFB"/>
    <w:rPr>
      <w:sz w:val="16"/>
      <w:szCs w:val="16"/>
      <w:lang w:eastAsia="en-US"/>
    </w:rPr>
  </w:style>
  <w:style w:type="paragraph" w:styleId="BodyTextIndent2">
    <w:name w:val="Body Text Indent 2"/>
    <w:basedOn w:val="Normal"/>
    <w:link w:val="BodyTextIndent2Char"/>
    <w:semiHidden/>
    <w:unhideWhenUsed/>
    <w:rsid w:val="008C6D7E"/>
    <w:pPr>
      <w:spacing w:after="120" w:line="480" w:lineRule="auto"/>
      <w:ind w:left="283"/>
    </w:pPr>
  </w:style>
  <w:style w:type="character" w:customStyle="1" w:styleId="BodyTextIndent2Char">
    <w:name w:val="Body Text Indent 2 Char"/>
    <w:basedOn w:val="DefaultParagraphFont"/>
    <w:link w:val="BodyTextIndent2"/>
    <w:semiHidden/>
    <w:rsid w:val="008C6D7E"/>
    <w:rPr>
      <w:lang w:val="fr-CH" w:eastAsia="en-US"/>
    </w:rPr>
  </w:style>
  <w:style w:type="paragraph" w:styleId="BodyTextIndent">
    <w:name w:val="Body Text Indent"/>
    <w:basedOn w:val="Normal"/>
    <w:link w:val="BodyTextIndentChar"/>
    <w:semiHidden/>
    <w:unhideWhenUsed/>
    <w:rsid w:val="00970CA2"/>
    <w:pPr>
      <w:spacing w:after="120"/>
      <w:ind w:left="283"/>
    </w:pPr>
  </w:style>
  <w:style w:type="character" w:customStyle="1" w:styleId="BodyTextIndentChar">
    <w:name w:val="Body Text Indent Char"/>
    <w:basedOn w:val="DefaultParagraphFont"/>
    <w:link w:val="BodyTextIndent"/>
    <w:semiHidden/>
    <w:rsid w:val="00970CA2"/>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08911">
      <w:bodyDiv w:val="1"/>
      <w:marLeft w:val="0"/>
      <w:marRight w:val="0"/>
      <w:marTop w:val="0"/>
      <w:marBottom w:val="0"/>
      <w:divBdr>
        <w:top w:val="none" w:sz="0" w:space="0" w:color="auto"/>
        <w:left w:val="none" w:sz="0" w:space="0" w:color="auto"/>
        <w:bottom w:val="none" w:sz="0" w:space="0" w:color="auto"/>
        <w:right w:val="none" w:sz="0" w:space="0" w:color="auto"/>
      </w:divBdr>
    </w:div>
    <w:div w:id="487480775">
      <w:bodyDiv w:val="1"/>
      <w:marLeft w:val="0"/>
      <w:marRight w:val="0"/>
      <w:marTop w:val="0"/>
      <w:marBottom w:val="0"/>
      <w:divBdr>
        <w:top w:val="none" w:sz="0" w:space="0" w:color="auto"/>
        <w:left w:val="none" w:sz="0" w:space="0" w:color="auto"/>
        <w:bottom w:val="none" w:sz="0" w:space="0" w:color="auto"/>
        <w:right w:val="none" w:sz="0" w:space="0" w:color="auto"/>
      </w:divBdr>
    </w:div>
    <w:div w:id="923298642">
      <w:bodyDiv w:val="1"/>
      <w:marLeft w:val="0"/>
      <w:marRight w:val="0"/>
      <w:marTop w:val="0"/>
      <w:marBottom w:val="0"/>
      <w:divBdr>
        <w:top w:val="none" w:sz="0" w:space="0" w:color="auto"/>
        <w:left w:val="none" w:sz="0" w:space="0" w:color="auto"/>
        <w:bottom w:val="none" w:sz="0" w:space="0" w:color="auto"/>
        <w:right w:val="none" w:sz="0" w:space="0" w:color="auto"/>
      </w:divBdr>
    </w:div>
    <w:div w:id="1234436879">
      <w:bodyDiv w:val="1"/>
      <w:marLeft w:val="0"/>
      <w:marRight w:val="0"/>
      <w:marTop w:val="0"/>
      <w:marBottom w:val="0"/>
      <w:divBdr>
        <w:top w:val="none" w:sz="0" w:space="0" w:color="auto"/>
        <w:left w:val="none" w:sz="0" w:space="0" w:color="auto"/>
        <w:bottom w:val="none" w:sz="0" w:space="0" w:color="auto"/>
        <w:right w:val="none" w:sz="0" w:space="0" w:color="auto"/>
      </w:divBdr>
    </w:div>
    <w:div w:id="1620527730">
      <w:bodyDiv w:val="1"/>
      <w:marLeft w:val="0"/>
      <w:marRight w:val="0"/>
      <w:marTop w:val="0"/>
      <w:marBottom w:val="0"/>
      <w:divBdr>
        <w:top w:val="none" w:sz="0" w:space="0" w:color="auto"/>
        <w:left w:val="none" w:sz="0" w:space="0" w:color="auto"/>
        <w:bottom w:val="none" w:sz="0" w:space="0" w:color="auto"/>
        <w:right w:val="none" w:sz="0" w:space="0" w:color="auto"/>
      </w:divBdr>
    </w:div>
    <w:div w:id="194006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CBA78-6D8A-4D05-8053-76FE3CA22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1314</Words>
  <Characters>7138</Characters>
  <Application>Microsoft Office Word</Application>
  <DocSecurity>0</DocSecurity>
  <Lines>132</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Collet</dc:creator>
  <cp:lastModifiedBy>Laurence Berthet</cp:lastModifiedBy>
  <cp:revision>6</cp:revision>
  <cp:lastPrinted>2019-04-08T12:35:00Z</cp:lastPrinted>
  <dcterms:created xsi:type="dcterms:W3CDTF">2019-04-05T15:58:00Z</dcterms:created>
  <dcterms:modified xsi:type="dcterms:W3CDTF">2019-04-08T12:35:00Z</dcterms:modified>
</cp:coreProperties>
</file>