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14:paraId="43A77A3E" w14:textId="77777777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29380" w14:textId="77777777"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16EA9" w14:textId="77777777"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F4F70" w14:textId="763DDF0C" w:rsidR="0048539B" w:rsidRPr="006500BA" w:rsidRDefault="0048539B" w:rsidP="004F5B48">
            <w:pPr>
              <w:jc w:val="right"/>
            </w:pPr>
            <w:r w:rsidRPr="00FE646C">
              <w:rPr>
                <w:sz w:val="40"/>
              </w:rPr>
              <w:t>ST</w:t>
            </w:r>
            <w:r>
              <w:t>/SG/AC.10/C.3/</w:t>
            </w:r>
            <w:r w:rsidR="00FB0119">
              <w:t>201</w:t>
            </w:r>
            <w:r w:rsidR="003566AA">
              <w:t>9</w:t>
            </w:r>
            <w:r>
              <w:t>/</w:t>
            </w:r>
            <w:r w:rsidR="009F5DAC">
              <w:t>25</w:t>
            </w:r>
          </w:p>
        </w:tc>
      </w:tr>
      <w:tr w:rsidR="0048539B" w:rsidRPr="006500BA" w14:paraId="1DEEE0D7" w14:textId="77777777" w:rsidTr="00CA7D03">
        <w:trPr>
          <w:trHeight w:val="1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B096E6C" w14:textId="77777777" w:rsidR="0048539B" w:rsidRPr="006500BA" w:rsidRDefault="00F17D83" w:rsidP="00FE646C">
            <w:pPr>
              <w:spacing w:before="120"/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BE9BBE8" wp14:editId="20DA71C6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DDED2B" w14:textId="77777777"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3E04C7B" w14:textId="446EFF5C" w:rsidR="0048539B" w:rsidRPr="00BC53A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9F5DAC" w:rsidRPr="009F5DAC">
              <w:t>5</w:t>
            </w:r>
            <w:r w:rsidR="00BA51D2">
              <w:t xml:space="preserve"> </w:t>
            </w:r>
            <w:r w:rsidR="004F5B48">
              <w:t>April</w:t>
            </w:r>
            <w:r w:rsidR="00BC53AB" w:rsidRPr="00BC53AB">
              <w:t xml:space="preserve"> 201</w:t>
            </w:r>
            <w:r w:rsidR="003566AA">
              <w:t>9</w:t>
            </w:r>
          </w:p>
          <w:p w14:paraId="7EE2FDEB" w14:textId="77777777" w:rsidR="0048539B" w:rsidRPr="00BC53AB" w:rsidRDefault="0048539B" w:rsidP="00FE646C">
            <w:pPr>
              <w:spacing w:line="240" w:lineRule="exact"/>
            </w:pPr>
          </w:p>
          <w:p w14:paraId="65342EA8" w14:textId="77777777"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14:paraId="70344A9B" w14:textId="77777777"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211F067C" w14:textId="77777777" w:rsidR="0048539B" w:rsidRPr="006500BA" w:rsidRDefault="0048539B" w:rsidP="0048539B">
      <w:pPr>
        <w:spacing w:before="10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3E48855C" w14:textId="77777777" w:rsidR="0048539B" w:rsidRPr="006500BA" w:rsidRDefault="00B9329E" w:rsidP="0048539B">
      <w:pPr>
        <w:spacing w:before="100"/>
        <w:rPr>
          <w:b/>
        </w:rPr>
      </w:pPr>
      <w:r>
        <w:rPr>
          <w:b/>
        </w:rPr>
        <w:t>Fifty-</w:t>
      </w:r>
      <w:r w:rsidR="003566AA">
        <w:rPr>
          <w:b/>
        </w:rPr>
        <w:t>fifth</w:t>
      </w:r>
      <w:r>
        <w:rPr>
          <w:b/>
        </w:rPr>
        <w:t xml:space="preserve"> session</w:t>
      </w:r>
    </w:p>
    <w:p w14:paraId="7F30EABE" w14:textId="77777777" w:rsidR="009D3AC0" w:rsidRPr="009D3AC0" w:rsidRDefault="0048539B" w:rsidP="00A616D6">
      <w:pPr>
        <w:rPr>
          <w:b/>
        </w:rPr>
      </w:pPr>
      <w:r w:rsidRPr="006500BA">
        <w:t xml:space="preserve">Geneva, </w:t>
      </w:r>
      <w:r w:rsidR="003566AA">
        <w:t>1</w:t>
      </w:r>
      <w:r w:rsidR="003B5A52">
        <w:t>-</w:t>
      </w:r>
      <w:r w:rsidR="006152CB">
        <w:t>5</w:t>
      </w:r>
      <w:r w:rsidR="00AE3D03">
        <w:t xml:space="preserve"> </w:t>
      </w:r>
      <w:r w:rsidR="001C75FB">
        <w:t>July</w:t>
      </w:r>
      <w:r w:rsidR="00AE3D03">
        <w:t xml:space="preserve"> 201</w:t>
      </w:r>
      <w:r w:rsidR="003566AA">
        <w:t>9</w:t>
      </w:r>
      <w:r w:rsidR="00A616D6">
        <w:br/>
      </w:r>
      <w:r w:rsidR="00A45011">
        <w:t xml:space="preserve">Item </w:t>
      </w:r>
      <w:r w:rsidR="005F6A0E">
        <w:t>6 (b)</w:t>
      </w:r>
      <w:r w:rsidR="009D3AC0" w:rsidRPr="009D3AC0">
        <w:t xml:space="preserve"> of the provisional agenda</w:t>
      </w:r>
    </w:p>
    <w:p w14:paraId="12AA7070" w14:textId="53852ADC" w:rsidR="00D363F7" w:rsidRPr="00297F3D" w:rsidRDefault="00D363F7" w:rsidP="00D363F7">
      <w:pPr>
        <w:rPr>
          <w:b/>
          <w:bCs/>
        </w:rPr>
      </w:pPr>
      <w:r w:rsidRPr="00676646">
        <w:rPr>
          <w:b/>
          <w:bCs/>
        </w:rPr>
        <w:t xml:space="preserve">Miscellaneous proposals for amendments to the </w:t>
      </w:r>
      <w:r w:rsidRPr="00676646">
        <w:rPr>
          <w:b/>
          <w:bCs/>
        </w:rPr>
        <w:br/>
      </w:r>
      <w:r w:rsidRPr="00D363F7">
        <w:rPr>
          <w:b/>
          <w:bCs/>
        </w:rPr>
        <w:t>Model Regulations on the Transport of Dangerous Goods:</w:t>
      </w:r>
      <w:r w:rsidRPr="00D363F7">
        <w:rPr>
          <w:b/>
          <w:bCs/>
        </w:rPr>
        <w:br/>
      </w:r>
      <w:proofErr w:type="spellStart"/>
      <w:r w:rsidR="009F5DAC">
        <w:rPr>
          <w:b/>
          <w:bCs/>
        </w:rPr>
        <w:t>p</w:t>
      </w:r>
      <w:r w:rsidR="00297F3D" w:rsidRPr="00297F3D">
        <w:rPr>
          <w:b/>
          <w:bCs/>
        </w:rPr>
        <w:t>ackagings</w:t>
      </w:r>
      <w:proofErr w:type="spellEnd"/>
    </w:p>
    <w:p w14:paraId="2FA84471" w14:textId="0AA89BF5" w:rsidR="00297F3D" w:rsidRDefault="00297F3D" w:rsidP="00297F3D">
      <w:pPr>
        <w:pStyle w:val="HChG"/>
        <w:rPr>
          <w:sz w:val="24"/>
        </w:rPr>
      </w:pPr>
      <w:r>
        <w:tab/>
      </w:r>
      <w:r>
        <w:tab/>
      </w:r>
      <w:r w:rsidR="004F5B48" w:rsidRPr="005C5A3B">
        <w:rPr>
          <w:rFonts w:eastAsia="MS Mincho"/>
          <w:noProof/>
          <w:lang w:eastAsia="ja-JP"/>
        </w:rPr>
        <w:t xml:space="preserve">Packing </w:t>
      </w:r>
      <w:r w:rsidR="006E07CD">
        <w:rPr>
          <w:rFonts w:eastAsia="MS Mincho"/>
          <w:noProof/>
          <w:lang w:eastAsia="ja-JP"/>
        </w:rPr>
        <w:t>g</w:t>
      </w:r>
      <w:r w:rsidR="004F5B48" w:rsidRPr="005C5A3B">
        <w:rPr>
          <w:rFonts w:eastAsia="MS Mincho"/>
          <w:noProof/>
          <w:lang w:eastAsia="ja-JP"/>
        </w:rPr>
        <w:t xml:space="preserve">roup I for </w:t>
      </w:r>
      <w:r w:rsidR="006E07CD">
        <w:rPr>
          <w:rFonts w:eastAsia="MS Mincho"/>
          <w:noProof/>
          <w:lang w:eastAsia="ja-JP"/>
        </w:rPr>
        <w:t>l</w:t>
      </w:r>
      <w:r w:rsidR="004F5B48" w:rsidRPr="005C5A3B">
        <w:rPr>
          <w:rFonts w:eastAsia="MS Mincho"/>
          <w:noProof/>
          <w:lang w:eastAsia="ja-JP"/>
        </w:rPr>
        <w:t xml:space="preserve">iquids packed in </w:t>
      </w:r>
      <w:r w:rsidR="006E07CD">
        <w:rPr>
          <w:rFonts w:eastAsia="MS Mincho"/>
          <w:noProof/>
          <w:lang w:eastAsia="ja-JP"/>
        </w:rPr>
        <w:t>m</w:t>
      </w:r>
      <w:r w:rsidR="004F5B48" w:rsidRPr="005C5A3B">
        <w:rPr>
          <w:rFonts w:eastAsia="MS Mincho"/>
          <w:noProof/>
          <w:lang w:eastAsia="ja-JP"/>
        </w:rPr>
        <w:t>etal IBCs</w:t>
      </w:r>
    </w:p>
    <w:p w14:paraId="65566F07" w14:textId="1AEB95EF" w:rsidR="00297F3D" w:rsidRPr="006B4408" w:rsidRDefault="00297F3D" w:rsidP="00297F3D">
      <w:pPr>
        <w:pStyle w:val="H1G"/>
      </w:pPr>
      <w:r>
        <w:tab/>
      </w:r>
      <w:r>
        <w:tab/>
      </w:r>
      <w:r w:rsidR="00BE5749" w:rsidRPr="00BE5749">
        <w:t>Transmitted by the Stainless Steel Container Association (SSCA</w:t>
      </w:r>
      <w:r w:rsidR="00BE5749" w:rsidRPr="005C5A3B">
        <w:rPr>
          <w:rFonts w:eastAsia="MS Mincho"/>
          <w:noProof/>
          <w:lang w:eastAsia="ja-JP"/>
        </w:rPr>
        <w:t>)</w:t>
      </w:r>
      <w:r>
        <w:rPr>
          <w:rStyle w:val="FootnoteReference"/>
        </w:rPr>
        <w:footnoteReference w:id="2"/>
      </w:r>
    </w:p>
    <w:p w14:paraId="3FEE406D" w14:textId="77777777" w:rsidR="00297F3D" w:rsidRPr="00F82A63" w:rsidRDefault="00297F3D" w:rsidP="00297F3D">
      <w:pPr>
        <w:pStyle w:val="HChG"/>
      </w:pPr>
      <w:r w:rsidRPr="006B4408">
        <w:tab/>
      </w:r>
      <w:r w:rsidRPr="006B4408">
        <w:tab/>
      </w:r>
      <w:r>
        <w:t>Introduction</w:t>
      </w:r>
    </w:p>
    <w:p w14:paraId="66CEBE3F" w14:textId="507E4721" w:rsidR="00BE5749" w:rsidRPr="005C5A3B" w:rsidRDefault="00BE5749" w:rsidP="00BE5749">
      <w:pPr>
        <w:pStyle w:val="SingleTxtG"/>
      </w:pPr>
      <w:r>
        <w:t>1.</w:t>
      </w:r>
      <w:r>
        <w:tab/>
      </w:r>
      <w:r w:rsidRPr="005C5A3B">
        <w:t xml:space="preserve">Chapter 4.1 of the </w:t>
      </w:r>
      <w:r w:rsidR="006E07CD">
        <w:t>“</w:t>
      </w:r>
      <w:r w:rsidRPr="005C5A3B">
        <w:t>Model Regulations</w:t>
      </w:r>
      <w:r w:rsidR="006E07CD">
        <w:t>”</w:t>
      </w:r>
      <w:r w:rsidRPr="005C5A3B">
        <w:t xml:space="preserve"> describes the use of packagings, including Intermediate Bulk Containers (IBC) and Large </w:t>
      </w:r>
      <w:proofErr w:type="spellStart"/>
      <w:r w:rsidR="006E07CD">
        <w:t>p</w:t>
      </w:r>
      <w:r w:rsidRPr="005C5A3B">
        <w:t>ackagings</w:t>
      </w:r>
      <w:proofErr w:type="spellEnd"/>
      <w:r w:rsidRPr="005C5A3B">
        <w:t>.</w:t>
      </w:r>
    </w:p>
    <w:p w14:paraId="24655FDD" w14:textId="44F8FF1E" w:rsidR="00BE5749" w:rsidRPr="005C5A3B" w:rsidRDefault="00BE5749" w:rsidP="00BE5749">
      <w:pPr>
        <w:pStyle w:val="SingleTxtG"/>
      </w:pPr>
      <w:r>
        <w:t>2.</w:t>
      </w:r>
      <w:r>
        <w:tab/>
      </w:r>
      <w:r w:rsidRPr="005C5A3B">
        <w:t xml:space="preserve">According to 4.1.1.10 the </w:t>
      </w:r>
      <w:r w:rsidR="006E07CD">
        <w:t>t</w:t>
      </w:r>
      <w:r w:rsidRPr="005C5A3B">
        <w:t xml:space="preserve">ransport in </w:t>
      </w:r>
      <w:r w:rsidR="006E07CD">
        <w:t>m</w:t>
      </w:r>
      <w:r w:rsidRPr="005C5A3B">
        <w:t xml:space="preserve">etal IBC of </w:t>
      </w:r>
      <w:r w:rsidR="006E07CD">
        <w:t>p</w:t>
      </w:r>
      <w:r w:rsidRPr="005C5A3B">
        <w:t xml:space="preserve">roducts of </w:t>
      </w:r>
      <w:r w:rsidR="006E07CD">
        <w:t>p</w:t>
      </w:r>
      <w:r w:rsidRPr="005C5A3B">
        <w:t xml:space="preserve">acking </w:t>
      </w:r>
      <w:r w:rsidR="006E07CD">
        <w:t>g</w:t>
      </w:r>
      <w:r w:rsidRPr="005C5A3B">
        <w:t xml:space="preserve">roup II and III with a maximum vapour pressure of 110 kPa (1.1 bar) at 50°C respectively 130 kPa (1.3 bar) at 55°C and a maximum </w:t>
      </w:r>
      <w:r w:rsidR="006E07CD">
        <w:t>v</w:t>
      </w:r>
      <w:r w:rsidRPr="005C5A3B">
        <w:t xml:space="preserve">olume of 3000 </w:t>
      </w:r>
      <w:r w:rsidR="006E07CD">
        <w:t>l</w:t>
      </w:r>
      <w:r w:rsidRPr="005C5A3B">
        <w:t xml:space="preserve"> is possible.</w:t>
      </w:r>
    </w:p>
    <w:p w14:paraId="5AE3B5A2" w14:textId="4505BF26" w:rsidR="00BE5749" w:rsidRPr="00CA6F61" w:rsidRDefault="00BE5749" w:rsidP="00BE5749">
      <w:pPr>
        <w:pStyle w:val="SingleTxtG"/>
      </w:pPr>
      <w:r>
        <w:t>3.</w:t>
      </w:r>
      <w:r>
        <w:tab/>
      </w:r>
      <w:r w:rsidRPr="005C5A3B">
        <w:t>We propose</w:t>
      </w:r>
      <w:r>
        <w:t>,</w:t>
      </w:r>
      <w:r w:rsidRPr="005C5A3B">
        <w:t xml:space="preserve"> that in </w:t>
      </w:r>
      <w:r w:rsidR="006E07CD">
        <w:t xml:space="preserve">the </w:t>
      </w:r>
      <w:r w:rsidRPr="005C5A3B">
        <w:t>future</w:t>
      </w:r>
      <w:r w:rsidR="006E07CD">
        <w:t>:</w:t>
      </w:r>
    </w:p>
    <w:p w14:paraId="658A639B" w14:textId="7CE2C32F" w:rsidR="00115ADB" w:rsidRPr="00115ADB" w:rsidRDefault="006E07CD" w:rsidP="006F6B4F">
      <w:pPr>
        <w:pStyle w:val="SingleTxtG"/>
        <w:ind w:left="2268" w:hanging="567"/>
      </w:pPr>
      <w:r>
        <w:t>(a)</w:t>
      </w:r>
      <w:r>
        <w:tab/>
      </w:r>
      <w:r w:rsidR="00115ADB" w:rsidRPr="00115ADB">
        <w:t xml:space="preserve">substances of </w:t>
      </w:r>
      <w:r>
        <w:t>p</w:t>
      </w:r>
      <w:r w:rsidR="00115ADB" w:rsidRPr="00115ADB">
        <w:t xml:space="preserve">acking </w:t>
      </w:r>
      <w:r>
        <w:t>g</w:t>
      </w:r>
      <w:r w:rsidR="00174ECD">
        <w:t>roup </w:t>
      </w:r>
      <w:r w:rsidR="00115ADB" w:rsidRPr="00115ADB">
        <w:t>I with a</w:t>
      </w:r>
      <w:r w:rsidR="0097645E">
        <w:t xml:space="preserve"> maximum vapour pressure of 150 </w:t>
      </w:r>
      <w:r w:rsidR="00115ADB" w:rsidRPr="00115ADB">
        <w:t>kPa (1.</w:t>
      </w:r>
      <w:r w:rsidR="0097645E">
        <w:t>5 </w:t>
      </w:r>
      <w:r w:rsidR="00115ADB" w:rsidRPr="00115ADB">
        <w:t>bar) at 50</w:t>
      </w:r>
      <w:r w:rsidR="0097645E">
        <w:t> °C respectively 195 kPa (1.95 </w:t>
      </w:r>
      <w:r w:rsidR="00115ADB" w:rsidRPr="00115ADB">
        <w:t>bar) at 55</w:t>
      </w:r>
      <w:r w:rsidR="0097645E">
        <w:t> </w:t>
      </w:r>
      <w:r w:rsidR="00115ADB" w:rsidRPr="00115ADB">
        <w:t>°C with a volume of up to 1</w:t>
      </w:r>
      <w:r w:rsidR="0097645E">
        <w:t>.</w:t>
      </w:r>
      <w:r w:rsidR="00115ADB" w:rsidRPr="00115ADB">
        <w:t xml:space="preserve">500 </w:t>
      </w:r>
      <w:r>
        <w:t>l</w:t>
      </w:r>
      <w:r w:rsidR="00115ADB" w:rsidRPr="00115ADB">
        <w:t xml:space="preserve"> can be transported in </w:t>
      </w:r>
      <w:r w:rsidR="0097645E">
        <w:t>m</w:t>
      </w:r>
      <w:r w:rsidR="00115ADB" w:rsidRPr="00115ADB">
        <w:t>etal IBC</w:t>
      </w:r>
      <w:r>
        <w:t>M;</w:t>
      </w:r>
    </w:p>
    <w:p w14:paraId="091C1DBC" w14:textId="5EDA2988" w:rsidR="00115ADB" w:rsidRPr="00115ADB" w:rsidRDefault="006E07CD" w:rsidP="006E07CD">
      <w:pPr>
        <w:pStyle w:val="SingleTxtG"/>
        <w:ind w:firstLine="567"/>
      </w:pPr>
      <w:r>
        <w:tab/>
        <w:t>(b)</w:t>
      </w:r>
      <w:r>
        <w:tab/>
      </w:r>
      <w:r w:rsidR="00115ADB" w:rsidRPr="00115ADB">
        <w:t xml:space="preserve">For these </w:t>
      </w:r>
      <w:r w:rsidR="0097645E">
        <w:t xml:space="preserve">metal </w:t>
      </w:r>
      <w:r w:rsidR="00115ADB" w:rsidRPr="00115ADB">
        <w:t>IBC stricter rules for design type testing shall apply</w:t>
      </w:r>
      <w:r w:rsidR="0097645E">
        <w:t>:</w:t>
      </w:r>
    </w:p>
    <w:p w14:paraId="16AD6268" w14:textId="44F5BA5B" w:rsidR="00115ADB" w:rsidRPr="009F5DAC" w:rsidRDefault="006E07CD" w:rsidP="006E07CD">
      <w:pPr>
        <w:pStyle w:val="SingleTxtG"/>
        <w:ind w:firstLine="1134"/>
      </w:pPr>
      <w:r>
        <w:t>(</w:t>
      </w:r>
      <w:proofErr w:type="spellStart"/>
      <w:r>
        <w:t>i</w:t>
      </w:r>
      <w:proofErr w:type="spellEnd"/>
      <w:r>
        <w:t>)</w:t>
      </w:r>
      <w:r w:rsidR="009F5DAC">
        <w:tab/>
      </w:r>
      <w:r w:rsidR="00115ADB" w:rsidRPr="009F5DAC">
        <w:t xml:space="preserve">Hydraulic </w:t>
      </w:r>
      <w:r>
        <w:t>p</w:t>
      </w:r>
      <w:r w:rsidR="00115ADB" w:rsidRPr="006E07CD">
        <w:t>ressure</w:t>
      </w:r>
      <w:r w:rsidR="00115ADB" w:rsidRPr="009F5DAC">
        <w:t xml:space="preserve"> </w:t>
      </w:r>
      <w:r>
        <w:t>t</w:t>
      </w:r>
      <w:r w:rsidR="00115ADB" w:rsidRPr="009F5DAC">
        <w:t>esting:</w:t>
      </w:r>
    </w:p>
    <w:p w14:paraId="14A4F099" w14:textId="3F672446" w:rsidR="00115ADB" w:rsidRPr="00115ADB" w:rsidRDefault="00115ADB" w:rsidP="006E07CD">
      <w:pPr>
        <w:pStyle w:val="SingleTxtG"/>
        <w:ind w:left="2268" w:firstLine="567"/>
        <w:rPr>
          <w:iCs/>
        </w:rPr>
      </w:pPr>
      <w:r w:rsidRPr="00115ADB">
        <w:rPr>
          <w:iCs/>
        </w:rPr>
        <w:t xml:space="preserve">The </w:t>
      </w:r>
      <w:r w:rsidR="0097645E">
        <w:rPr>
          <w:iCs/>
        </w:rPr>
        <w:t>t</w:t>
      </w:r>
      <w:r w:rsidRPr="00115ADB">
        <w:rPr>
          <w:iCs/>
        </w:rPr>
        <w:t>est pressure sha</w:t>
      </w:r>
      <w:r w:rsidR="007D3861">
        <w:rPr>
          <w:iCs/>
        </w:rPr>
        <w:t>ll be set to 250 kPa (2.5 </w:t>
      </w:r>
      <w:r w:rsidR="0097645E">
        <w:rPr>
          <w:iCs/>
        </w:rPr>
        <w:t>bar).</w:t>
      </w:r>
    </w:p>
    <w:p w14:paraId="16AED5A2" w14:textId="48F5DDB1" w:rsidR="00115ADB" w:rsidRPr="00115ADB" w:rsidRDefault="006E07CD" w:rsidP="006E07CD">
      <w:pPr>
        <w:pStyle w:val="SingleTxtG"/>
        <w:ind w:firstLine="1134"/>
      </w:pPr>
      <w:r>
        <w:tab/>
        <w:t>(ii)</w:t>
      </w:r>
      <w:r>
        <w:tab/>
      </w:r>
      <w:r w:rsidR="00115ADB" w:rsidRPr="006E07CD">
        <w:t>Drop</w:t>
      </w:r>
      <w:r w:rsidR="00115ADB" w:rsidRPr="00115ADB">
        <w:t xml:space="preserve"> </w:t>
      </w:r>
      <w:r>
        <w:t>t</w:t>
      </w:r>
      <w:r w:rsidR="00115ADB" w:rsidRPr="00115ADB">
        <w:t>est:</w:t>
      </w:r>
    </w:p>
    <w:p w14:paraId="4C46563B" w14:textId="2266E07B" w:rsidR="00115ADB" w:rsidRPr="00115ADB" w:rsidRDefault="006E07CD" w:rsidP="006F6B4F">
      <w:pPr>
        <w:pStyle w:val="SingleTxtG"/>
        <w:ind w:left="3402" w:hanging="567"/>
        <w:rPr>
          <w:iCs/>
        </w:rPr>
      </w:pPr>
      <w:r>
        <w:rPr>
          <w:iCs/>
        </w:rPr>
        <w:t>-</w:t>
      </w:r>
      <w:r>
        <w:rPr>
          <w:iCs/>
        </w:rPr>
        <w:tab/>
      </w:r>
      <w:r w:rsidR="00115ADB" w:rsidRPr="00115ADB">
        <w:rPr>
          <w:iCs/>
        </w:rPr>
        <w:t xml:space="preserve">The </w:t>
      </w:r>
      <w:r w:rsidR="0097645E">
        <w:rPr>
          <w:iCs/>
        </w:rPr>
        <w:t>drop height shall be set at 1.8 </w:t>
      </w:r>
      <w:r w:rsidR="00115ADB" w:rsidRPr="00115ADB">
        <w:rPr>
          <w:iCs/>
        </w:rPr>
        <w:t xml:space="preserve">m for </w:t>
      </w:r>
      <w:r w:rsidR="0097645E">
        <w:rPr>
          <w:iCs/>
        </w:rPr>
        <w:t>a relative density of up to 1.2 </w:t>
      </w:r>
      <w:r w:rsidR="00115ADB" w:rsidRPr="00115ADB">
        <w:rPr>
          <w:iCs/>
        </w:rPr>
        <w:t>kg/dm</w:t>
      </w:r>
      <w:r w:rsidR="007D3861">
        <w:rPr>
          <w:iCs/>
        </w:rPr>
        <w:t>³</w:t>
      </w:r>
      <w:r w:rsidR="00115ADB" w:rsidRPr="00115ADB">
        <w:rPr>
          <w:iCs/>
        </w:rPr>
        <w:t xml:space="preserve">. </w:t>
      </w:r>
    </w:p>
    <w:p w14:paraId="4166FFFB" w14:textId="5FBE92A4" w:rsidR="00115ADB" w:rsidRPr="00115ADB" w:rsidRDefault="006E07CD" w:rsidP="006F6B4F">
      <w:pPr>
        <w:pStyle w:val="SingleTxtG"/>
        <w:ind w:left="3402" w:hanging="567"/>
        <w:rPr>
          <w:iCs/>
        </w:rPr>
      </w:pPr>
      <w:bookmarkStart w:id="0" w:name="_GoBack"/>
      <w:bookmarkEnd w:id="0"/>
      <w:r>
        <w:rPr>
          <w:iCs/>
        </w:rPr>
        <w:t>-</w:t>
      </w:r>
      <w:r>
        <w:rPr>
          <w:iCs/>
        </w:rPr>
        <w:tab/>
      </w:r>
      <w:r w:rsidR="00115ADB" w:rsidRPr="00115ADB">
        <w:rPr>
          <w:iCs/>
        </w:rPr>
        <w:t>Exa</w:t>
      </w:r>
      <w:r w:rsidR="007D3861">
        <w:rPr>
          <w:iCs/>
        </w:rPr>
        <w:t>mple: A relative density of 1.8 </w:t>
      </w:r>
      <w:r w:rsidR="00115ADB" w:rsidRPr="00115ADB">
        <w:rPr>
          <w:iCs/>
        </w:rPr>
        <w:t>kg/dm</w:t>
      </w:r>
      <w:r w:rsidR="007D3861">
        <w:rPr>
          <w:iCs/>
        </w:rPr>
        <w:t>³</w:t>
      </w:r>
      <w:r w:rsidR="00115ADB" w:rsidRPr="00115ADB">
        <w:rPr>
          <w:iCs/>
        </w:rPr>
        <w:t xml:space="preserve"> ac</w:t>
      </w:r>
      <w:r w:rsidR="007D3861">
        <w:rPr>
          <w:iCs/>
        </w:rPr>
        <w:t>counts for a drop height of 2.7 </w:t>
      </w:r>
      <w:r w:rsidR="00115ADB" w:rsidRPr="00115ADB">
        <w:rPr>
          <w:iCs/>
        </w:rPr>
        <w:t>m (1.8 x 1.5 = 2.7).</w:t>
      </w:r>
    </w:p>
    <w:p w14:paraId="27772544" w14:textId="79216913" w:rsidR="00115ADB" w:rsidRPr="00115ADB" w:rsidRDefault="006E07CD" w:rsidP="006E07CD">
      <w:pPr>
        <w:pStyle w:val="SingleTxtG"/>
        <w:ind w:left="2268"/>
      </w:pPr>
      <w:r>
        <w:lastRenderedPageBreak/>
        <w:t>(iii)</w:t>
      </w:r>
      <w:r>
        <w:tab/>
      </w:r>
      <w:r w:rsidR="00115ADB" w:rsidRPr="00315BA3">
        <w:t>Leak</w:t>
      </w:r>
      <w:r w:rsidR="00115ADB" w:rsidRPr="00115ADB">
        <w:t xml:space="preserve"> test</w:t>
      </w:r>
      <w:r w:rsidR="0097645E">
        <w:t>:</w:t>
      </w:r>
    </w:p>
    <w:p w14:paraId="20DD5674" w14:textId="66254B00" w:rsidR="00115ADB" w:rsidRPr="00115ADB" w:rsidRDefault="006E07CD" w:rsidP="00315BA3">
      <w:pPr>
        <w:pStyle w:val="SingleTxtG"/>
        <w:ind w:firstLine="993"/>
      </w:pPr>
      <w:r>
        <w:tab/>
      </w:r>
      <w:r>
        <w:tab/>
      </w:r>
      <w:r w:rsidR="00115ADB" w:rsidRPr="00115ADB">
        <w:t>The t</w:t>
      </w:r>
      <w:r w:rsidR="007D3861">
        <w:t xml:space="preserve">est pressure shall </w:t>
      </w:r>
      <w:r w:rsidR="007D3861" w:rsidRPr="00315BA3">
        <w:t>be</w:t>
      </w:r>
      <w:r w:rsidR="007D3861">
        <w:t xml:space="preserve"> set at 30 kPa (0.3 </w:t>
      </w:r>
      <w:r w:rsidR="00115ADB" w:rsidRPr="00115ADB">
        <w:t>bar).</w:t>
      </w:r>
    </w:p>
    <w:p w14:paraId="4114D336" w14:textId="3B07E05B" w:rsidR="007D3861" w:rsidRPr="0055477C" w:rsidRDefault="007D3861" w:rsidP="007D3861">
      <w:pPr>
        <w:pStyle w:val="HChG"/>
      </w:pPr>
      <w:r w:rsidRPr="00D72915">
        <w:rPr>
          <w:lang w:val="en-US"/>
        </w:rPr>
        <w:tab/>
      </w:r>
      <w:r w:rsidRPr="00D72915">
        <w:rPr>
          <w:lang w:val="en-US"/>
        </w:rPr>
        <w:tab/>
      </w:r>
      <w:r>
        <w:t>Justification</w:t>
      </w:r>
    </w:p>
    <w:p w14:paraId="11F0F4D4" w14:textId="682A9792" w:rsidR="007D3861" w:rsidRPr="007D3861" w:rsidRDefault="007D3861" w:rsidP="007D3861">
      <w:pPr>
        <w:pStyle w:val="SingleTxtG"/>
      </w:pPr>
      <w:r>
        <w:t>4.</w:t>
      </w:r>
      <w:r>
        <w:tab/>
      </w:r>
      <w:r w:rsidRPr="007D3861">
        <w:t xml:space="preserve">Quality </w:t>
      </w:r>
      <w:r w:rsidR="006E07CD">
        <w:t>a</w:t>
      </w:r>
      <w:r w:rsidRPr="007D3861">
        <w:t xml:space="preserve">ssurance </w:t>
      </w:r>
      <w:r w:rsidR="006E07CD">
        <w:t>p</w:t>
      </w:r>
      <w:r w:rsidRPr="007D3861">
        <w:t xml:space="preserve">rograms, the application of </w:t>
      </w:r>
      <w:r w:rsidR="006E07CD">
        <w:t>f</w:t>
      </w:r>
      <w:r w:rsidRPr="007D3861">
        <w:t xml:space="preserve">inite </w:t>
      </w:r>
      <w:r w:rsidR="006E07CD">
        <w:t>e</w:t>
      </w:r>
      <w:r w:rsidRPr="007D3861">
        <w:t>le</w:t>
      </w:r>
      <w:r w:rsidR="00C1208C">
        <w:t xml:space="preserve">ment </w:t>
      </w:r>
      <w:r w:rsidR="006E07CD">
        <w:t>m</w:t>
      </w:r>
      <w:r w:rsidR="00C1208C">
        <w:t>ethod stress calculations</w:t>
      </w:r>
      <w:r w:rsidRPr="007D3861">
        <w:t xml:space="preserve">, more stability in the manufacturing process with less tolerances as well as improvement in </w:t>
      </w:r>
      <w:r w:rsidR="00C1208C">
        <w:t>m</w:t>
      </w:r>
      <w:r w:rsidRPr="007D3861">
        <w:t>aterials and welding technology,</w:t>
      </w:r>
      <w:r w:rsidR="00C1208C">
        <w:t xml:space="preserve"> </w:t>
      </w:r>
      <w:r w:rsidRPr="007D3861">
        <w:t>nowadays facilit</w:t>
      </w:r>
      <w:r w:rsidR="00C1208C">
        <w:t>at</w:t>
      </w:r>
      <w:r w:rsidRPr="007D3861">
        <w:t xml:space="preserve">e the production of </w:t>
      </w:r>
      <w:r w:rsidR="00C1208C">
        <w:t xml:space="preserve">metal </w:t>
      </w:r>
      <w:r w:rsidRPr="007D3861">
        <w:t>IBC with vastly improved performance levels. Also t</w:t>
      </w:r>
      <w:r w:rsidR="00C1208C">
        <w:t>est procedures and non-</w:t>
      </w:r>
      <w:r w:rsidRPr="007D3861">
        <w:t>destructive test (NDT) methods have improved in the last decades and v</w:t>
      </w:r>
      <w:r w:rsidR="00C1208C">
        <w:t>alidate the specification.</w:t>
      </w:r>
    </w:p>
    <w:p w14:paraId="63ED11ED" w14:textId="2FC3378D" w:rsidR="007D3861" w:rsidRPr="007D3861" w:rsidRDefault="007D3861" w:rsidP="007D3861">
      <w:pPr>
        <w:pStyle w:val="SingleTxtG"/>
      </w:pPr>
      <w:r>
        <w:t>5.</w:t>
      </w:r>
      <w:r>
        <w:tab/>
      </w:r>
      <w:r w:rsidRPr="007D3861">
        <w:t>Fillers are searching for alternatives in packaging, which are compatible to existing filling installations and equivalent regarding their safety.</w:t>
      </w:r>
    </w:p>
    <w:p w14:paraId="54429F38" w14:textId="517A77E2" w:rsidR="007D3861" w:rsidRPr="007D3861" w:rsidRDefault="007D3861" w:rsidP="007D3861">
      <w:pPr>
        <w:pStyle w:val="SingleTxtG"/>
      </w:pPr>
      <w:r>
        <w:t>6.</w:t>
      </w:r>
      <w:r>
        <w:tab/>
      </w:r>
      <w:r w:rsidRPr="007D3861">
        <w:t xml:space="preserve">With the higher testing requirements, that we propose, the necessary safety level for the transport of substances in </w:t>
      </w:r>
      <w:r w:rsidR="006E07CD">
        <w:t>p</w:t>
      </w:r>
      <w:r w:rsidRPr="007D3861">
        <w:t xml:space="preserve">acking </w:t>
      </w:r>
      <w:r w:rsidR="006E07CD">
        <w:t>g</w:t>
      </w:r>
      <w:r w:rsidRPr="007D3861">
        <w:t>roup I is</w:t>
      </w:r>
      <w:r w:rsidR="006E07CD">
        <w:t>,</w:t>
      </w:r>
      <w:r w:rsidRPr="007D3861">
        <w:t xml:space="preserve"> in our view</w:t>
      </w:r>
      <w:r w:rsidR="006E07CD">
        <w:t>,</w:t>
      </w:r>
      <w:r w:rsidRPr="007D3861">
        <w:t xml:space="preserve"> ensured.</w:t>
      </w:r>
    </w:p>
    <w:p w14:paraId="1388A48A" w14:textId="376F7F3A" w:rsidR="007D3861" w:rsidRPr="007D3861" w:rsidRDefault="007D3861" w:rsidP="007D3861">
      <w:pPr>
        <w:pStyle w:val="SingleTxtG"/>
      </w:pPr>
      <w:r>
        <w:t>7.</w:t>
      </w:r>
      <w:r>
        <w:tab/>
      </w:r>
      <w:r w:rsidRPr="007D3861">
        <w:t xml:space="preserve">Regarding our specific proposals for testing we would like to </w:t>
      </w:r>
      <w:r w:rsidR="006E07CD">
        <w:t>note the</w:t>
      </w:r>
      <w:r w:rsidRPr="007D3861">
        <w:t xml:space="preserve"> follow</w:t>
      </w:r>
      <w:r w:rsidR="006E07CD">
        <w:t>ing</w:t>
      </w:r>
      <w:r w:rsidRPr="007D3861">
        <w:t>:</w:t>
      </w:r>
    </w:p>
    <w:p w14:paraId="5F6D204F" w14:textId="22DC7306" w:rsidR="007D3861" w:rsidRDefault="006E07CD" w:rsidP="006E07CD">
      <w:pPr>
        <w:pStyle w:val="SingleTxtG"/>
        <w:ind w:firstLine="567"/>
      </w:pPr>
      <w:r>
        <w:tab/>
        <w:t>(a)</w:t>
      </w:r>
      <w:r>
        <w:tab/>
      </w:r>
      <w:r w:rsidR="007D3861" w:rsidRPr="007D3861">
        <w:t>Hydraulic Pressure Testing:</w:t>
      </w:r>
    </w:p>
    <w:p w14:paraId="00295AC7" w14:textId="0DF4E3F5" w:rsidR="007D3861" w:rsidRPr="007D3861" w:rsidRDefault="007D3861" w:rsidP="00315BA3">
      <w:pPr>
        <w:pStyle w:val="SingleTxtG"/>
        <w:ind w:left="1701"/>
      </w:pPr>
      <w:r w:rsidRPr="007D3861">
        <w:t>T</w:t>
      </w:r>
      <w:r w:rsidR="00C1208C">
        <w:t>he new test pressure (250 kPa (2.5 </w:t>
      </w:r>
      <w:r w:rsidRPr="007D3861">
        <w:t xml:space="preserve">bar)) is already applied for the approval of metal IBC of the 21A type for substances of </w:t>
      </w:r>
      <w:r w:rsidR="006E07CD">
        <w:t>p</w:t>
      </w:r>
      <w:r w:rsidRPr="007D3861">
        <w:t xml:space="preserve">acking </w:t>
      </w:r>
      <w:r w:rsidR="006E07CD">
        <w:t>g</w:t>
      </w:r>
      <w:r w:rsidR="00C1208C">
        <w:t>roup </w:t>
      </w:r>
      <w:r w:rsidRPr="007D3861">
        <w:t>I.</w:t>
      </w:r>
    </w:p>
    <w:p w14:paraId="7C72FEFA" w14:textId="4641C5B9" w:rsidR="007D3861" w:rsidRDefault="006E07CD" w:rsidP="006E07CD">
      <w:pPr>
        <w:pStyle w:val="SingleTxtG"/>
      </w:pPr>
      <w:r>
        <w:tab/>
      </w:r>
      <w:r>
        <w:tab/>
        <w:t>(b)</w:t>
      </w:r>
      <w:r>
        <w:tab/>
      </w:r>
      <w:r w:rsidR="007D3861" w:rsidRPr="007D3861">
        <w:t>Drop Test:</w:t>
      </w:r>
    </w:p>
    <w:p w14:paraId="4D8C2795" w14:textId="07D86724" w:rsidR="007D3861" w:rsidRPr="007D3861" w:rsidRDefault="007D3861" w:rsidP="00315BA3">
      <w:pPr>
        <w:pStyle w:val="SingleTxtG"/>
        <w:ind w:left="1701"/>
      </w:pPr>
      <w:r w:rsidRPr="007D3861">
        <w:t xml:space="preserve">The proposed </w:t>
      </w:r>
      <w:r w:rsidR="00C1208C">
        <w:t>drop height be set at 1.8 </w:t>
      </w:r>
      <w:r w:rsidRPr="007D3861">
        <w:t>m is alr</w:t>
      </w:r>
      <w:r w:rsidR="00C1208C">
        <w:t>e</w:t>
      </w:r>
      <w:r w:rsidRPr="007D3861">
        <w:t xml:space="preserve">ady established for solids of </w:t>
      </w:r>
      <w:r w:rsidR="006E07CD">
        <w:t>p</w:t>
      </w:r>
      <w:r w:rsidRPr="00315BA3">
        <w:t>acking</w:t>
      </w:r>
      <w:r w:rsidRPr="007D3861">
        <w:t xml:space="preserve"> </w:t>
      </w:r>
      <w:r w:rsidR="006E07CD">
        <w:t>g</w:t>
      </w:r>
      <w:r w:rsidRPr="007D3861">
        <w:t>roup I</w:t>
      </w:r>
      <w:r w:rsidR="00C1208C">
        <w:t xml:space="preserve"> </w:t>
      </w:r>
      <w:r w:rsidRPr="007D3861">
        <w:t xml:space="preserve">for </w:t>
      </w:r>
      <w:r w:rsidR="00C1208C">
        <w:t>a relative density of up to 1.2 </w:t>
      </w:r>
      <w:r w:rsidRPr="007D3861">
        <w:t>kg/dm</w:t>
      </w:r>
      <w:r w:rsidR="00C1208C">
        <w:t>³</w:t>
      </w:r>
      <w:r w:rsidRPr="007D3861">
        <w:t xml:space="preserve">. For substances with a higher relative density (D) the drop height shall be determined from the relative density and a factor of 1.5 (along the lines of the calculation for </w:t>
      </w:r>
      <w:r w:rsidR="006E07CD">
        <w:t>p</w:t>
      </w:r>
      <w:r w:rsidRPr="007D3861">
        <w:t xml:space="preserve">acking </w:t>
      </w:r>
      <w:r w:rsidR="006E07CD">
        <w:t>g</w:t>
      </w:r>
      <w:r w:rsidRPr="007D3861">
        <w:t>roups II and III).</w:t>
      </w:r>
    </w:p>
    <w:p w14:paraId="53576C0B" w14:textId="3A0D58DB" w:rsidR="007D3861" w:rsidRDefault="006E07CD" w:rsidP="006E07CD">
      <w:pPr>
        <w:pStyle w:val="SingleTxtG"/>
      </w:pPr>
      <w:r>
        <w:tab/>
      </w:r>
      <w:r>
        <w:tab/>
        <w:t>(c)</w:t>
      </w:r>
      <w:r>
        <w:tab/>
      </w:r>
      <w:r w:rsidR="007D3861" w:rsidRPr="007D3861">
        <w:t>Leak test:</w:t>
      </w:r>
    </w:p>
    <w:p w14:paraId="14D76E2D" w14:textId="6F0B6268" w:rsidR="007D3861" w:rsidRPr="007D3861" w:rsidRDefault="007D3861" w:rsidP="00315BA3">
      <w:pPr>
        <w:pStyle w:val="SingleTxtG"/>
        <w:ind w:left="1701"/>
      </w:pPr>
      <w:r w:rsidRPr="007D3861">
        <w:t xml:space="preserve">The </w:t>
      </w:r>
      <w:r w:rsidRPr="00315BA3">
        <w:t>proposal</w:t>
      </w:r>
      <w:r w:rsidRPr="007D3861">
        <w:t xml:space="preserve"> to increase the leak pressure from </w:t>
      </w:r>
      <w:r w:rsidR="00B0451C">
        <w:t>20 </w:t>
      </w:r>
      <w:r w:rsidR="00B0451C" w:rsidRPr="007D3861">
        <w:t>kPa (0.</w:t>
      </w:r>
      <w:r w:rsidR="00B0451C">
        <w:t>2</w:t>
      </w:r>
      <w:r w:rsidR="00B0451C" w:rsidRPr="007D3861">
        <w:t xml:space="preserve"> bar) </w:t>
      </w:r>
      <w:r w:rsidRPr="007D3861">
        <w:t xml:space="preserve">to </w:t>
      </w:r>
      <w:r w:rsidR="00C1208C">
        <w:t>30 </w:t>
      </w:r>
      <w:r w:rsidR="00B0451C">
        <w:t>kPa (0.3 </w:t>
      </w:r>
      <w:r w:rsidRPr="007D3861">
        <w:t xml:space="preserve">bar) is justified to ensure the risk at conditions </w:t>
      </w:r>
      <w:r w:rsidR="006E07CD">
        <w:t>encountered during</w:t>
      </w:r>
      <w:r w:rsidRPr="007D3861">
        <w:t xml:space="preserve"> the transport of dangerous goods.</w:t>
      </w:r>
    </w:p>
    <w:p w14:paraId="46702EFE" w14:textId="4523C6F2" w:rsidR="00BE5749" w:rsidRDefault="00B0451C" w:rsidP="007D3861">
      <w:pPr>
        <w:pStyle w:val="SingleTxtG"/>
      </w:pPr>
      <w:r>
        <w:t>8.</w:t>
      </w:r>
      <w:r>
        <w:tab/>
      </w:r>
      <w:r w:rsidR="007D3861" w:rsidRPr="006A061D">
        <w:t xml:space="preserve">SSCA </w:t>
      </w:r>
      <w:r w:rsidR="00955F9B">
        <w:t>like to invite</w:t>
      </w:r>
      <w:r w:rsidR="007D3861" w:rsidRPr="006A061D">
        <w:t xml:space="preserve"> the Sub-Committee </w:t>
      </w:r>
      <w:r w:rsidR="00955F9B">
        <w:t>to consider</w:t>
      </w:r>
      <w:r>
        <w:t xml:space="preserve"> the following proposal</w:t>
      </w:r>
      <w:r w:rsidR="007D3861" w:rsidRPr="006A061D">
        <w:t>.</w:t>
      </w:r>
    </w:p>
    <w:p w14:paraId="615EE9B3" w14:textId="77777777" w:rsidR="00297F3D" w:rsidRPr="0055477C" w:rsidRDefault="00297F3D" w:rsidP="00297F3D">
      <w:pPr>
        <w:pStyle w:val="HChG"/>
      </w:pPr>
      <w:r w:rsidRPr="00D72915">
        <w:rPr>
          <w:lang w:val="en-US"/>
        </w:rPr>
        <w:tab/>
      </w:r>
      <w:r w:rsidRPr="00D72915">
        <w:rPr>
          <w:lang w:val="en-US"/>
        </w:rPr>
        <w:tab/>
      </w:r>
      <w:r w:rsidRPr="0055477C">
        <w:t>Proposal</w:t>
      </w:r>
    </w:p>
    <w:p w14:paraId="138E199A" w14:textId="5F08FE5F" w:rsidR="00B0451C" w:rsidRPr="00B0451C" w:rsidRDefault="00317F52" w:rsidP="00B0451C">
      <w:pPr>
        <w:pStyle w:val="SingleTxtG"/>
      </w:pPr>
      <w:bookmarkStart w:id="1" w:name="_Hlk498077547"/>
      <w:r>
        <w:t>9</w:t>
      </w:r>
      <w:r w:rsidR="00B0451C" w:rsidRPr="00B0451C">
        <w:t>.</w:t>
      </w:r>
      <w:r w:rsidR="00B0451C" w:rsidRPr="00B0451C">
        <w:tab/>
        <w:t xml:space="preserve">Amend </w:t>
      </w:r>
      <w:r w:rsidR="00955F9B">
        <w:t xml:space="preserve">the </w:t>
      </w:r>
      <w:r w:rsidR="000F46B1">
        <w:rPr>
          <w:noProof/>
        </w:rPr>
        <w:t>d</w:t>
      </w:r>
      <w:r w:rsidR="000F46B1" w:rsidRPr="00B0451C">
        <w:rPr>
          <w:noProof/>
        </w:rPr>
        <w:t>efinition</w:t>
      </w:r>
      <w:r w:rsidR="000F46B1">
        <w:rPr>
          <w:noProof/>
        </w:rPr>
        <w:t xml:space="preserve"> of </w:t>
      </w:r>
      <w:r w:rsidR="000F46B1" w:rsidRPr="000F46B1">
        <w:rPr>
          <w:i/>
          <w:iCs/>
          <w:noProof/>
          <w:lang w:val="en-US"/>
        </w:rPr>
        <w:t>Intermediate Bulk Container (IBC)</w:t>
      </w:r>
      <w:r w:rsidR="00955F9B">
        <w:rPr>
          <w:i/>
          <w:iCs/>
          <w:noProof/>
          <w:lang w:val="en-US"/>
        </w:rPr>
        <w:t xml:space="preserve"> in 1.2.1</w:t>
      </w:r>
      <w:r w:rsidR="000F46B1">
        <w:t xml:space="preserve"> </w:t>
      </w:r>
      <w:r w:rsidR="00B0451C" w:rsidRPr="00B0451C">
        <w:t>as follows</w:t>
      </w:r>
      <w:r w:rsidR="00955F9B">
        <w:t xml:space="preserve"> (New text is </w:t>
      </w:r>
      <w:r w:rsidR="00955F9B" w:rsidRPr="00955F9B">
        <w:rPr>
          <w:u w:val="single"/>
        </w:rPr>
        <w:t>underlined</w:t>
      </w:r>
      <w:r w:rsidR="00955F9B">
        <w:t>)</w:t>
      </w:r>
    </w:p>
    <w:p w14:paraId="0C18B81B" w14:textId="1DB6A211" w:rsidR="00B0451C" w:rsidRPr="000F46B1" w:rsidRDefault="000F46B1" w:rsidP="000F46B1">
      <w:pPr>
        <w:pStyle w:val="SingleTxtG"/>
        <w:ind w:left="1701"/>
      </w:pPr>
      <w:r>
        <w:t>“</w:t>
      </w:r>
      <w:r w:rsidR="00B0451C" w:rsidRPr="000F46B1">
        <w:rPr>
          <w:i/>
        </w:rPr>
        <w:t>Intermediate Bulk Container (IBC)</w:t>
      </w:r>
    </w:p>
    <w:p w14:paraId="765CBF72" w14:textId="4A84D143" w:rsidR="00B0451C" w:rsidRPr="000F46B1" w:rsidRDefault="00B0451C" w:rsidP="00315BA3">
      <w:pPr>
        <w:pStyle w:val="SingleTxtG"/>
        <w:ind w:left="1701"/>
      </w:pPr>
      <w:r w:rsidRPr="000F46B1">
        <w:t>IBC means any rigid or flexible portable packaging, other than those specified in</w:t>
      </w:r>
      <w:r w:rsidR="000F46B1">
        <w:t xml:space="preserve"> </w:t>
      </w:r>
      <w:r w:rsidRPr="000F46B1">
        <w:t>Chapter 6.1, that:</w:t>
      </w:r>
    </w:p>
    <w:p w14:paraId="5F295D0B" w14:textId="17596E57" w:rsidR="00B0451C" w:rsidRPr="000F46B1" w:rsidRDefault="00B0451C" w:rsidP="00315BA3">
      <w:pPr>
        <w:pStyle w:val="SingleTxtG"/>
        <w:ind w:left="2127" w:hanging="426"/>
      </w:pPr>
      <w:r w:rsidRPr="000F46B1">
        <w:t xml:space="preserve">(a) </w:t>
      </w:r>
      <w:r w:rsidR="000F46B1">
        <w:tab/>
      </w:r>
      <w:r w:rsidRPr="000F46B1">
        <w:t>has a capacity of:</w:t>
      </w:r>
    </w:p>
    <w:p w14:paraId="3A1D8F09" w14:textId="7987693A" w:rsidR="00B0451C" w:rsidRPr="000F46B1" w:rsidRDefault="00B0451C" w:rsidP="00315BA3">
      <w:pPr>
        <w:pStyle w:val="SingleTxtG"/>
        <w:ind w:left="2552" w:hanging="425"/>
      </w:pPr>
      <w:r w:rsidRPr="000F46B1">
        <w:t xml:space="preserve">(i) </w:t>
      </w:r>
      <w:r w:rsidR="000F46B1">
        <w:tab/>
      </w:r>
      <w:r w:rsidR="00874D3D">
        <w:t>not more than 3.0 </w:t>
      </w:r>
      <w:r w:rsidRPr="000F46B1">
        <w:t>m</w:t>
      </w:r>
      <w:r w:rsidR="00874D3D">
        <w:t>³ (3.</w:t>
      </w:r>
      <w:r w:rsidRPr="000F46B1">
        <w:t>000 litres) for solids and liquids of packing groups II</w:t>
      </w:r>
      <w:r w:rsidR="000F46B1">
        <w:t xml:space="preserve"> </w:t>
      </w:r>
      <w:r w:rsidRPr="000F46B1">
        <w:t>and III;</w:t>
      </w:r>
    </w:p>
    <w:p w14:paraId="2F8E121B" w14:textId="788C5EA2" w:rsidR="00B0451C" w:rsidRPr="000F46B1" w:rsidRDefault="00B0451C" w:rsidP="00315BA3">
      <w:pPr>
        <w:pStyle w:val="SingleTxtG"/>
        <w:ind w:left="2552" w:hanging="425"/>
      </w:pPr>
      <w:r w:rsidRPr="000F46B1">
        <w:t xml:space="preserve">(ii) </w:t>
      </w:r>
      <w:r w:rsidR="000F46B1">
        <w:tab/>
      </w:r>
      <w:r w:rsidR="00874D3D">
        <w:t>not more than 1.5 </w:t>
      </w:r>
      <w:r w:rsidRPr="000F46B1">
        <w:t>m</w:t>
      </w:r>
      <w:r w:rsidR="00874D3D">
        <w:t>³</w:t>
      </w:r>
      <w:r w:rsidRPr="000F46B1">
        <w:t xml:space="preserve"> for solids of packing group I when packed in flexible, rigid</w:t>
      </w:r>
      <w:r w:rsidR="000F46B1">
        <w:t xml:space="preserve"> </w:t>
      </w:r>
      <w:r w:rsidRPr="000F46B1">
        <w:t>plastics, composite, fibreboard and wooden IBCs;</w:t>
      </w:r>
    </w:p>
    <w:p w14:paraId="78595113" w14:textId="6126955E" w:rsidR="00B0451C" w:rsidRPr="000F46B1" w:rsidRDefault="00B0451C" w:rsidP="00315BA3">
      <w:pPr>
        <w:pStyle w:val="SingleTxtG"/>
        <w:ind w:left="2552" w:hanging="425"/>
      </w:pPr>
      <w:r w:rsidRPr="000F46B1">
        <w:lastRenderedPageBreak/>
        <w:t xml:space="preserve">(iii) </w:t>
      </w:r>
      <w:r w:rsidR="000F46B1">
        <w:tab/>
      </w:r>
      <w:r w:rsidR="00874D3D">
        <w:t>not more than 3.0 </w:t>
      </w:r>
      <w:r w:rsidRPr="000F46B1">
        <w:t>m</w:t>
      </w:r>
      <w:r w:rsidR="00874D3D">
        <w:t>³</w:t>
      </w:r>
      <w:r w:rsidRPr="000F46B1">
        <w:t xml:space="preserve"> for solids of packing group I when packed in metal IBCs;</w:t>
      </w:r>
    </w:p>
    <w:p w14:paraId="158839BF" w14:textId="60E9C4A3" w:rsidR="00B0451C" w:rsidRPr="000F46B1" w:rsidRDefault="00B0451C" w:rsidP="00315BA3">
      <w:pPr>
        <w:pStyle w:val="SingleTxtG"/>
        <w:ind w:left="2552" w:hanging="425"/>
      </w:pPr>
      <w:r w:rsidRPr="000F46B1">
        <w:t xml:space="preserve">(iv) </w:t>
      </w:r>
      <w:r w:rsidR="000F46B1">
        <w:tab/>
      </w:r>
      <w:r w:rsidR="00874D3D">
        <w:t>not more than 3.0 </w:t>
      </w:r>
      <w:r w:rsidRPr="000F46B1">
        <w:t>m</w:t>
      </w:r>
      <w:r w:rsidR="00874D3D">
        <w:t>³</w:t>
      </w:r>
      <w:r w:rsidRPr="000F46B1">
        <w:t xml:space="preserve"> for radioactive material of Class 7;</w:t>
      </w:r>
    </w:p>
    <w:p w14:paraId="261C00D2" w14:textId="663D6584" w:rsidR="00B0451C" w:rsidRPr="00874D3D" w:rsidRDefault="00B0451C" w:rsidP="00315BA3">
      <w:pPr>
        <w:pStyle w:val="SingleTxtG"/>
        <w:ind w:left="2552" w:hanging="425"/>
        <w:rPr>
          <w:u w:val="single"/>
        </w:rPr>
      </w:pPr>
      <w:r w:rsidRPr="00874D3D">
        <w:rPr>
          <w:u w:val="single"/>
        </w:rPr>
        <w:t>(v)</w:t>
      </w:r>
      <w:r w:rsidR="000F46B1" w:rsidRPr="00874D3D">
        <w:rPr>
          <w:u w:val="single"/>
        </w:rPr>
        <w:tab/>
      </w:r>
      <w:r w:rsidRPr="00874D3D">
        <w:rPr>
          <w:u w:val="single"/>
        </w:rPr>
        <w:t>not more than 1.5 m³ for liquids of packaging group I when filled in metal IBCs</w:t>
      </w:r>
      <w:r w:rsidR="00874D3D">
        <w:rPr>
          <w:u w:val="single"/>
        </w:rPr>
        <w:t>;</w:t>
      </w:r>
    </w:p>
    <w:p w14:paraId="24AD00AC" w14:textId="343C7722" w:rsidR="00B0451C" w:rsidRPr="000F46B1" w:rsidRDefault="000F46B1" w:rsidP="00315BA3">
      <w:pPr>
        <w:pStyle w:val="SingleTxtG"/>
        <w:ind w:left="2127" w:hanging="426"/>
      </w:pPr>
      <w:r>
        <w:t>(b)</w:t>
      </w:r>
      <w:r>
        <w:tab/>
      </w:r>
      <w:r w:rsidR="00B0451C" w:rsidRPr="000F46B1">
        <w:t>is designed for mechanical handling;</w:t>
      </w:r>
    </w:p>
    <w:p w14:paraId="1BFF97DC" w14:textId="3FAC0B53" w:rsidR="00B0451C" w:rsidRPr="00B0451C" w:rsidRDefault="000F46B1" w:rsidP="00315BA3">
      <w:pPr>
        <w:pStyle w:val="SingleTxtG"/>
        <w:ind w:left="2127" w:hanging="426"/>
      </w:pPr>
      <w:r>
        <w:t>(c)</w:t>
      </w:r>
      <w:r>
        <w:tab/>
      </w:r>
      <w:r w:rsidR="00B0451C" w:rsidRPr="000F46B1">
        <w:t>is resistant to the stresses produced in handling and transport, as determined by tests;</w:t>
      </w:r>
      <w:r w:rsidR="00874D3D">
        <w:t>”</w:t>
      </w:r>
    </w:p>
    <w:p w14:paraId="7DBEF19C" w14:textId="5026D956" w:rsidR="00317F52" w:rsidRPr="00B0451C" w:rsidRDefault="00317F52" w:rsidP="00317F52">
      <w:pPr>
        <w:pStyle w:val="SingleTxtG"/>
      </w:pPr>
      <w:r>
        <w:t>10</w:t>
      </w:r>
      <w:r w:rsidRPr="00B0451C">
        <w:t>.</w:t>
      </w:r>
      <w:r w:rsidRPr="00B0451C">
        <w:tab/>
        <w:t xml:space="preserve">Amend </w:t>
      </w:r>
      <w:r w:rsidR="00955F9B">
        <w:t xml:space="preserve">the last paragraph under </w:t>
      </w:r>
      <w:r w:rsidRPr="00B0451C">
        <w:rPr>
          <w:noProof/>
        </w:rPr>
        <w:t>4.1.1.10</w:t>
      </w:r>
      <w:r>
        <w:rPr>
          <w:noProof/>
        </w:rPr>
        <w:t xml:space="preserve"> </w:t>
      </w:r>
      <w:r>
        <w:t xml:space="preserve">to read </w:t>
      </w:r>
      <w:r w:rsidRPr="00B0451C">
        <w:t>as follows:</w:t>
      </w:r>
    </w:p>
    <w:p w14:paraId="6225BB87" w14:textId="491C6BAF" w:rsidR="00B0451C" w:rsidRPr="00936B4E" w:rsidRDefault="00955F9B" w:rsidP="00936B4E">
      <w:pPr>
        <w:pStyle w:val="SingleTxtG"/>
        <w:tabs>
          <w:tab w:val="left" w:pos="2835"/>
        </w:tabs>
        <w:ind w:left="1701"/>
      </w:pPr>
      <w:r>
        <w:t>“</w:t>
      </w:r>
      <w:r w:rsidR="00B0451C" w:rsidRPr="00936B4E">
        <w:t>IBCs intended for the transport of liquids shall not be used to carry liquids having a v</w:t>
      </w:r>
      <w:r w:rsidR="00936B4E">
        <w:t xml:space="preserve">apour pressure of more than </w:t>
      </w:r>
      <w:r w:rsidR="00936B4E" w:rsidRPr="00936B4E">
        <w:rPr>
          <w:strike/>
        </w:rPr>
        <w:t>110 kPa (1.1 bar)</w:t>
      </w:r>
      <w:r w:rsidR="00936B4E">
        <w:t xml:space="preserve"> </w:t>
      </w:r>
      <w:r w:rsidR="00936B4E" w:rsidRPr="00936B4E">
        <w:rPr>
          <w:u w:val="single"/>
        </w:rPr>
        <w:t>150 kPa (1.5 bar)</w:t>
      </w:r>
      <w:r w:rsidR="00936B4E" w:rsidRPr="00B0451C">
        <w:t xml:space="preserve"> </w:t>
      </w:r>
      <w:r w:rsidR="00936B4E">
        <w:t xml:space="preserve">at 50 °C or </w:t>
      </w:r>
      <w:r w:rsidR="00936B4E" w:rsidRPr="00936B4E">
        <w:rPr>
          <w:strike/>
        </w:rPr>
        <w:t>130 kPa (1.3 bar)</w:t>
      </w:r>
      <w:r w:rsidR="00936B4E">
        <w:t xml:space="preserve"> </w:t>
      </w:r>
      <w:r w:rsidR="00936B4E" w:rsidRPr="00936B4E">
        <w:rPr>
          <w:u w:val="single"/>
        </w:rPr>
        <w:t>195 kPa (1.95 bar)</w:t>
      </w:r>
      <w:r w:rsidR="00936B4E">
        <w:t xml:space="preserve"> at 55 </w:t>
      </w:r>
      <w:r w:rsidR="00B0451C" w:rsidRPr="00936B4E">
        <w:t>°C.</w:t>
      </w:r>
      <w:r w:rsidR="00936B4E">
        <w:t>”</w:t>
      </w:r>
      <w:r>
        <w:t>.</w:t>
      </w:r>
    </w:p>
    <w:p w14:paraId="18B84D85" w14:textId="3103D41E" w:rsidR="00B0451C" w:rsidRPr="00B0451C" w:rsidRDefault="002375CB" w:rsidP="00582191">
      <w:pPr>
        <w:pStyle w:val="SingleTxtG"/>
        <w:tabs>
          <w:tab w:val="left" w:pos="2835"/>
        </w:tabs>
        <w:ind w:left="1701" w:hanging="567"/>
      </w:pPr>
      <w:r>
        <w:t>11.</w:t>
      </w:r>
      <w:r>
        <w:tab/>
      </w:r>
      <w:r w:rsidR="00955F9B">
        <w:t>In 4.1.4.2 Amend special packing provision B8 in IBC02 and IBC03 as follows:</w:t>
      </w:r>
    </w:p>
    <w:p w14:paraId="5E524452" w14:textId="18365B43" w:rsidR="002375CB" w:rsidRPr="002375CB" w:rsidRDefault="002375CB" w:rsidP="00EA7ACA">
      <w:pPr>
        <w:pStyle w:val="SingleTxtG"/>
        <w:tabs>
          <w:tab w:val="left" w:pos="2835"/>
        </w:tabs>
        <w:ind w:left="1701"/>
        <w:rPr>
          <w:b/>
          <w:i/>
        </w:rPr>
      </w:pPr>
      <w:r>
        <w:t>“</w:t>
      </w:r>
      <w:r w:rsidRPr="002375CB">
        <w:t xml:space="preserve">4.1.4.2 </w:t>
      </w:r>
      <w:r>
        <w:tab/>
      </w:r>
      <w:r w:rsidRPr="002375CB">
        <w:rPr>
          <w:b/>
          <w:i/>
        </w:rPr>
        <w:t>Packing instructions concerning the use of IBCs</w:t>
      </w:r>
    </w:p>
    <w:tbl>
      <w:tblPr>
        <w:tblStyle w:val="TableGrid"/>
        <w:tblW w:w="0" w:type="auto"/>
        <w:tblInd w:w="1701" w:type="dxa"/>
        <w:tblLook w:val="04A0" w:firstRow="1" w:lastRow="0" w:firstColumn="1" w:lastColumn="0" w:noHBand="0" w:noVBand="1"/>
      </w:tblPr>
      <w:tblGrid>
        <w:gridCol w:w="6799"/>
      </w:tblGrid>
      <w:tr w:rsidR="002375CB" w14:paraId="444EFCD5" w14:textId="77777777" w:rsidTr="00582191">
        <w:tc>
          <w:tcPr>
            <w:tcW w:w="6799" w:type="dxa"/>
          </w:tcPr>
          <w:p w14:paraId="3685C122" w14:textId="5E2FEBE4" w:rsidR="002375CB" w:rsidRDefault="00955F9B" w:rsidP="00955F9B">
            <w:pPr>
              <w:pStyle w:val="SingleTxtG"/>
              <w:spacing w:before="60" w:after="60" w:line="240" w:lineRule="auto"/>
              <w:ind w:left="572" w:right="0" w:hanging="572"/>
            </w:pPr>
            <w:r>
              <w:rPr>
                <w:b/>
              </w:rPr>
              <w:t>“</w:t>
            </w:r>
            <w:r w:rsidR="0013185E" w:rsidRPr="00421C18">
              <w:rPr>
                <w:b/>
              </w:rPr>
              <w:t>B8</w:t>
            </w:r>
            <w:r w:rsidR="0013185E" w:rsidRPr="002375CB">
              <w:t xml:space="preserve"> </w:t>
            </w:r>
            <w:r w:rsidR="00421C18">
              <w:tab/>
            </w:r>
            <w:proofErr w:type="gramStart"/>
            <w:r w:rsidR="0013185E" w:rsidRPr="002375CB">
              <w:t>The</w:t>
            </w:r>
            <w:proofErr w:type="gramEnd"/>
            <w:r w:rsidR="0013185E" w:rsidRPr="002375CB">
              <w:t xml:space="preserve"> pure form of this substance shall not be transported in IBCs since it is known to have a vapour pressure</w:t>
            </w:r>
            <w:r w:rsidR="00421C18">
              <w:t xml:space="preserve"> of more than </w:t>
            </w:r>
            <w:r w:rsidR="00421C18" w:rsidRPr="00C320BB">
              <w:rPr>
                <w:strike/>
              </w:rPr>
              <w:t>110 kPa</w:t>
            </w:r>
            <w:r w:rsidR="00421C18">
              <w:t xml:space="preserve"> </w:t>
            </w:r>
            <w:r w:rsidR="00421C18" w:rsidRPr="00C320BB">
              <w:rPr>
                <w:u w:val="single"/>
              </w:rPr>
              <w:t>1</w:t>
            </w:r>
            <w:r w:rsidR="00C320BB" w:rsidRPr="00C320BB">
              <w:rPr>
                <w:u w:val="single"/>
              </w:rPr>
              <w:t>5</w:t>
            </w:r>
            <w:r w:rsidR="00421C18" w:rsidRPr="00C320BB">
              <w:rPr>
                <w:u w:val="single"/>
              </w:rPr>
              <w:t>0 kPa</w:t>
            </w:r>
            <w:r w:rsidR="00421C18">
              <w:t xml:space="preserve"> at 50 °C or </w:t>
            </w:r>
            <w:r w:rsidR="00421C18" w:rsidRPr="00C320BB">
              <w:rPr>
                <w:strike/>
              </w:rPr>
              <w:t>130 kPa</w:t>
            </w:r>
            <w:r w:rsidR="00421C18">
              <w:t xml:space="preserve"> </w:t>
            </w:r>
            <w:r w:rsidR="00421C18" w:rsidRPr="00C320BB">
              <w:rPr>
                <w:u w:val="single"/>
              </w:rPr>
              <w:t>1</w:t>
            </w:r>
            <w:r w:rsidR="00C320BB" w:rsidRPr="00C320BB">
              <w:rPr>
                <w:u w:val="single"/>
              </w:rPr>
              <w:t>95</w:t>
            </w:r>
            <w:r w:rsidR="00421C18" w:rsidRPr="00C320BB">
              <w:rPr>
                <w:u w:val="single"/>
              </w:rPr>
              <w:t> kPa</w:t>
            </w:r>
            <w:r w:rsidR="00421C18">
              <w:t xml:space="preserve"> at 55 </w:t>
            </w:r>
            <w:r w:rsidR="0013185E" w:rsidRPr="002375CB">
              <w:t>°C.</w:t>
            </w:r>
            <w:r>
              <w:t>”.</w:t>
            </w:r>
          </w:p>
        </w:tc>
      </w:tr>
    </w:tbl>
    <w:p w14:paraId="03492A79" w14:textId="3AF0DEA0" w:rsidR="00EA7ACA" w:rsidRPr="00B0451C" w:rsidRDefault="00EA7ACA" w:rsidP="00582191">
      <w:pPr>
        <w:pStyle w:val="SingleTxtG"/>
        <w:spacing w:before="120"/>
      </w:pPr>
      <w:r>
        <w:t>12.</w:t>
      </w:r>
      <w:r>
        <w:tab/>
        <w:t xml:space="preserve">Amend </w:t>
      </w:r>
      <w:r w:rsidRPr="00B0451C">
        <w:t>6.5.2.1.1</w:t>
      </w:r>
      <w:r w:rsidR="00955F9B">
        <w:t>(c)(</w:t>
      </w:r>
      <w:proofErr w:type="spellStart"/>
      <w:r w:rsidR="00955F9B">
        <w:t>i</w:t>
      </w:r>
      <w:proofErr w:type="spellEnd"/>
      <w:r w:rsidR="00955F9B">
        <w:t xml:space="preserve">) </w:t>
      </w:r>
      <w:r>
        <w:t xml:space="preserve">to read </w:t>
      </w:r>
      <w:r w:rsidRPr="00B0451C">
        <w:t>as follows</w:t>
      </w:r>
      <w:r>
        <w:t>:</w:t>
      </w:r>
    </w:p>
    <w:p w14:paraId="2DA15395" w14:textId="15F4D928" w:rsidR="00EA7ACA" w:rsidRPr="00EA7ACA" w:rsidRDefault="00955F9B" w:rsidP="00582191">
      <w:pPr>
        <w:pStyle w:val="SingleTxtG"/>
        <w:ind w:left="3402" w:hanging="567"/>
      </w:pPr>
      <w:r>
        <w:t>“</w:t>
      </w:r>
      <w:r w:rsidR="00EA7ACA" w:rsidRPr="00EA7ACA">
        <w:t xml:space="preserve">(c) </w:t>
      </w:r>
      <w:r w:rsidR="00582191">
        <w:tab/>
      </w:r>
      <w:r w:rsidR="00582191">
        <w:tab/>
      </w:r>
      <w:r w:rsidR="00EA7ACA" w:rsidRPr="00EA7ACA">
        <w:t>A capital letter designating the packing group(s) for which the design type has been</w:t>
      </w:r>
      <w:r w:rsidR="00EA7ACA">
        <w:t xml:space="preserve"> </w:t>
      </w:r>
      <w:r w:rsidR="00EA7ACA" w:rsidRPr="00EA7ACA">
        <w:t>approved:</w:t>
      </w:r>
    </w:p>
    <w:p w14:paraId="21104649" w14:textId="60CFEAAD" w:rsidR="00EA7ACA" w:rsidRPr="00EA7ACA" w:rsidRDefault="00EA7ACA" w:rsidP="00582191">
      <w:pPr>
        <w:pStyle w:val="SingleTxtG"/>
        <w:ind w:left="3544" w:hanging="142"/>
      </w:pPr>
      <w:r w:rsidRPr="00EA7ACA">
        <w:t xml:space="preserve">(i) </w:t>
      </w:r>
      <w:r w:rsidR="00B808DE">
        <w:tab/>
      </w:r>
      <w:r w:rsidRPr="00EA7ACA">
        <w:t xml:space="preserve">X for packing groups I, II and III </w:t>
      </w:r>
      <w:r w:rsidRPr="00B808DE">
        <w:rPr>
          <w:strike/>
        </w:rPr>
        <w:t>(IBCs for solids only)</w:t>
      </w:r>
      <w:r w:rsidRPr="00EA7ACA">
        <w:t>;</w:t>
      </w:r>
    </w:p>
    <w:p w14:paraId="0865191E" w14:textId="559E7735" w:rsidR="00EA7ACA" w:rsidRPr="00EA7ACA" w:rsidRDefault="00EA7ACA" w:rsidP="00582191">
      <w:pPr>
        <w:pStyle w:val="SingleTxtG"/>
        <w:ind w:left="3544" w:hanging="142"/>
      </w:pPr>
      <w:r w:rsidRPr="00EA7ACA">
        <w:t>(ii)</w:t>
      </w:r>
      <w:r w:rsidR="00B808DE">
        <w:tab/>
      </w:r>
      <w:r w:rsidRPr="00EA7ACA">
        <w:t>Y for packing groups II and III;</w:t>
      </w:r>
    </w:p>
    <w:p w14:paraId="29814906" w14:textId="0C72E130" w:rsidR="00EA7ACA" w:rsidRPr="00EA7ACA" w:rsidRDefault="00EA7ACA" w:rsidP="00582191">
      <w:pPr>
        <w:pStyle w:val="SingleTxtG"/>
        <w:ind w:left="3544" w:hanging="142"/>
      </w:pPr>
      <w:r w:rsidRPr="00EA7ACA">
        <w:t>(iii)</w:t>
      </w:r>
      <w:r w:rsidR="00B808DE">
        <w:tab/>
      </w:r>
      <w:r w:rsidRPr="00EA7ACA">
        <w:t>Z for packing group III only;</w:t>
      </w:r>
      <w:r w:rsidR="00955F9B">
        <w:t>”.</w:t>
      </w:r>
    </w:p>
    <w:p w14:paraId="0605D0DD" w14:textId="6320F4D6" w:rsidR="00B808DE" w:rsidRPr="00B0451C" w:rsidRDefault="00B808DE" w:rsidP="00955F9B">
      <w:pPr>
        <w:pStyle w:val="SingleTxtG"/>
      </w:pPr>
      <w:r>
        <w:t>13.</w:t>
      </w:r>
      <w:r>
        <w:tab/>
      </w:r>
      <w:r w:rsidR="00955F9B">
        <w:t>Insert a new (d) in 6.5.6.8.4.1 as follows:</w:t>
      </w:r>
    </w:p>
    <w:p w14:paraId="6AC09A55" w14:textId="11F949D0" w:rsidR="00B808DE" w:rsidRPr="00B808DE" w:rsidRDefault="00955F9B" w:rsidP="00B808DE">
      <w:pPr>
        <w:pStyle w:val="SingleTxtG"/>
        <w:tabs>
          <w:tab w:val="left" w:pos="2835"/>
        </w:tabs>
        <w:ind w:left="1701"/>
      </w:pPr>
      <w:r>
        <w:t>“</w:t>
      </w:r>
      <w:r w:rsidR="00B808DE" w:rsidRPr="00B808DE">
        <w:t>6.5.</w:t>
      </w:r>
      <w:r w:rsidR="00B808DE">
        <w:t>6.8.4.</w:t>
      </w:r>
      <w:r w:rsidR="00B808DE" w:rsidRPr="00B808DE">
        <w:t>1</w:t>
      </w:r>
      <w:r w:rsidR="00B808DE" w:rsidRPr="00B808DE">
        <w:tab/>
      </w:r>
      <w:r w:rsidR="00B808DE">
        <w:t>Metal IBCs:</w:t>
      </w:r>
    </w:p>
    <w:p w14:paraId="7CE25142" w14:textId="4371BBC4" w:rsidR="00B0451C" w:rsidRPr="00936B4E" w:rsidRDefault="00B0451C" w:rsidP="00B808DE">
      <w:pPr>
        <w:pStyle w:val="SingleTxtG"/>
        <w:ind w:left="3261" w:hanging="426"/>
      </w:pPr>
      <w:r w:rsidRPr="00936B4E">
        <w:t xml:space="preserve">(a) </w:t>
      </w:r>
      <w:r w:rsidR="00B808DE">
        <w:tab/>
      </w:r>
      <w:r w:rsidRPr="00936B4E">
        <w:t>For IBCs of types 21A, 21B and 21N, for packing</w:t>
      </w:r>
      <w:r w:rsidR="00B808DE">
        <w:t xml:space="preserve"> group I solids, a 250 kPa (2.5 </w:t>
      </w:r>
      <w:r w:rsidRPr="00936B4E">
        <w:t>bar) gauge pressure;</w:t>
      </w:r>
    </w:p>
    <w:p w14:paraId="11544A70" w14:textId="292754DA" w:rsidR="00B0451C" w:rsidRPr="00936B4E" w:rsidRDefault="00B0451C" w:rsidP="00B808DE">
      <w:pPr>
        <w:pStyle w:val="SingleTxtG"/>
        <w:ind w:left="3261" w:hanging="426"/>
      </w:pPr>
      <w:r w:rsidRPr="00936B4E">
        <w:t xml:space="preserve">(b) </w:t>
      </w:r>
      <w:r w:rsidR="00B808DE">
        <w:tab/>
      </w:r>
      <w:r w:rsidRPr="00936B4E">
        <w:t>For IBCs of types 21A, 21B, 21N, 31A, 31B and 31N, for packing gro</w:t>
      </w:r>
      <w:r w:rsidR="00B808DE">
        <w:t>ups II or III substances, a 200 kPa (2 </w:t>
      </w:r>
      <w:r w:rsidRPr="00936B4E">
        <w:t>bar) gauge pressure;</w:t>
      </w:r>
    </w:p>
    <w:p w14:paraId="69B86F18" w14:textId="5566F08F" w:rsidR="00B0451C" w:rsidRPr="002C1FC7" w:rsidRDefault="00B0451C" w:rsidP="00B808DE">
      <w:pPr>
        <w:pStyle w:val="SingleTxtG"/>
        <w:ind w:left="3261" w:hanging="426"/>
      </w:pPr>
      <w:r w:rsidRPr="00936B4E">
        <w:t xml:space="preserve">(c) </w:t>
      </w:r>
      <w:r w:rsidR="00B808DE">
        <w:tab/>
      </w:r>
      <w:r w:rsidRPr="00936B4E">
        <w:t xml:space="preserve">In addition, for IBCs of types 31A, 31B and 31N, for packing </w:t>
      </w:r>
      <w:r w:rsidRPr="002C1FC7">
        <w:t xml:space="preserve">group II and III, </w:t>
      </w:r>
      <w:r w:rsidR="00B808DE" w:rsidRPr="002C1FC7">
        <w:t>a 65 kPa (0.65 </w:t>
      </w:r>
      <w:r w:rsidRPr="002C1FC7">
        <w:t>bar) gauge pressure. This test sh</w:t>
      </w:r>
      <w:r w:rsidR="00B808DE" w:rsidRPr="002C1FC7">
        <w:t>all be performed before the 200 </w:t>
      </w:r>
      <w:r w:rsidRPr="002C1FC7">
        <w:t xml:space="preserve">kPa test. </w:t>
      </w:r>
    </w:p>
    <w:p w14:paraId="638AE5B3" w14:textId="0F590CE2" w:rsidR="00B0451C" w:rsidRPr="00936B4E" w:rsidRDefault="00B0451C" w:rsidP="00B808DE">
      <w:pPr>
        <w:pStyle w:val="SingleTxtG"/>
        <w:ind w:left="3261" w:hanging="426"/>
      </w:pPr>
      <w:r w:rsidRPr="002C1FC7">
        <w:rPr>
          <w:u w:val="single"/>
        </w:rPr>
        <w:t xml:space="preserve">(d) </w:t>
      </w:r>
      <w:r w:rsidR="006757E0" w:rsidRPr="002C1FC7">
        <w:rPr>
          <w:u w:val="single"/>
        </w:rPr>
        <w:tab/>
      </w:r>
      <w:r w:rsidRPr="002C1FC7">
        <w:rPr>
          <w:u w:val="single"/>
        </w:rPr>
        <w:t>In addition, for IBCs of types 31A for packing group I, II and III, a 150 kPa (1.5 bar) gauge pressure. This test shall be performed before the 250 kPa test.</w:t>
      </w:r>
      <w:r w:rsidR="006757E0" w:rsidRPr="002C1FC7">
        <w:t>”</w:t>
      </w:r>
    </w:p>
    <w:p w14:paraId="3CE16575" w14:textId="7BEAD4B2" w:rsidR="006757E0" w:rsidRPr="00B0451C" w:rsidRDefault="006757E0" w:rsidP="006757E0">
      <w:pPr>
        <w:pStyle w:val="SingleTxtG"/>
      </w:pPr>
      <w:r>
        <w:t>14.</w:t>
      </w:r>
      <w:r>
        <w:tab/>
        <w:t xml:space="preserve">Amend </w:t>
      </w:r>
      <w:r w:rsidRPr="00B0451C">
        <w:t>6.5.6.9.4</w:t>
      </w:r>
      <w:r>
        <w:t xml:space="preserve"> </w:t>
      </w:r>
      <w:r w:rsidR="00955F9B">
        <w:t xml:space="preserve">(a) and (b) </w:t>
      </w:r>
      <w:r w:rsidRPr="00B0451C">
        <w:t>as follows</w:t>
      </w:r>
      <w:r>
        <w:t>:</w:t>
      </w:r>
    </w:p>
    <w:p w14:paraId="577CDD20" w14:textId="484284C7" w:rsidR="00B0451C" w:rsidRPr="00B0451C" w:rsidRDefault="00B60BB9" w:rsidP="00936B4E">
      <w:pPr>
        <w:pStyle w:val="SingleTxtG"/>
        <w:tabs>
          <w:tab w:val="left" w:pos="2835"/>
        </w:tabs>
        <w:ind w:left="1701"/>
      </w:pPr>
      <w:r>
        <w:t>“</w:t>
      </w:r>
      <w:r w:rsidR="00B0451C" w:rsidRPr="00B0451C">
        <w:t xml:space="preserve">6.5.6.9.4 </w:t>
      </w:r>
      <w:r w:rsidR="006757E0">
        <w:tab/>
      </w:r>
      <w:r w:rsidR="00B0451C" w:rsidRPr="006757E0">
        <w:rPr>
          <w:i/>
        </w:rPr>
        <w:t>Drop height</w:t>
      </w:r>
    </w:p>
    <w:p w14:paraId="525A9B59" w14:textId="3083BEAA" w:rsidR="00B0451C" w:rsidRPr="00B0451C" w:rsidRDefault="00B0451C" w:rsidP="006757E0">
      <w:pPr>
        <w:pStyle w:val="SingleTxtG"/>
        <w:tabs>
          <w:tab w:val="left" w:pos="2835"/>
        </w:tabs>
        <w:spacing w:before="60" w:after="60" w:line="240" w:lineRule="auto"/>
        <w:ind w:left="2835"/>
      </w:pPr>
      <w:r w:rsidRPr="00B0451C">
        <w:t>For solids and liquids, if the test is performed with the solid or liquid to be transported or</w:t>
      </w:r>
      <w:r w:rsidR="006757E0">
        <w:t xml:space="preserve"> </w:t>
      </w:r>
      <w:r w:rsidRPr="00B0451C">
        <w:t>with another substance having essentially the same physical characteristics:</w:t>
      </w:r>
    </w:p>
    <w:tbl>
      <w:tblPr>
        <w:tblStyle w:val="TableGrid"/>
        <w:tblW w:w="5954" w:type="dxa"/>
        <w:tblInd w:w="2840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843"/>
      </w:tblGrid>
      <w:tr w:rsidR="006757E0" w:rsidRPr="00B0451C" w14:paraId="6C3A03B8" w14:textId="77777777" w:rsidTr="006757E0">
        <w:trPr>
          <w:cantSplit/>
        </w:trPr>
        <w:tc>
          <w:tcPr>
            <w:tcW w:w="1843" w:type="dxa"/>
          </w:tcPr>
          <w:p w14:paraId="0D4E9E5C" w14:textId="77777777" w:rsidR="00B0451C" w:rsidRPr="00B0451C" w:rsidRDefault="00B0451C" w:rsidP="00582191">
            <w:pPr>
              <w:pStyle w:val="SingleTxtG"/>
              <w:spacing w:before="120" w:after="60" w:line="240" w:lineRule="auto"/>
              <w:ind w:left="0" w:right="0"/>
              <w:jc w:val="center"/>
              <w:rPr>
                <w:noProof/>
              </w:rPr>
            </w:pPr>
            <w:bookmarkStart w:id="2" w:name="_Hlk3984808"/>
            <w:r w:rsidRPr="00B0451C">
              <w:rPr>
                <w:noProof/>
              </w:rPr>
              <w:lastRenderedPageBreak/>
              <w:t>Packing group I</w:t>
            </w:r>
          </w:p>
        </w:tc>
        <w:tc>
          <w:tcPr>
            <w:tcW w:w="2268" w:type="dxa"/>
          </w:tcPr>
          <w:p w14:paraId="1C1DF748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Packing group II</w:t>
            </w:r>
          </w:p>
        </w:tc>
        <w:tc>
          <w:tcPr>
            <w:tcW w:w="1843" w:type="dxa"/>
          </w:tcPr>
          <w:p w14:paraId="44A4400D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Packing group III</w:t>
            </w:r>
          </w:p>
        </w:tc>
      </w:tr>
      <w:tr w:rsidR="006757E0" w:rsidRPr="00B0451C" w14:paraId="22A33AB9" w14:textId="77777777" w:rsidTr="006757E0">
        <w:trPr>
          <w:cantSplit/>
        </w:trPr>
        <w:tc>
          <w:tcPr>
            <w:tcW w:w="1843" w:type="dxa"/>
          </w:tcPr>
          <w:p w14:paraId="08AD9140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1.8 m</w:t>
            </w:r>
          </w:p>
        </w:tc>
        <w:tc>
          <w:tcPr>
            <w:tcW w:w="2268" w:type="dxa"/>
          </w:tcPr>
          <w:p w14:paraId="05A9EAD8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1.2 m</w:t>
            </w:r>
          </w:p>
        </w:tc>
        <w:tc>
          <w:tcPr>
            <w:tcW w:w="1843" w:type="dxa"/>
          </w:tcPr>
          <w:p w14:paraId="62A3027C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0.8 m</w:t>
            </w:r>
          </w:p>
        </w:tc>
      </w:tr>
    </w:tbl>
    <w:bookmarkEnd w:id="2"/>
    <w:p w14:paraId="72F2B014" w14:textId="77777777" w:rsidR="00B0451C" w:rsidRPr="00B0451C" w:rsidRDefault="00B0451C" w:rsidP="00582191">
      <w:pPr>
        <w:pStyle w:val="SingleTxtG"/>
        <w:tabs>
          <w:tab w:val="left" w:pos="2835"/>
        </w:tabs>
        <w:spacing w:before="120" w:after="60" w:line="240" w:lineRule="auto"/>
        <w:ind w:left="2835"/>
      </w:pPr>
      <w:r w:rsidRPr="00B0451C">
        <w:t>For liquids if the test is performed with water:</w:t>
      </w:r>
    </w:p>
    <w:p w14:paraId="0C671ECB" w14:textId="44B59D29" w:rsidR="00B0451C" w:rsidRPr="00B0451C" w:rsidRDefault="00B0451C" w:rsidP="00582191">
      <w:pPr>
        <w:pStyle w:val="SingleTxtG"/>
        <w:spacing w:before="120" w:after="60" w:line="240" w:lineRule="auto"/>
        <w:ind w:left="3260" w:hanging="425"/>
      </w:pPr>
      <w:r w:rsidRPr="00B0451C">
        <w:t xml:space="preserve">(a) </w:t>
      </w:r>
      <w:r w:rsidR="00B60BB9">
        <w:tab/>
      </w:r>
      <w:r w:rsidRPr="00B0451C">
        <w:t>Where the substances to be transported have a relative density not exceeding 1.2:</w:t>
      </w:r>
    </w:p>
    <w:tbl>
      <w:tblPr>
        <w:tblStyle w:val="TableGrid"/>
        <w:tblW w:w="0" w:type="auto"/>
        <w:tblInd w:w="3266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B0451C" w:rsidRPr="00B0451C" w14:paraId="772A999D" w14:textId="77777777" w:rsidTr="00B60BB9">
        <w:tc>
          <w:tcPr>
            <w:tcW w:w="1842" w:type="dxa"/>
          </w:tcPr>
          <w:p w14:paraId="1FC6D545" w14:textId="77777777" w:rsidR="00B0451C" w:rsidRPr="00B0451C" w:rsidRDefault="00B0451C" w:rsidP="00582191">
            <w:pPr>
              <w:pStyle w:val="SingleTxtG"/>
              <w:spacing w:before="120" w:after="60" w:line="240" w:lineRule="auto"/>
              <w:ind w:left="0" w:right="0"/>
              <w:jc w:val="center"/>
              <w:rPr>
                <w:noProof/>
                <w:u w:val="single"/>
              </w:rPr>
            </w:pPr>
            <w:r w:rsidRPr="00B0451C">
              <w:rPr>
                <w:noProof/>
                <w:u w:val="single"/>
              </w:rPr>
              <w:t>Packing group I</w:t>
            </w:r>
          </w:p>
        </w:tc>
        <w:tc>
          <w:tcPr>
            <w:tcW w:w="1843" w:type="dxa"/>
          </w:tcPr>
          <w:p w14:paraId="29F08060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Packing group II</w:t>
            </w:r>
          </w:p>
        </w:tc>
        <w:tc>
          <w:tcPr>
            <w:tcW w:w="1843" w:type="dxa"/>
          </w:tcPr>
          <w:p w14:paraId="0A79A138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Packing group III</w:t>
            </w:r>
          </w:p>
        </w:tc>
      </w:tr>
      <w:tr w:rsidR="00B0451C" w:rsidRPr="00B0451C" w14:paraId="676E23C2" w14:textId="77777777" w:rsidTr="00B60BB9">
        <w:tc>
          <w:tcPr>
            <w:tcW w:w="1842" w:type="dxa"/>
          </w:tcPr>
          <w:p w14:paraId="385405AF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  <w:u w:val="single"/>
              </w:rPr>
            </w:pPr>
            <w:r w:rsidRPr="00B0451C">
              <w:rPr>
                <w:noProof/>
                <w:u w:val="single"/>
              </w:rPr>
              <w:t>1.8 m</w:t>
            </w:r>
          </w:p>
        </w:tc>
        <w:tc>
          <w:tcPr>
            <w:tcW w:w="1843" w:type="dxa"/>
          </w:tcPr>
          <w:p w14:paraId="0A6AE8C3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1.2 m</w:t>
            </w:r>
          </w:p>
        </w:tc>
        <w:tc>
          <w:tcPr>
            <w:tcW w:w="1843" w:type="dxa"/>
          </w:tcPr>
          <w:p w14:paraId="427040AE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0.8 m</w:t>
            </w:r>
          </w:p>
        </w:tc>
      </w:tr>
    </w:tbl>
    <w:p w14:paraId="56303AA3" w14:textId="79C3DFE8" w:rsidR="00B0451C" w:rsidRPr="00B0451C" w:rsidRDefault="00B0451C" w:rsidP="00B60BB9">
      <w:pPr>
        <w:pStyle w:val="SingleTxtG"/>
        <w:spacing w:before="60" w:after="60" w:line="240" w:lineRule="auto"/>
        <w:ind w:left="3261" w:hanging="426"/>
      </w:pPr>
      <w:r w:rsidRPr="00B0451C">
        <w:t xml:space="preserve">(b) </w:t>
      </w:r>
      <w:r w:rsidR="00B60BB9">
        <w:tab/>
      </w:r>
      <w:r w:rsidRPr="00B0451C">
        <w:t xml:space="preserve">Where the substances to be transported have a relative density exceeding 1.2, the drop heights shall be calculated </w:t>
      </w:r>
      <w:proofErr w:type="gramStart"/>
      <w:r w:rsidRPr="00B0451C">
        <w:t>on the basis of</w:t>
      </w:r>
      <w:proofErr w:type="gramEnd"/>
      <w:r w:rsidRPr="00B0451C">
        <w:t xml:space="preserve"> the relative density (d) of the substance to be transported rounded up to the first decimal as follows:</w:t>
      </w:r>
    </w:p>
    <w:tbl>
      <w:tblPr>
        <w:tblStyle w:val="TableGrid"/>
        <w:tblW w:w="5528" w:type="dxa"/>
        <w:tblInd w:w="3266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B0451C" w:rsidRPr="00B0451C" w14:paraId="15C92003" w14:textId="77777777" w:rsidTr="00B60BB9">
        <w:tc>
          <w:tcPr>
            <w:tcW w:w="1842" w:type="dxa"/>
          </w:tcPr>
          <w:p w14:paraId="0F9EFF8F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  <w:u w:val="single"/>
              </w:rPr>
            </w:pPr>
            <w:r w:rsidRPr="00B0451C">
              <w:rPr>
                <w:noProof/>
                <w:u w:val="single"/>
              </w:rPr>
              <w:t>Packing group I</w:t>
            </w:r>
          </w:p>
        </w:tc>
        <w:tc>
          <w:tcPr>
            <w:tcW w:w="1843" w:type="dxa"/>
          </w:tcPr>
          <w:p w14:paraId="61BECDA4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Packing group II</w:t>
            </w:r>
          </w:p>
        </w:tc>
        <w:tc>
          <w:tcPr>
            <w:tcW w:w="1843" w:type="dxa"/>
          </w:tcPr>
          <w:p w14:paraId="6FE3EB5C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Packing group III</w:t>
            </w:r>
          </w:p>
        </w:tc>
      </w:tr>
      <w:tr w:rsidR="00B0451C" w:rsidRPr="00B0451C" w14:paraId="42A619E3" w14:textId="77777777" w:rsidTr="00B60BB9">
        <w:tc>
          <w:tcPr>
            <w:tcW w:w="1842" w:type="dxa"/>
          </w:tcPr>
          <w:p w14:paraId="5FDDC2AB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  <w:u w:val="single"/>
              </w:rPr>
            </w:pPr>
            <w:r w:rsidRPr="00B0451C">
              <w:rPr>
                <w:noProof/>
                <w:u w:val="single"/>
              </w:rPr>
              <w:t>d × 1.5 m</w:t>
            </w:r>
          </w:p>
        </w:tc>
        <w:tc>
          <w:tcPr>
            <w:tcW w:w="1843" w:type="dxa"/>
          </w:tcPr>
          <w:p w14:paraId="59820112" w14:textId="77777777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d × 1.0 m</w:t>
            </w:r>
          </w:p>
        </w:tc>
        <w:tc>
          <w:tcPr>
            <w:tcW w:w="1843" w:type="dxa"/>
          </w:tcPr>
          <w:p w14:paraId="6B6FFF68" w14:textId="16B49022" w:rsidR="00B0451C" w:rsidRPr="00B0451C" w:rsidRDefault="00B0451C" w:rsidP="00B60BB9">
            <w:pPr>
              <w:pStyle w:val="SingleTxtG"/>
              <w:spacing w:before="60" w:after="60" w:line="240" w:lineRule="auto"/>
              <w:ind w:left="0" w:right="0"/>
              <w:jc w:val="center"/>
              <w:rPr>
                <w:noProof/>
              </w:rPr>
            </w:pPr>
            <w:r w:rsidRPr="00B0451C">
              <w:rPr>
                <w:noProof/>
              </w:rPr>
              <w:t>d × 0.67 m</w:t>
            </w:r>
            <w:r w:rsidR="00B60BB9">
              <w:rPr>
                <w:noProof/>
              </w:rPr>
              <w:t>”</w:t>
            </w:r>
          </w:p>
        </w:tc>
      </w:tr>
    </w:tbl>
    <w:p w14:paraId="201746D0" w14:textId="40C2693B" w:rsidR="00B60BB9" w:rsidRPr="00B0451C" w:rsidRDefault="00B60BB9" w:rsidP="00955F9B">
      <w:pPr>
        <w:pStyle w:val="SingleTxtG"/>
        <w:spacing w:before="240"/>
      </w:pPr>
      <w:r>
        <w:t>15.</w:t>
      </w:r>
      <w:r>
        <w:tab/>
      </w:r>
      <w:r w:rsidR="00955F9B">
        <w:t>Insert a new paragraph at the end of current</w:t>
      </w:r>
      <w:r>
        <w:t xml:space="preserve"> </w:t>
      </w:r>
      <w:r w:rsidRPr="00B0451C">
        <w:t>6.5.6.7.3</w:t>
      </w:r>
      <w:r>
        <w:t xml:space="preserve"> </w:t>
      </w:r>
      <w:r w:rsidRPr="00B0451C">
        <w:t>as follows</w:t>
      </w:r>
      <w:r>
        <w:t>:</w:t>
      </w:r>
    </w:p>
    <w:p w14:paraId="7C995020" w14:textId="0D076C14" w:rsidR="00B0451C" w:rsidRPr="00936B4E" w:rsidRDefault="00B60BB9" w:rsidP="00936B4E">
      <w:pPr>
        <w:pStyle w:val="SingleTxtG"/>
        <w:tabs>
          <w:tab w:val="left" w:pos="2835"/>
        </w:tabs>
        <w:ind w:left="1701"/>
      </w:pPr>
      <w:r>
        <w:t>“</w:t>
      </w:r>
      <w:r w:rsidR="00B0451C" w:rsidRPr="00936B4E">
        <w:t xml:space="preserve">6.5.6.7.3 </w:t>
      </w:r>
      <w:r>
        <w:tab/>
      </w:r>
      <w:r w:rsidR="00B0451C" w:rsidRPr="00936B4E">
        <w:t>Method of testing and pressure to be applied</w:t>
      </w:r>
    </w:p>
    <w:p w14:paraId="20A3D8C2" w14:textId="4FB0C461" w:rsidR="00B0451C" w:rsidRPr="00936B4E" w:rsidRDefault="00B0451C" w:rsidP="00955F9B">
      <w:pPr>
        <w:pStyle w:val="SingleTxtG"/>
        <w:ind w:left="1701" w:firstLine="1134"/>
      </w:pPr>
      <w:r w:rsidRPr="00936B4E">
        <w:t>The test shall be carried out for a period of at least 10 minutes using air at a gauge pressu</w:t>
      </w:r>
      <w:r w:rsidR="00B60BB9">
        <w:t>re of not less than 20 kPa (0.2 </w:t>
      </w:r>
      <w:r w:rsidRPr="00936B4E">
        <w:t>bar). The air tightness of the IBC shall be determined by a suitable method such as by air-pressure differential test or by immersing the IBC in water or, for metal IBCs, by coating the seams and joints with a soap solution. In the latter case a correction factor shall be applied for the hydrostatic pressure.</w:t>
      </w:r>
    </w:p>
    <w:p w14:paraId="48BF4AFD" w14:textId="2FAFCEF0" w:rsidR="00B0451C" w:rsidRPr="00936B4E" w:rsidRDefault="00B0451C" w:rsidP="00955F9B">
      <w:pPr>
        <w:pStyle w:val="SingleTxtG"/>
        <w:ind w:left="1701" w:firstLine="1134"/>
      </w:pPr>
      <w:r w:rsidRPr="00B60BB9">
        <w:rPr>
          <w:u w:val="single"/>
        </w:rPr>
        <w:t>For packing group I</w:t>
      </w:r>
      <w:r w:rsidR="00B60BB9" w:rsidRPr="00B60BB9">
        <w:rPr>
          <w:u w:val="single"/>
        </w:rPr>
        <w:t>,</w:t>
      </w:r>
      <w:r w:rsidRPr="00B60BB9">
        <w:rPr>
          <w:u w:val="single"/>
        </w:rPr>
        <w:t xml:space="preserve"> the test shall be carried out for a period of at least 10 minutes using air at a gauge pressu</w:t>
      </w:r>
      <w:r w:rsidR="00B60BB9">
        <w:rPr>
          <w:u w:val="single"/>
        </w:rPr>
        <w:t>re of not less than 30 kPa (0.3 </w:t>
      </w:r>
      <w:r w:rsidRPr="00B60BB9">
        <w:rPr>
          <w:u w:val="single"/>
        </w:rPr>
        <w:t>bar). The air tightness of the IBC shall be determined by a suitable method such as by air-pressure differential test or by immersing the IBC in water or, for metal IBCs, by coating the seams and joints with a soap solution. In the latter case a correction factor shall be applied for the hydrostatic pressure.</w:t>
      </w:r>
      <w:r w:rsidR="00B60BB9">
        <w:t>”</w:t>
      </w:r>
      <w:r w:rsidR="0019043C">
        <w:t>.</w:t>
      </w:r>
    </w:p>
    <w:bookmarkEnd w:id="1"/>
    <w:p w14:paraId="387C1977" w14:textId="3FE6F74A" w:rsidR="00297F3D" w:rsidRDefault="00297F3D" w:rsidP="00936B4E">
      <w:pPr>
        <w:pStyle w:val="Default"/>
        <w:suppressAutoHyphens/>
        <w:spacing w:before="240" w:line="240" w:lineRule="atLeast"/>
        <w:ind w:left="1134" w:right="1134"/>
        <w:jc w:val="center"/>
        <w:rPr>
          <w:b/>
          <w:bCs/>
        </w:rPr>
      </w:pP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  <w:r>
        <w:rPr>
          <w:color w:val="auto"/>
          <w:sz w:val="20"/>
          <w:szCs w:val="20"/>
          <w:u w:val="single"/>
        </w:rPr>
        <w:tab/>
      </w:r>
    </w:p>
    <w:sectPr w:rsidR="00297F3D" w:rsidSect="00D93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97B3" w14:textId="77777777" w:rsidR="00143B50" w:rsidRDefault="00143B50"/>
  </w:endnote>
  <w:endnote w:type="continuationSeparator" w:id="0">
    <w:p w14:paraId="00251E1C" w14:textId="77777777" w:rsidR="00143B50" w:rsidRDefault="00143B50"/>
  </w:endnote>
  <w:endnote w:type="continuationNotice" w:id="1">
    <w:p w14:paraId="558F13A3" w14:textId="77777777" w:rsidR="00143B50" w:rsidRDefault="00143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E785" w14:textId="77777777" w:rsidR="009D3AC0" w:rsidRPr="0099001C" w:rsidRDefault="009D3AC0" w:rsidP="003C5896">
    <w:pPr>
      <w:pStyle w:val="Footer"/>
      <w:rPr>
        <w:sz w:val="18"/>
      </w:rPr>
    </w:pPr>
    <w:r w:rsidRPr="00FB75E7">
      <w:rPr>
        <w:b/>
      </w:rPr>
      <w:fldChar w:fldCharType="begin"/>
    </w:r>
    <w:r w:rsidRPr="00FB75E7">
      <w:rPr>
        <w:b/>
      </w:rPr>
      <w:instrText xml:space="preserve"> PAGE   \* MERGEFORMAT </w:instrText>
    </w:r>
    <w:r w:rsidRPr="00FB75E7">
      <w:rPr>
        <w:b/>
      </w:rPr>
      <w:fldChar w:fldCharType="separate"/>
    </w:r>
    <w:r w:rsidR="002C1FC7">
      <w:rPr>
        <w:b/>
        <w:noProof/>
      </w:rPr>
      <w:t>4</w:t>
    </w:r>
    <w:r w:rsidRPr="00FB75E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20B7" w14:textId="77777777" w:rsidR="009D3AC0" w:rsidRPr="004D2B47" w:rsidRDefault="009D3AC0">
    <w:pPr>
      <w:pStyle w:val="Footer"/>
      <w:jc w:val="right"/>
      <w:rPr>
        <w:b/>
      </w:rPr>
    </w:pPr>
    <w:r w:rsidRPr="004D2B47">
      <w:rPr>
        <w:b/>
      </w:rPr>
      <w:fldChar w:fldCharType="begin"/>
    </w:r>
    <w:r w:rsidRPr="004D2B47">
      <w:rPr>
        <w:b/>
      </w:rPr>
      <w:instrText xml:space="preserve"> PAGE   \* MERGEFORMAT </w:instrText>
    </w:r>
    <w:r w:rsidRPr="004D2B47">
      <w:rPr>
        <w:b/>
      </w:rPr>
      <w:fldChar w:fldCharType="separate"/>
    </w:r>
    <w:r w:rsidR="002C1FC7">
      <w:rPr>
        <w:b/>
        <w:noProof/>
      </w:rPr>
      <w:t>5</w:t>
    </w:r>
    <w:r w:rsidRPr="004D2B47">
      <w:rPr>
        <w:b/>
        <w:noProof/>
      </w:rPr>
      <w:fldChar w:fldCharType="end"/>
    </w:r>
  </w:p>
  <w:p w14:paraId="6E9BF860" w14:textId="77777777" w:rsidR="009D3AC0" w:rsidRPr="0099001C" w:rsidRDefault="009D3AC0" w:rsidP="001E4813">
    <w:pPr>
      <w:pStyle w:val="Footer"/>
      <w:tabs>
        <w:tab w:val="right" w:pos="12600"/>
      </w:tabs>
      <w:jc w:val="righ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0CB1" w14:textId="77777777" w:rsidR="00143B50" w:rsidRPr="000B175B" w:rsidRDefault="00143B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3212D8" w14:textId="77777777" w:rsidR="00143B50" w:rsidRPr="00FC68B7" w:rsidRDefault="00143B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25913F" w14:textId="77777777" w:rsidR="00143B50" w:rsidRDefault="00143B50"/>
  </w:footnote>
  <w:footnote w:id="2">
    <w:p w14:paraId="13992C04" w14:textId="77777777" w:rsidR="00297F3D" w:rsidRPr="00357453" w:rsidRDefault="00297F3D" w:rsidP="003605F0">
      <w:pPr>
        <w:pStyle w:val="FootnoteText"/>
        <w:tabs>
          <w:tab w:val="left" w:pos="1680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 w:rsidR="003605F0">
        <w:t>9</w:t>
      </w:r>
      <w:r w:rsidRPr="0086261F">
        <w:t>–20</w:t>
      </w:r>
      <w:r w:rsidR="003605F0">
        <w:t>20</w:t>
      </w:r>
      <w:r w:rsidRPr="0086261F">
        <w:t xml:space="preserve"> approved by the Committee at its </w:t>
      </w:r>
      <w:r w:rsidR="003605F0">
        <w:t>nin</w:t>
      </w:r>
      <w:r w:rsidRPr="0086261F">
        <w:t>th session (see ST/SG/AC.10/C.3/</w:t>
      </w:r>
      <w:r w:rsidRPr="00284946">
        <w:t>10</w:t>
      </w:r>
      <w:r w:rsidR="003605F0">
        <w:t>8</w:t>
      </w:r>
      <w:r w:rsidRPr="00284946">
        <w:t>, paragra</w:t>
      </w:r>
      <w:r>
        <w:t xml:space="preserve">ph </w:t>
      </w:r>
      <w:r w:rsidR="003605F0">
        <w:t>141</w:t>
      </w:r>
      <w:r>
        <w:t xml:space="preserve"> and ST/SG/AC.10/4</w:t>
      </w:r>
      <w:r w:rsidR="003605F0">
        <w:t>6</w:t>
      </w:r>
      <w:r>
        <w:t>, para</w:t>
      </w:r>
      <w:r w:rsidR="003605F0">
        <w:t>graph</w:t>
      </w:r>
      <w:r>
        <w:t>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AFBF" w14:textId="1EE07DEF" w:rsidR="009D3AC0" w:rsidRPr="006C6A56" w:rsidRDefault="0020121B" w:rsidP="006C6A56">
    <w:pPr>
      <w:pStyle w:val="Header"/>
    </w:pPr>
    <w:r>
      <w:t>ST/SG/AC.10/C.3/</w:t>
    </w:r>
    <w:r w:rsidR="003C5896">
      <w:t>201</w:t>
    </w:r>
    <w:r w:rsidR="00265879">
      <w:t>9</w:t>
    </w:r>
    <w:r w:rsidR="00297F3D">
      <w:t>/</w:t>
    </w:r>
    <w:r w:rsidR="00315BA3" w:rsidRPr="00315BA3"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4862" w14:textId="397961EA" w:rsidR="009D3AC0" w:rsidRPr="001F676B" w:rsidRDefault="001A356B" w:rsidP="00B6691B">
    <w:pPr>
      <w:pStyle w:val="Header"/>
      <w:pBdr>
        <w:bottom w:val="single" w:sz="4" w:space="1" w:color="auto"/>
      </w:pBdr>
      <w:ind w:right="180"/>
      <w:jc w:val="right"/>
    </w:pPr>
    <w:r>
      <w:t>ST/SG/AC.10/C.3/201</w:t>
    </w:r>
    <w:r w:rsidR="00265879">
      <w:t>9</w:t>
    </w:r>
    <w:r>
      <w:t>/</w:t>
    </w:r>
    <w:r w:rsidR="004626EB">
      <w:t>2</w:t>
    </w:r>
    <w:r w:rsidR="00B6691B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45FE" w14:textId="77777777" w:rsidR="004626EB" w:rsidRDefault="004626EB" w:rsidP="004626E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257"/>
    <w:multiLevelType w:val="hybridMultilevel"/>
    <w:tmpl w:val="CBB69B26"/>
    <w:lvl w:ilvl="0" w:tplc="69F2CC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0931EC"/>
    <w:multiLevelType w:val="hybridMultilevel"/>
    <w:tmpl w:val="F3BAE118"/>
    <w:lvl w:ilvl="0" w:tplc="26920BE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34021C"/>
    <w:multiLevelType w:val="hybridMultilevel"/>
    <w:tmpl w:val="B8D69FEA"/>
    <w:lvl w:ilvl="0" w:tplc="486E2B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249CB"/>
    <w:multiLevelType w:val="hybridMultilevel"/>
    <w:tmpl w:val="F5903F86"/>
    <w:lvl w:ilvl="0" w:tplc="BE5E8F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95260"/>
    <w:multiLevelType w:val="hybridMultilevel"/>
    <w:tmpl w:val="6C08F8C6"/>
    <w:lvl w:ilvl="0" w:tplc="2F005D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9733237"/>
    <w:multiLevelType w:val="hybridMultilevel"/>
    <w:tmpl w:val="221ABCFC"/>
    <w:lvl w:ilvl="0" w:tplc="4F0A90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CC3605"/>
    <w:multiLevelType w:val="hybridMultilevel"/>
    <w:tmpl w:val="4D1E0A3E"/>
    <w:lvl w:ilvl="0" w:tplc="D036338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28100E"/>
    <w:multiLevelType w:val="hybridMultilevel"/>
    <w:tmpl w:val="9998C97C"/>
    <w:lvl w:ilvl="0" w:tplc="D59AF3C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B331936"/>
    <w:multiLevelType w:val="hybridMultilevel"/>
    <w:tmpl w:val="B2887DDE"/>
    <w:lvl w:ilvl="0" w:tplc="D4A0B7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D3C126A"/>
    <w:multiLevelType w:val="hybridMultilevel"/>
    <w:tmpl w:val="5FE0AE10"/>
    <w:lvl w:ilvl="0" w:tplc="0407000F">
      <w:start w:val="1"/>
      <w:numFmt w:val="decimal"/>
      <w:lvlText w:val="%1.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5C6284E"/>
    <w:multiLevelType w:val="hybridMultilevel"/>
    <w:tmpl w:val="B6BCE0AA"/>
    <w:lvl w:ilvl="0" w:tplc="85323F7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25018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BE741D9"/>
    <w:multiLevelType w:val="hybridMultilevel"/>
    <w:tmpl w:val="DC1A7560"/>
    <w:lvl w:ilvl="0" w:tplc="37FE7BD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u w:color="FFFFFF" w:themeColor="background1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CF66616"/>
    <w:multiLevelType w:val="hybridMultilevel"/>
    <w:tmpl w:val="EFA2B0E8"/>
    <w:lvl w:ilvl="0" w:tplc="8662DC5A">
      <w:start w:val="1"/>
      <w:numFmt w:val="lowerLetter"/>
      <w:lvlText w:val="(%1)"/>
      <w:lvlJc w:val="left"/>
      <w:pPr>
        <w:ind w:left="1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1" w:hanging="360"/>
      </w:pPr>
    </w:lvl>
    <w:lvl w:ilvl="2" w:tplc="0809001B" w:tentative="1">
      <w:start w:val="1"/>
      <w:numFmt w:val="lowerRoman"/>
      <w:lvlText w:val="%3."/>
      <w:lvlJc w:val="right"/>
      <w:pPr>
        <w:ind w:left="3291" w:hanging="180"/>
      </w:pPr>
    </w:lvl>
    <w:lvl w:ilvl="3" w:tplc="0809000F" w:tentative="1">
      <w:start w:val="1"/>
      <w:numFmt w:val="decimal"/>
      <w:lvlText w:val="%4."/>
      <w:lvlJc w:val="left"/>
      <w:pPr>
        <w:ind w:left="4011" w:hanging="360"/>
      </w:pPr>
    </w:lvl>
    <w:lvl w:ilvl="4" w:tplc="08090019" w:tentative="1">
      <w:start w:val="1"/>
      <w:numFmt w:val="lowerLetter"/>
      <w:lvlText w:val="%5."/>
      <w:lvlJc w:val="left"/>
      <w:pPr>
        <w:ind w:left="4731" w:hanging="360"/>
      </w:pPr>
    </w:lvl>
    <w:lvl w:ilvl="5" w:tplc="0809001B" w:tentative="1">
      <w:start w:val="1"/>
      <w:numFmt w:val="lowerRoman"/>
      <w:lvlText w:val="%6."/>
      <w:lvlJc w:val="right"/>
      <w:pPr>
        <w:ind w:left="5451" w:hanging="180"/>
      </w:pPr>
    </w:lvl>
    <w:lvl w:ilvl="6" w:tplc="0809000F" w:tentative="1">
      <w:start w:val="1"/>
      <w:numFmt w:val="decimal"/>
      <w:lvlText w:val="%7."/>
      <w:lvlJc w:val="left"/>
      <w:pPr>
        <w:ind w:left="6171" w:hanging="360"/>
      </w:pPr>
    </w:lvl>
    <w:lvl w:ilvl="7" w:tplc="08090019" w:tentative="1">
      <w:start w:val="1"/>
      <w:numFmt w:val="lowerLetter"/>
      <w:lvlText w:val="%8."/>
      <w:lvlJc w:val="left"/>
      <w:pPr>
        <w:ind w:left="6891" w:hanging="360"/>
      </w:pPr>
    </w:lvl>
    <w:lvl w:ilvl="8" w:tplc="08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5" w15:restartNumberingAfterBreak="0">
    <w:nsid w:val="3E3C4C3A"/>
    <w:multiLevelType w:val="hybridMultilevel"/>
    <w:tmpl w:val="B8AE87C4"/>
    <w:lvl w:ilvl="0" w:tplc="8460E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467953"/>
    <w:multiLevelType w:val="hybridMultilevel"/>
    <w:tmpl w:val="66727FEA"/>
    <w:lvl w:ilvl="0" w:tplc="444A5B92">
      <w:start w:val="3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48407AA6"/>
    <w:multiLevelType w:val="hybridMultilevel"/>
    <w:tmpl w:val="BA0C16D8"/>
    <w:lvl w:ilvl="0" w:tplc="583A1CF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48BC0A3C"/>
    <w:multiLevelType w:val="hybridMultilevel"/>
    <w:tmpl w:val="29005716"/>
    <w:lvl w:ilvl="0" w:tplc="63FE95AA">
      <w:start w:val="6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E6245D1"/>
    <w:multiLevelType w:val="hybridMultilevel"/>
    <w:tmpl w:val="5C78F664"/>
    <w:lvl w:ilvl="0" w:tplc="34785AA2">
      <w:start w:val="1"/>
      <w:numFmt w:val="decimal"/>
      <w:lvlText w:val="%1."/>
      <w:lvlJc w:val="left"/>
      <w:pPr>
        <w:ind w:left="1689" w:hanging="55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B2AF0"/>
    <w:multiLevelType w:val="hybridMultilevel"/>
    <w:tmpl w:val="E396B7BC"/>
    <w:lvl w:ilvl="0" w:tplc="E8E092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8F3DE2"/>
    <w:multiLevelType w:val="hybridMultilevel"/>
    <w:tmpl w:val="83141FD0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CC77C50"/>
    <w:multiLevelType w:val="hybridMultilevel"/>
    <w:tmpl w:val="297275D8"/>
    <w:lvl w:ilvl="0" w:tplc="480C8C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A67550"/>
    <w:multiLevelType w:val="hybridMultilevel"/>
    <w:tmpl w:val="96A01494"/>
    <w:lvl w:ilvl="0" w:tplc="483234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DBA7680"/>
    <w:multiLevelType w:val="hybridMultilevel"/>
    <w:tmpl w:val="5A189D9A"/>
    <w:lvl w:ilvl="0" w:tplc="D58A8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D00973"/>
    <w:multiLevelType w:val="hybridMultilevel"/>
    <w:tmpl w:val="631818B8"/>
    <w:lvl w:ilvl="0" w:tplc="5AD2A816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E1BA6"/>
    <w:multiLevelType w:val="hybridMultilevel"/>
    <w:tmpl w:val="800E0590"/>
    <w:lvl w:ilvl="0" w:tplc="7A4ACC8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01542"/>
    <w:multiLevelType w:val="hybridMultilevel"/>
    <w:tmpl w:val="90C6745C"/>
    <w:lvl w:ilvl="0" w:tplc="37FE7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6"/>
  </w:num>
  <w:num w:numId="4">
    <w:abstractNumId w:val="19"/>
  </w:num>
  <w:num w:numId="5">
    <w:abstractNumId w:val="18"/>
  </w:num>
  <w:num w:numId="6">
    <w:abstractNumId w:val="12"/>
  </w:num>
  <w:num w:numId="7">
    <w:abstractNumId w:val="9"/>
  </w:num>
  <w:num w:numId="8">
    <w:abstractNumId w:val="25"/>
  </w:num>
  <w:num w:numId="9">
    <w:abstractNumId w:val="23"/>
  </w:num>
  <w:num w:numId="10">
    <w:abstractNumId w:val="14"/>
  </w:num>
  <w:num w:numId="11">
    <w:abstractNumId w:val="6"/>
  </w:num>
  <w:num w:numId="12">
    <w:abstractNumId w:val="1"/>
  </w:num>
  <w:num w:numId="13">
    <w:abstractNumId w:val="3"/>
  </w:num>
  <w:num w:numId="14">
    <w:abstractNumId w:val="15"/>
  </w:num>
  <w:num w:numId="15">
    <w:abstractNumId w:val="17"/>
  </w:num>
  <w:num w:numId="16">
    <w:abstractNumId w:val="11"/>
  </w:num>
  <w:num w:numId="17">
    <w:abstractNumId w:val="2"/>
  </w:num>
  <w:num w:numId="18">
    <w:abstractNumId w:val="7"/>
  </w:num>
  <w:num w:numId="19">
    <w:abstractNumId w:val="5"/>
  </w:num>
  <w:num w:numId="20">
    <w:abstractNumId w:val="20"/>
  </w:num>
  <w:num w:numId="21">
    <w:abstractNumId w:val="22"/>
  </w:num>
  <w:num w:numId="22">
    <w:abstractNumId w:val="8"/>
  </w:num>
  <w:num w:numId="23">
    <w:abstractNumId w:val="0"/>
  </w:num>
  <w:num w:numId="24">
    <w:abstractNumId w:val="13"/>
  </w:num>
  <w:num w:numId="25">
    <w:abstractNumId w:val="24"/>
  </w:num>
  <w:num w:numId="26">
    <w:abstractNumId w:val="21"/>
  </w:num>
  <w:num w:numId="27">
    <w:abstractNumId w:val="10"/>
  </w:num>
  <w:num w:numId="28">
    <w:abstractNumId w:val="28"/>
  </w:num>
  <w:num w:numId="2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0B2B"/>
    <w:rsid w:val="00002EFA"/>
    <w:rsid w:val="00003332"/>
    <w:rsid w:val="00006396"/>
    <w:rsid w:val="00010879"/>
    <w:rsid w:val="000171C1"/>
    <w:rsid w:val="000171FC"/>
    <w:rsid w:val="00025C10"/>
    <w:rsid w:val="000261F6"/>
    <w:rsid w:val="00034899"/>
    <w:rsid w:val="000426AF"/>
    <w:rsid w:val="00043070"/>
    <w:rsid w:val="00044CD7"/>
    <w:rsid w:val="00050F6B"/>
    <w:rsid w:val="000525D8"/>
    <w:rsid w:val="0005340B"/>
    <w:rsid w:val="000551C5"/>
    <w:rsid w:val="00057262"/>
    <w:rsid w:val="00057EF1"/>
    <w:rsid w:val="00060C82"/>
    <w:rsid w:val="00065080"/>
    <w:rsid w:val="00067341"/>
    <w:rsid w:val="000676CC"/>
    <w:rsid w:val="00072C8C"/>
    <w:rsid w:val="0007325A"/>
    <w:rsid w:val="00074A4D"/>
    <w:rsid w:val="00076E96"/>
    <w:rsid w:val="00082670"/>
    <w:rsid w:val="00083A13"/>
    <w:rsid w:val="00086AB4"/>
    <w:rsid w:val="00090264"/>
    <w:rsid w:val="000918C2"/>
    <w:rsid w:val="00092B2E"/>
    <w:rsid w:val="000931C0"/>
    <w:rsid w:val="00094053"/>
    <w:rsid w:val="000A32D2"/>
    <w:rsid w:val="000A7A2F"/>
    <w:rsid w:val="000B0DCA"/>
    <w:rsid w:val="000B175B"/>
    <w:rsid w:val="000B3A0F"/>
    <w:rsid w:val="000B7257"/>
    <w:rsid w:val="000C2795"/>
    <w:rsid w:val="000C4459"/>
    <w:rsid w:val="000C5FE3"/>
    <w:rsid w:val="000C64FF"/>
    <w:rsid w:val="000C69A6"/>
    <w:rsid w:val="000C6E37"/>
    <w:rsid w:val="000D13B5"/>
    <w:rsid w:val="000D5550"/>
    <w:rsid w:val="000D5EB1"/>
    <w:rsid w:val="000D7320"/>
    <w:rsid w:val="000D7C1B"/>
    <w:rsid w:val="000E0415"/>
    <w:rsid w:val="000E143F"/>
    <w:rsid w:val="000E2262"/>
    <w:rsid w:val="000E2FEC"/>
    <w:rsid w:val="000E422C"/>
    <w:rsid w:val="000E6156"/>
    <w:rsid w:val="000F1AC1"/>
    <w:rsid w:val="000F225A"/>
    <w:rsid w:val="000F4524"/>
    <w:rsid w:val="000F46B1"/>
    <w:rsid w:val="000F570C"/>
    <w:rsid w:val="001009D0"/>
    <w:rsid w:val="00105FDD"/>
    <w:rsid w:val="00106D46"/>
    <w:rsid w:val="00111B8F"/>
    <w:rsid w:val="00112EEE"/>
    <w:rsid w:val="0011462A"/>
    <w:rsid w:val="0011529F"/>
    <w:rsid w:val="001156AA"/>
    <w:rsid w:val="00115ADB"/>
    <w:rsid w:val="001220B8"/>
    <w:rsid w:val="001223F7"/>
    <w:rsid w:val="00123154"/>
    <w:rsid w:val="001262C0"/>
    <w:rsid w:val="00126EA1"/>
    <w:rsid w:val="0012741E"/>
    <w:rsid w:val="00130E35"/>
    <w:rsid w:val="0013185E"/>
    <w:rsid w:val="00133C7A"/>
    <w:rsid w:val="00133ED6"/>
    <w:rsid w:val="001346AE"/>
    <w:rsid w:val="00135DFB"/>
    <w:rsid w:val="00137553"/>
    <w:rsid w:val="001418E8"/>
    <w:rsid w:val="00141EC8"/>
    <w:rsid w:val="00143B50"/>
    <w:rsid w:val="00145FFD"/>
    <w:rsid w:val="0014740A"/>
    <w:rsid w:val="00153ED2"/>
    <w:rsid w:val="00155514"/>
    <w:rsid w:val="001575DE"/>
    <w:rsid w:val="001604C0"/>
    <w:rsid w:val="00161DED"/>
    <w:rsid w:val="00162157"/>
    <w:rsid w:val="00162703"/>
    <w:rsid w:val="001666A1"/>
    <w:rsid w:val="00167BA8"/>
    <w:rsid w:val="00170810"/>
    <w:rsid w:val="00171318"/>
    <w:rsid w:val="001718D9"/>
    <w:rsid w:val="00172A5D"/>
    <w:rsid w:val="00173C41"/>
    <w:rsid w:val="00173E97"/>
    <w:rsid w:val="00174ECD"/>
    <w:rsid w:val="001811F3"/>
    <w:rsid w:val="0018298B"/>
    <w:rsid w:val="00182A9E"/>
    <w:rsid w:val="001832E3"/>
    <w:rsid w:val="001844FC"/>
    <w:rsid w:val="00184D49"/>
    <w:rsid w:val="0018528A"/>
    <w:rsid w:val="00186037"/>
    <w:rsid w:val="0019043C"/>
    <w:rsid w:val="001A1256"/>
    <w:rsid w:val="001A1D2D"/>
    <w:rsid w:val="001A1EFF"/>
    <w:rsid w:val="001A356B"/>
    <w:rsid w:val="001A63BF"/>
    <w:rsid w:val="001B4B04"/>
    <w:rsid w:val="001B7882"/>
    <w:rsid w:val="001C0A2D"/>
    <w:rsid w:val="001C291D"/>
    <w:rsid w:val="001C29F7"/>
    <w:rsid w:val="001C6663"/>
    <w:rsid w:val="001C75FB"/>
    <w:rsid w:val="001C7895"/>
    <w:rsid w:val="001D26DF"/>
    <w:rsid w:val="001D3029"/>
    <w:rsid w:val="001D3183"/>
    <w:rsid w:val="001D76EA"/>
    <w:rsid w:val="001E0EC3"/>
    <w:rsid w:val="001E1304"/>
    <w:rsid w:val="001E2993"/>
    <w:rsid w:val="001E2A42"/>
    <w:rsid w:val="001E31A8"/>
    <w:rsid w:val="001E31B0"/>
    <w:rsid w:val="001E34A4"/>
    <w:rsid w:val="001E3C0F"/>
    <w:rsid w:val="001E428B"/>
    <w:rsid w:val="001E4813"/>
    <w:rsid w:val="001F3254"/>
    <w:rsid w:val="001F676B"/>
    <w:rsid w:val="001F7D95"/>
    <w:rsid w:val="0020121B"/>
    <w:rsid w:val="00202F2F"/>
    <w:rsid w:val="0020313C"/>
    <w:rsid w:val="0020331F"/>
    <w:rsid w:val="00203DFB"/>
    <w:rsid w:val="00210BF9"/>
    <w:rsid w:val="00211E0B"/>
    <w:rsid w:val="00214740"/>
    <w:rsid w:val="00215791"/>
    <w:rsid w:val="002177BB"/>
    <w:rsid w:val="0022142A"/>
    <w:rsid w:val="00222C94"/>
    <w:rsid w:val="00227F88"/>
    <w:rsid w:val="00232E70"/>
    <w:rsid w:val="0023451F"/>
    <w:rsid w:val="002375CB"/>
    <w:rsid w:val="002405A7"/>
    <w:rsid w:val="00240C33"/>
    <w:rsid w:val="00241101"/>
    <w:rsid w:val="00241341"/>
    <w:rsid w:val="00246F3E"/>
    <w:rsid w:val="00251F6B"/>
    <w:rsid w:val="00260DAB"/>
    <w:rsid w:val="00265879"/>
    <w:rsid w:val="00266C4D"/>
    <w:rsid w:val="00267F1A"/>
    <w:rsid w:val="00270492"/>
    <w:rsid w:val="002719BF"/>
    <w:rsid w:val="00274E4B"/>
    <w:rsid w:val="00276A34"/>
    <w:rsid w:val="002775FB"/>
    <w:rsid w:val="00277A67"/>
    <w:rsid w:val="0028097F"/>
    <w:rsid w:val="00280C9A"/>
    <w:rsid w:val="00281563"/>
    <w:rsid w:val="0028523E"/>
    <w:rsid w:val="00291560"/>
    <w:rsid w:val="0029653B"/>
    <w:rsid w:val="00297F3D"/>
    <w:rsid w:val="002A46FB"/>
    <w:rsid w:val="002B1EF0"/>
    <w:rsid w:val="002B2B8E"/>
    <w:rsid w:val="002B4232"/>
    <w:rsid w:val="002B772A"/>
    <w:rsid w:val="002C1FC7"/>
    <w:rsid w:val="002C2EB6"/>
    <w:rsid w:val="002D09FB"/>
    <w:rsid w:val="002D1193"/>
    <w:rsid w:val="002D5E30"/>
    <w:rsid w:val="002D7768"/>
    <w:rsid w:val="002D78BB"/>
    <w:rsid w:val="002E03D9"/>
    <w:rsid w:val="002E04D4"/>
    <w:rsid w:val="002E0D4A"/>
    <w:rsid w:val="002E1B9A"/>
    <w:rsid w:val="002E42C4"/>
    <w:rsid w:val="002E45A0"/>
    <w:rsid w:val="002E4DC6"/>
    <w:rsid w:val="002E6B09"/>
    <w:rsid w:val="002F0382"/>
    <w:rsid w:val="002F25CB"/>
    <w:rsid w:val="002F5E1C"/>
    <w:rsid w:val="002F6E0F"/>
    <w:rsid w:val="002F747E"/>
    <w:rsid w:val="00300C7E"/>
    <w:rsid w:val="0030113A"/>
    <w:rsid w:val="00301BD8"/>
    <w:rsid w:val="00302CC0"/>
    <w:rsid w:val="00303159"/>
    <w:rsid w:val="00305FDE"/>
    <w:rsid w:val="00307481"/>
    <w:rsid w:val="003107FA"/>
    <w:rsid w:val="00310EA8"/>
    <w:rsid w:val="00311C15"/>
    <w:rsid w:val="00315BA3"/>
    <w:rsid w:val="00317109"/>
    <w:rsid w:val="00317F52"/>
    <w:rsid w:val="00321C05"/>
    <w:rsid w:val="00321F07"/>
    <w:rsid w:val="003229D8"/>
    <w:rsid w:val="00326AA8"/>
    <w:rsid w:val="00330C63"/>
    <w:rsid w:val="00330D86"/>
    <w:rsid w:val="0033308E"/>
    <w:rsid w:val="00334089"/>
    <w:rsid w:val="00334241"/>
    <w:rsid w:val="003368A3"/>
    <w:rsid w:val="0033745A"/>
    <w:rsid w:val="0034235E"/>
    <w:rsid w:val="003476FF"/>
    <w:rsid w:val="0035173C"/>
    <w:rsid w:val="00352498"/>
    <w:rsid w:val="00353734"/>
    <w:rsid w:val="00355FB8"/>
    <w:rsid w:val="003566AA"/>
    <w:rsid w:val="00357453"/>
    <w:rsid w:val="00357B6F"/>
    <w:rsid w:val="003605F0"/>
    <w:rsid w:val="003606EC"/>
    <w:rsid w:val="00362C66"/>
    <w:rsid w:val="0036347F"/>
    <w:rsid w:val="00365502"/>
    <w:rsid w:val="003742FC"/>
    <w:rsid w:val="00380BCF"/>
    <w:rsid w:val="00381E3F"/>
    <w:rsid w:val="00383E1A"/>
    <w:rsid w:val="00391104"/>
    <w:rsid w:val="0039277A"/>
    <w:rsid w:val="0039526D"/>
    <w:rsid w:val="00396BE5"/>
    <w:rsid w:val="003972E0"/>
    <w:rsid w:val="00397DE2"/>
    <w:rsid w:val="003A22F5"/>
    <w:rsid w:val="003A2B2B"/>
    <w:rsid w:val="003A2D25"/>
    <w:rsid w:val="003A347B"/>
    <w:rsid w:val="003A7C4B"/>
    <w:rsid w:val="003A7F0D"/>
    <w:rsid w:val="003B0241"/>
    <w:rsid w:val="003B54C5"/>
    <w:rsid w:val="003B5A52"/>
    <w:rsid w:val="003C0C5E"/>
    <w:rsid w:val="003C2CC4"/>
    <w:rsid w:val="003C3936"/>
    <w:rsid w:val="003C550C"/>
    <w:rsid w:val="003C5896"/>
    <w:rsid w:val="003D3902"/>
    <w:rsid w:val="003D4B23"/>
    <w:rsid w:val="003D5BA1"/>
    <w:rsid w:val="003D607E"/>
    <w:rsid w:val="003D67BE"/>
    <w:rsid w:val="003E14E7"/>
    <w:rsid w:val="003E7507"/>
    <w:rsid w:val="003F1ED3"/>
    <w:rsid w:val="003F2DCE"/>
    <w:rsid w:val="003F32D9"/>
    <w:rsid w:val="003F6500"/>
    <w:rsid w:val="00402B95"/>
    <w:rsid w:val="00403098"/>
    <w:rsid w:val="00407BDC"/>
    <w:rsid w:val="004108D5"/>
    <w:rsid w:val="004143A7"/>
    <w:rsid w:val="00416C4D"/>
    <w:rsid w:val="00417151"/>
    <w:rsid w:val="00421C18"/>
    <w:rsid w:val="00424A40"/>
    <w:rsid w:val="0043151B"/>
    <w:rsid w:val="004325CB"/>
    <w:rsid w:val="00435EE3"/>
    <w:rsid w:val="00436DEF"/>
    <w:rsid w:val="00436F0D"/>
    <w:rsid w:val="00442BB5"/>
    <w:rsid w:val="004445A1"/>
    <w:rsid w:val="00444AB1"/>
    <w:rsid w:val="00446DE4"/>
    <w:rsid w:val="00447058"/>
    <w:rsid w:val="004471D1"/>
    <w:rsid w:val="00447ACD"/>
    <w:rsid w:val="004501A7"/>
    <w:rsid w:val="00450210"/>
    <w:rsid w:val="0045275C"/>
    <w:rsid w:val="0045727E"/>
    <w:rsid w:val="004626EB"/>
    <w:rsid w:val="00462C74"/>
    <w:rsid w:val="00466172"/>
    <w:rsid w:val="0047179D"/>
    <w:rsid w:val="004735DE"/>
    <w:rsid w:val="0047798C"/>
    <w:rsid w:val="0048539B"/>
    <w:rsid w:val="004853F3"/>
    <w:rsid w:val="00486182"/>
    <w:rsid w:val="0049238A"/>
    <w:rsid w:val="004936EA"/>
    <w:rsid w:val="00493F35"/>
    <w:rsid w:val="004949D0"/>
    <w:rsid w:val="004A0699"/>
    <w:rsid w:val="004A0F33"/>
    <w:rsid w:val="004A41CA"/>
    <w:rsid w:val="004A6FCE"/>
    <w:rsid w:val="004A7278"/>
    <w:rsid w:val="004A7FFD"/>
    <w:rsid w:val="004B1385"/>
    <w:rsid w:val="004B40B2"/>
    <w:rsid w:val="004C3136"/>
    <w:rsid w:val="004C4490"/>
    <w:rsid w:val="004C5960"/>
    <w:rsid w:val="004C6784"/>
    <w:rsid w:val="004D015A"/>
    <w:rsid w:val="004D0265"/>
    <w:rsid w:val="004D2B47"/>
    <w:rsid w:val="004D4668"/>
    <w:rsid w:val="004E0E90"/>
    <w:rsid w:val="004E6063"/>
    <w:rsid w:val="004F471F"/>
    <w:rsid w:val="004F4928"/>
    <w:rsid w:val="004F5B48"/>
    <w:rsid w:val="004F721F"/>
    <w:rsid w:val="004F7E77"/>
    <w:rsid w:val="00501F03"/>
    <w:rsid w:val="005026D3"/>
    <w:rsid w:val="00503228"/>
    <w:rsid w:val="00505384"/>
    <w:rsid w:val="00510A10"/>
    <w:rsid w:val="00512AD1"/>
    <w:rsid w:val="00514641"/>
    <w:rsid w:val="0052529E"/>
    <w:rsid w:val="00530C1E"/>
    <w:rsid w:val="0053290B"/>
    <w:rsid w:val="0053591C"/>
    <w:rsid w:val="00540A06"/>
    <w:rsid w:val="005414C0"/>
    <w:rsid w:val="005420F2"/>
    <w:rsid w:val="00546CE7"/>
    <w:rsid w:val="005528AD"/>
    <w:rsid w:val="0055290C"/>
    <w:rsid w:val="005550A1"/>
    <w:rsid w:val="00557BBE"/>
    <w:rsid w:val="005602BC"/>
    <w:rsid w:val="00561935"/>
    <w:rsid w:val="00563AEA"/>
    <w:rsid w:val="00564A8C"/>
    <w:rsid w:val="005654A8"/>
    <w:rsid w:val="0056584E"/>
    <w:rsid w:val="00565EAC"/>
    <w:rsid w:val="00567492"/>
    <w:rsid w:val="00567738"/>
    <w:rsid w:val="005710FD"/>
    <w:rsid w:val="005725E1"/>
    <w:rsid w:val="00581EFE"/>
    <w:rsid w:val="00582191"/>
    <w:rsid w:val="00583592"/>
    <w:rsid w:val="0058576C"/>
    <w:rsid w:val="00590B35"/>
    <w:rsid w:val="00592B8C"/>
    <w:rsid w:val="005964D7"/>
    <w:rsid w:val="00596940"/>
    <w:rsid w:val="005A6006"/>
    <w:rsid w:val="005B0078"/>
    <w:rsid w:val="005B11C6"/>
    <w:rsid w:val="005B12DD"/>
    <w:rsid w:val="005B1668"/>
    <w:rsid w:val="005B3DB3"/>
    <w:rsid w:val="005B5EDB"/>
    <w:rsid w:val="005B675E"/>
    <w:rsid w:val="005B793F"/>
    <w:rsid w:val="005B7D5F"/>
    <w:rsid w:val="005C2712"/>
    <w:rsid w:val="005D01BA"/>
    <w:rsid w:val="005D0566"/>
    <w:rsid w:val="005D0CAA"/>
    <w:rsid w:val="005D19CB"/>
    <w:rsid w:val="005D69A1"/>
    <w:rsid w:val="005E2937"/>
    <w:rsid w:val="005E3584"/>
    <w:rsid w:val="005E52A5"/>
    <w:rsid w:val="005E6E5F"/>
    <w:rsid w:val="005F0B7C"/>
    <w:rsid w:val="005F1684"/>
    <w:rsid w:val="005F491C"/>
    <w:rsid w:val="005F57B5"/>
    <w:rsid w:val="005F6A0E"/>
    <w:rsid w:val="005F6C4E"/>
    <w:rsid w:val="0060091E"/>
    <w:rsid w:val="00603986"/>
    <w:rsid w:val="0060786E"/>
    <w:rsid w:val="00610339"/>
    <w:rsid w:val="00611FB1"/>
    <w:rsid w:val="00611FC4"/>
    <w:rsid w:val="00612594"/>
    <w:rsid w:val="00613135"/>
    <w:rsid w:val="00613225"/>
    <w:rsid w:val="006152CB"/>
    <w:rsid w:val="0061540F"/>
    <w:rsid w:val="0061649D"/>
    <w:rsid w:val="006176FB"/>
    <w:rsid w:val="00623800"/>
    <w:rsid w:val="0062451C"/>
    <w:rsid w:val="00624CB0"/>
    <w:rsid w:val="00625938"/>
    <w:rsid w:val="00625BFD"/>
    <w:rsid w:val="00625C1C"/>
    <w:rsid w:val="00627ED0"/>
    <w:rsid w:val="006323C3"/>
    <w:rsid w:val="00632A8B"/>
    <w:rsid w:val="00633F2A"/>
    <w:rsid w:val="0063576C"/>
    <w:rsid w:val="006362E9"/>
    <w:rsid w:val="00636C93"/>
    <w:rsid w:val="006407F2"/>
    <w:rsid w:val="00640B26"/>
    <w:rsid w:val="00640CF4"/>
    <w:rsid w:val="00642815"/>
    <w:rsid w:val="0064418D"/>
    <w:rsid w:val="00644ED8"/>
    <w:rsid w:val="00647557"/>
    <w:rsid w:val="006522E7"/>
    <w:rsid w:val="00652520"/>
    <w:rsid w:val="00661E02"/>
    <w:rsid w:val="00665396"/>
    <w:rsid w:val="00665595"/>
    <w:rsid w:val="00666BC5"/>
    <w:rsid w:val="00671353"/>
    <w:rsid w:val="006757E0"/>
    <w:rsid w:val="00676646"/>
    <w:rsid w:val="006778FF"/>
    <w:rsid w:val="00680AF1"/>
    <w:rsid w:val="0068160A"/>
    <w:rsid w:val="00685BF2"/>
    <w:rsid w:val="00686869"/>
    <w:rsid w:val="00687EA5"/>
    <w:rsid w:val="00695A9B"/>
    <w:rsid w:val="006A4EF7"/>
    <w:rsid w:val="006A6F0C"/>
    <w:rsid w:val="006A7392"/>
    <w:rsid w:val="006A7A99"/>
    <w:rsid w:val="006B12CC"/>
    <w:rsid w:val="006B4ADA"/>
    <w:rsid w:val="006C2D7B"/>
    <w:rsid w:val="006C4388"/>
    <w:rsid w:val="006C52A3"/>
    <w:rsid w:val="006C582F"/>
    <w:rsid w:val="006C5A35"/>
    <w:rsid w:val="006C6888"/>
    <w:rsid w:val="006C6A56"/>
    <w:rsid w:val="006D255B"/>
    <w:rsid w:val="006D3B96"/>
    <w:rsid w:val="006D5429"/>
    <w:rsid w:val="006D7CD5"/>
    <w:rsid w:val="006E0290"/>
    <w:rsid w:val="006E07CD"/>
    <w:rsid w:val="006E564B"/>
    <w:rsid w:val="006F02D2"/>
    <w:rsid w:val="006F1EFF"/>
    <w:rsid w:val="006F530A"/>
    <w:rsid w:val="006F6B4F"/>
    <w:rsid w:val="00700E34"/>
    <w:rsid w:val="00701C3D"/>
    <w:rsid w:val="007032EE"/>
    <w:rsid w:val="007044B5"/>
    <w:rsid w:val="00704BCD"/>
    <w:rsid w:val="00711902"/>
    <w:rsid w:val="00712121"/>
    <w:rsid w:val="007218CD"/>
    <w:rsid w:val="00723EFF"/>
    <w:rsid w:val="0072632A"/>
    <w:rsid w:val="00731C90"/>
    <w:rsid w:val="00733AAE"/>
    <w:rsid w:val="007364F9"/>
    <w:rsid w:val="00740334"/>
    <w:rsid w:val="007410DF"/>
    <w:rsid w:val="00743387"/>
    <w:rsid w:val="00743AD6"/>
    <w:rsid w:val="00744DCF"/>
    <w:rsid w:val="00746E2D"/>
    <w:rsid w:val="007540E2"/>
    <w:rsid w:val="00771D8B"/>
    <w:rsid w:val="00771EB6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86D50"/>
    <w:rsid w:val="00796047"/>
    <w:rsid w:val="0079606E"/>
    <w:rsid w:val="00796E0D"/>
    <w:rsid w:val="007A1923"/>
    <w:rsid w:val="007A2F0F"/>
    <w:rsid w:val="007A5CB6"/>
    <w:rsid w:val="007B3310"/>
    <w:rsid w:val="007B5103"/>
    <w:rsid w:val="007B5960"/>
    <w:rsid w:val="007B6BA5"/>
    <w:rsid w:val="007B75D7"/>
    <w:rsid w:val="007C21B2"/>
    <w:rsid w:val="007C3390"/>
    <w:rsid w:val="007C4F4B"/>
    <w:rsid w:val="007C4F77"/>
    <w:rsid w:val="007C6A35"/>
    <w:rsid w:val="007C7FD5"/>
    <w:rsid w:val="007D1BCB"/>
    <w:rsid w:val="007D3861"/>
    <w:rsid w:val="007D39AE"/>
    <w:rsid w:val="007D3ADF"/>
    <w:rsid w:val="007D4DE2"/>
    <w:rsid w:val="007D5953"/>
    <w:rsid w:val="007D74EE"/>
    <w:rsid w:val="007D7B05"/>
    <w:rsid w:val="007E028F"/>
    <w:rsid w:val="007E0778"/>
    <w:rsid w:val="007E2BFF"/>
    <w:rsid w:val="007E6FFB"/>
    <w:rsid w:val="007F0B83"/>
    <w:rsid w:val="007F1651"/>
    <w:rsid w:val="007F1818"/>
    <w:rsid w:val="007F272B"/>
    <w:rsid w:val="007F4FCD"/>
    <w:rsid w:val="007F6611"/>
    <w:rsid w:val="007F768B"/>
    <w:rsid w:val="00805178"/>
    <w:rsid w:val="00812EF5"/>
    <w:rsid w:val="00814E2C"/>
    <w:rsid w:val="008154D3"/>
    <w:rsid w:val="00816EDB"/>
    <w:rsid w:val="008175E9"/>
    <w:rsid w:val="0082035A"/>
    <w:rsid w:val="00820837"/>
    <w:rsid w:val="00820A38"/>
    <w:rsid w:val="008242D7"/>
    <w:rsid w:val="00826BFB"/>
    <w:rsid w:val="008271C3"/>
    <w:rsid w:val="00827E05"/>
    <w:rsid w:val="00830DAF"/>
    <w:rsid w:val="008311A3"/>
    <w:rsid w:val="00834E73"/>
    <w:rsid w:val="008360AA"/>
    <w:rsid w:val="00837DE6"/>
    <w:rsid w:val="00841D79"/>
    <w:rsid w:val="008467F9"/>
    <w:rsid w:val="008569BE"/>
    <w:rsid w:val="008577F2"/>
    <w:rsid w:val="0086198E"/>
    <w:rsid w:val="0086423F"/>
    <w:rsid w:val="00864934"/>
    <w:rsid w:val="00864AA1"/>
    <w:rsid w:val="008703E7"/>
    <w:rsid w:val="00871FD5"/>
    <w:rsid w:val="00872C11"/>
    <w:rsid w:val="00874D3D"/>
    <w:rsid w:val="00874E70"/>
    <w:rsid w:val="00875242"/>
    <w:rsid w:val="00876710"/>
    <w:rsid w:val="00881AAD"/>
    <w:rsid w:val="00881E44"/>
    <w:rsid w:val="008846DF"/>
    <w:rsid w:val="00884D20"/>
    <w:rsid w:val="008914EB"/>
    <w:rsid w:val="008979B1"/>
    <w:rsid w:val="008A2096"/>
    <w:rsid w:val="008A296D"/>
    <w:rsid w:val="008A6B25"/>
    <w:rsid w:val="008A6C4F"/>
    <w:rsid w:val="008B01F9"/>
    <w:rsid w:val="008B0EE4"/>
    <w:rsid w:val="008B3A57"/>
    <w:rsid w:val="008B6F6E"/>
    <w:rsid w:val="008C08B1"/>
    <w:rsid w:val="008C2FAB"/>
    <w:rsid w:val="008C435C"/>
    <w:rsid w:val="008D54CD"/>
    <w:rsid w:val="008E09AC"/>
    <w:rsid w:val="008E0E46"/>
    <w:rsid w:val="008E2979"/>
    <w:rsid w:val="008E3A08"/>
    <w:rsid w:val="008E3D2D"/>
    <w:rsid w:val="008E6161"/>
    <w:rsid w:val="008E61B9"/>
    <w:rsid w:val="008F1782"/>
    <w:rsid w:val="008F17E5"/>
    <w:rsid w:val="008F4AB2"/>
    <w:rsid w:val="009019A9"/>
    <w:rsid w:val="00903E58"/>
    <w:rsid w:val="00906E93"/>
    <w:rsid w:val="0090771C"/>
    <w:rsid w:val="00907AD2"/>
    <w:rsid w:val="009104B2"/>
    <w:rsid w:val="009111C7"/>
    <w:rsid w:val="009132A2"/>
    <w:rsid w:val="00913902"/>
    <w:rsid w:val="0091455F"/>
    <w:rsid w:val="00916FAA"/>
    <w:rsid w:val="00921B66"/>
    <w:rsid w:val="00921D21"/>
    <w:rsid w:val="00922876"/>
    <w:rsid w:val="00925353"/>
    <w:rsid w:val="00934214"/>
    <w:rsid w:val="00934CB1"/>
    <w:rsid w:val="00936B4E"/>
    <w:rsid w:val="009402C2"/>
    <w:rsid w:val="00940685"/>
    <w:rsid w:val="00941D3C"/>
    <w:rsid w:val="009514AC"/>
    <w:rsid w:val="00951741"/>
    <w:rsid w:val="00955F9B"/>
    <w:rsid w:val="0095645B"/>
    <w:rsid w:val="009616A8"/>
    <w:rsid w:val="009619F2"/>
    <w:rsid w:val="00963CBA"/>
    <w:rsid w:val="009647D9"/>
    <w:rsid w:val="00965BB7"/>
    <w:rsid w:val="0096733F"/>
    <w:rsid w:val="009727E1"/>
    <w:rsid w:val="009748E0"/>
    <w:rsid w:val="009749CD"/>
    <w:rsid w:val="009749EA"/>
    <w:rsid w:val="00974A8D"/>
    <w:rsid w:val="00975AAB"/>
    <w:rsid w:val="0097645E"/>
    <w:rsid w:val="009772DC"/>
    <w:rsid w:val="0097794A"/>
    <w:rsid w:val="009804B1"/>
    <w:rsid w:val="00980F54"/>
    <w:rsid w:val="00982212"/>
    <w:rsid w:val="00984B5E"/>
    <w:rsid w:val="00985142"/>
    <w:rsid w:val="00986154"/>
    <w:rsid w:val="00986EE3"/>
    <w:rsid w:val="0099001C"/>
    <w:rsid w:val="009905DF"/>
    <w:rsid w:val="00991261"/>
    <w:rsid w:val="00991AD0"/>
    <w:rsid w:val="00995E5B"/>
    <w:rsid w:val="009A061A"/>
    <w:rsid w:val="009A3BA9"/>
    <w:rsid w:val="009A3FBD"/>
    <w:rsid w:val="009B10F0"/>
    <w:rsid w:val="009B4ACF"/>
    <w:rsid w:val="009B75BF"/>
    <w:rsid w:val="009C13B2"/>
    <w:rsid w:val="009C170E"/>
    <w:rsid w:val="009C418B"/>
    <w:rsid w:val="009D1575"/>
    <w:rsid w:val="009D1BEF"/>
    <w:rsid w:val="009D3259"/>
    <w:rsid w:val="009D3AC0"/>
    <w:rsid w:val="009E0814"/>
    <w:rsid w:val="009E401E"/>
    <w:rsid w:val="009F25D3"/>
    <w:rsid w:val="009F2B82"/>
    <w:rsid w:val="009F3A17"/>
    <w:rsid w:val="009F4329"/>
    <w:rsid w:val="009F4AA8"/>
    <w:rsid w:val="009F5DAC"/>
    <w:rsid w:val="00A00840"/>
    <w:rsid w:val="00A071D1"/>
    <w:rsid w:val="00A0774F"/>
    <w:rsid w:val="00A11C1F"/>
    <w:rsid w:val="00A1427D"/>
    <w:rsid w:val="00A1540E"/>
    <w:rsid w:val="00A20839"/>
    <w:rsid w:val="00A254BF"/>
    <w:rsid w:val="00A25B13"/>
    <w:rsid w:val="00A2786B"/>
    <w:rsid w:val="00A3172C"/>
    <w:rsid w:val="00A33628"/>
    <w:rsid w:val="00A37036"/>
    <w:rsid w:val="00A37509"/>
    <w:rsid w:val="00A37B8D"/>
    <w:rsid w:val="00A41E7E"/>
    <w:rsid w:val="00A4329A"/>
    <w:rsid w:val="00A4390F"/>
    <w:rsid w:val="00A45011"/>
    <w:rsid w:val="00A45273"/>
    <w:rsid w:val="00A47FEB"/>
    <w:rsid w:val="00A51BA2"/>
    <w:rsid w:val="00A53F09"/>
    <w:rsid w:val="00A54B5C"/>
    <w:rsid w:val="00A570B9"/>
    <w:rsid w:val="00A616D6"/>
    <w:rsid w:val="00A6297A"/>
    <w:rsid w:val="00A630B9"/>
    <w:rsid w:val="00A6312F"/>
    <w:rsid w:val="00A63E4B"/>
    <w:rsid w:val="00A727F1"/>
    <w:rsid w:val="00A72F22"/>
    <w:rsid w:val="00A748A6"/>
    <w:rsid w:val="00A77F56"/>
    <w:rsid w:val="00A805EB"/>
    <w:rsid w:val="00A879A4"/>
    <w:rsid w:val="00A95701"/>
    <w:rsid w:val="00AA072D"/>
    <w:rsid w:val="00AB5572"/>
    <w:rsid w:val="00AB6DCD"/>
    <w:rsid w:val="00AC0025"/>
    <w:rsid w:val="00AC0334"/>
    <w:rsid w:val="00AC0759"/>
    <w:rsid w:val="00AC3F5A"/>
    <w:rsid w:val="00AC7A26"/>
    <w:rsid w:val="00AC7DAA"/>
    <w:rsid w:val="00AD07CD"/>
    <w:rsid w:val="00AD3A50"/>
    <w:rsid w:val="00AD44F8"/>
    <w:rsid w:val="00AD701B"/>
    <w:rsid w:val="00AD7C47"/>
    <w:rsid w:val="00AE0162"/>
    <w:rsid w:val="00AE0565"/>
    <w:rsid w:val="00AE3D03"/>
    <w:rsid w:val="00AE52B5"/>
    <w:rsid w:val="00AF04A4"/>
    <w:rsid w:val="00AF0D0C"/>
    <w:rsid w:val="00AF2C25"/>
    <w:rsid w:val="00AF4A70"/>
    <w:rsid w:val="00AF4E86"/>
    <w:rsid w:val="00AF5976"/>
    <w:rsid w:val="00B0110F"/>
    <w:rsid w:val="00B0451C"/>
    <w:rsid w:val="00B0663F"/>
    <w:rsid w:val="00B109BD"/>
    <w:rsid w:val="00B10A66"/>
    <w:rsid w:val="00B12377"/>
    <w:rsid w:val="00B12EF7"/>
    <w:rsid w:val="00B16F5D"/>
    <w:rsid w:val="00B23B3C"/>
    <w:rsid w:val="00B263D6"/>
    <w:rsid w:val="00B26B6D"/>
    <w:rsid w:val="00B30179"/>
    <w:rsid w:val="00B30550"/>
    <w:rsid w:val="00B33696"/>
    <w:rsid w:val="00B33D93"/>
    <w:rsid w:val="00B33EC0"/>
    <w:rsid w:val="00B356B8"/>
    <w:rsid w:val="00B35B6B"/>
    <w:rsid w:val="00B35CB4"/>
    <w:rsid w:val="00B37624"/>
    <w:rsid w:val="00B37A59"/>
    <w:rsid w:val="00B438AD"/>
    <w:rsid w:val="00B44776"/>
    <w:rsid w:val="00B45CC5"/>
    <w:rsid w:val="00B50D1E"/>
    <w:rsid w:val="00B52A3E"/>
    <w:rsid w:val="00B55627"/>
    <w:rsid w:val="00B55F0B"/>
    <w:rsid w:val="00B56CD8"/>
    <w:rsid w:val="00B60BB9"/>
    <w:rsid w:val="00B6108E"/>
    <w:rsid w:val="00B65789"/>
    <w:rsid w:val="00B6691B"/>
    <w:rsid w:val="00B712CD"/>
    <w:rsid w:val="00B72447"/>
    <w:rsid w:val="00B73980"/>
    <w:rsid w:val="00B73E97"/>
    <w:rsid w:val="00B77650"/>
    <w:rsid w:val="00B77DD4"/>
    <w:rsid w:val="00B808DE"/>
    <w:rsid w:val="00B81E12"/>
    <w:rsid w:val="00B84F89"/>
    <w:rsid w:val="00B8571C"/>
    <w:rsid w:val="00B87468"/>
    <w:rsid w:val="00B879CC"/>
    <w:rsid w:val="00B91362"/>
    <w:rsid w:val="00B916AF"/>
    <w:rsid w:val="00B9329E"/>
    <w:rsid w:val="00B97D02"/>
    <w:rsid w:val="00BA0EA4"/>
    <w:rsid w:val="00BA354E"/>
    <w:rsid w:val="00BA46E4"/>
    <w:rsid w:val="00BA51D2"/>
    <w:rsid w:val="00BA6636"/>
    <w:rsid w:val="00BA6971"/>
    <w:rsid w:val="00BA72CC"/>
    <w:rsid w:val="00BA7C06"/>
    <w:rsid w:val="00BB3DAC"/>
    <w:rsid w:val="00BB7A0F"/>
    <w:rsid w:val="00BC0DBB"/>
    <w:rsid w:val="00BC4B77"/>
    <w:rsid w:val="00BC53AB"/>
    <w:rsid w:val="00BC74E9"/>
    <w:rsid w:val="00BC7F31"/>
    <w:rsid w:val="00BD14E2"/>
    <w:rsid w:val="00BD2146"/>
    <w:rsid w:val="00BD21AD"/>
    <w:rsid w:val="00BD2A07"/>
    <w:rsid w:val="00BD4F5F"/>
    <w:rsid w:val="00BD4FA8"/>
    <w:rsid w:val="00BE4F74"/>
    <w:rsid w:val="00BE5308"/>
    <w:rsid w:val="00BE5749"/>
    <w:rsid w:val="00BE618E"/>
    <w:rsid w:val="00BF0594"/>
    <w:rsid w:val="00BF45E5"/>
    <w:rsid w:val="00BF5C71"/>
    <w:rsid w:val="00BF6291"/>
    <w:rsid w:val="00C04153"/>
    <w:rsid w:val="00C073B6"/>
    <w:rsid w:val="00C1186D"/>
    <w:rsid w:val="00C11909"/>
    <w:rsid w:val="00C1208C"/>
    <w:rsid w:val="00C12F7A"/>
    <w:rsid w:val="00C143B4"/>
    <w:rsid w:val="00C17699"/>
    <w:rsid w:val="00C21F49"/>
    <w:rsid w:val="00C27434"/>
    <w:rsid w:val="00C309A6"/>
    <w:rsid w:val="00C31B61"/>
    <w:rsid w:val="00C320BB"/>
    <w:rsid w:val="00C3396E"/>
    <w:rsid w:val="00C344F3"/>
    <w:rsid w:val="00C407EE"/>
    <w:rsid w:val="00C41A28"/>
    <w:rsid w:val="00C42500"/>
    <w:rsid w:val="00C45639"/>
    <w:rsid w:val="00C463DD"/>
    <w:rsid w:val="00C528EC"/>
    <w:rsid w:val="00C54918"/>
    <w:rsid w:val="00C54CCB"/>
    <w:rsid w:val="00C54FF0"/>
    <w:rsid w:val="00C55410"/>
    <w:rsid w:val="00C55D07"/>
    <w:rsid w:val="00C5771E"/>
    <w:rsid w:val="00C65812"/>
    <w:rsid w:val="00C70D56"/>
    <w:rsid w:val="00C730DE"/>
    <w:rsid w:val="00C73C64"/>
    <w:rsid w:val="00C745C3"/>
    <w:rsid w:val="00C74DB9"/>
    <w:rsid w:val="00C756ED"/>
    <w:rsid w:val="00C75C4B"/>
    <w:rsid w:val="00C77A18"/>
    <w:rsid w:val="00C8066C"/>
    <w:rsid w:val="00C82590"/>
    <w:rsid w:val="00C83514"/>
    <w:rsid w:val="00C84FF4"/>
    <w:rsid w:val="00C87A98"/>
    <w:rsid w:val="00C92529"/>
    <w:rsid w:val="00C92BAC"/>
    <w:rsid w:val="00C92E61"/>
    <w:rsid w:val="00C933B6"/>
    <w:rsid w:val="00C94465"/>
    <w:rsid w:val="00CA1D06"/>
    <w:rsid w:val="00CA3F9A"/>
    <w:rsid w:val="00CA4B0E"/>
    <w:rsid w:val="00CA5B67"/>
    <w:rsid w:val="00CA6F61"/>
    <w:rsid w:val="00CA7D03"/>
    <w:rsid w:val="00CC32B3"/>
    <w:rsid w:val="00CC4B70"/>
    <w:rsid w:val="00CD29E2"/>
    <w:rsid w:val="00CD41A4"/>
    <w:rsid w:val="00CD455E"/>
    <w:rsid w:val="00CD7BE6"/>
    <w:rsid w:val="00CD7CEB"/>
    <w:rsid w:val="00CE09AD"/>
    <w:rsid w:val="00CE3368"/>
    <w:rsid w:val="00CE4A8F"/>
    <w:rsid w:val="00CE5435"/>
    <w:rsid w:val="00CE7FB5"/>
    <w:rsid w:val="00CF2D57"/>
    <w:rsid w:val="00CF41EA"/>
    <w:rsid w:val="00CF5B31"/>
    <w:rsid w:val="00CF6BD0"/>
    <w:rsid w:val="00D0099B"/>
    <w:rsid w:val="00D02F6D"/>
    <w:rsid w:val="00D032B7"/>
    <w:rsid w:val="00D056CB"/>
    <w:rsid w:val="00D06516"/>
    <w:rsid w:val="00D06632"/>
    <w:rsid w:val="00D076BD"/>
    <w:rsid w:val="00D11A2D"/>
    <w:rsid w:val="00D14D31"/>
    <w:rsid w:val="00D2031B"/>
    <w:rsid w:val="00D21958"/>
    <w:rsid w:val="00D22716"/>
    <w:rsid w:val="00D228C0"/>
    <w:rsid w:val="00D25FE2"/>
    <w:rsid w:val="00D317BB"/>
    <w:rsid w:val="00D3344B"/>
    <w:rsid w:val="00D363F7"/>
    <w:rsid w:val="00D402E8"/>
    <w:rsid w:val="00D43252"/>
    <w:rsid w:val="00D4433A"/>
    <w:rsid w:val="00D44EAE"/>
    <w:rsid w:val="00D4733B"/>
    <w:rsid w:val="00D50717"/>
    <w:rsid w:val="00D50B65"/>
    <w:rsid w:val="00D524E8"/>
    <w:rsid w:val="00D57D7E"/>
    <w:rsid w:val="00D70CF6"/>
    <w:rsid w:val="00D71847"/>
    <w:rsid w:val="00D71D0C"/>
    <w:rsid w:val="00D74CF9"/>
    <w:rsid w:val="00D8399D"/>
    <w:rsid w:val="00D918A3"/>
    <w:rsid w:val="00D924F4"/>
    <w:rsid w:val="00D938D5"/>
    <w:rsid w:val="00D9479A"/>
    <w:rsid w:val="00D94AE2"/>
    <w:rsid w:val="00D978C6"/>
    <w:rsid w:val="00D978F3"/>
    <w:rsid w:val="00DA1A83"/>
    <w:rsid w:val="00DA4D3F"/>
    <w:rsid w:val="00DA67AD"/>
    <w:rsid w:val="00DB1B64"/>
    <w:rsid w:val="00DB5D0F"/>
    <w:rsid w:val="00DB7459"/>
    <w:rsid w:val="00DC1254"/>
    <w:rsid w:val="00DC1A84"/>
    <w:rsid w:val="00DC3242"/>
    <w:rsid w:val="00DC3A75"/>
    <w:rsid w:val="00DC5FDF"/>
    <w:rsid w:val="00DD0C65"/>
    <w:rsid w:val="00DD0EA3"/>
    <w:rsid w:val="00DD222A"/>
    <w:rsid w:val="00DE3A0C"/>
    <w:rsid w:val="00DE78DA"/>
    <w:rsid w:val="00DE7C34"/>
    <w:rsid w:val="00DF07FE"/>
    <w:rsid w:val="00DF12F7"/>
    <w:rsid w:val="00DF15D8"/>
    <w:rsid w:val="00DF37FD"/>
    <w:rsid w:val="00DF6FDE"/>
    <w:rsid w:val="00E02C81"/>
    <w:rsid w:val="00E05851"/>
    <w:rsid w:val="00E05E6F"/>
    <w:rsid w:val="00E126AA"/>
    <w:rsid w:val="00E130AB"/>
    <w:rsid w:val="00E201CB"/>
    <w:rsid w:val="00E2103D"/>
    <w:rsid w:val="00E2307D"/>
    <w:rsid w:val="00E24B3E"/>
    <w:rsid w:val="00E31D3F"/>
    <w:rsid w:val="00E31E80"/>
    <w:rsid w:val="00E32828"/>
    <w:rsid w:val="00E32BB1"/>
    <w:rsid w:val="00E33C28"/>
    <w:rsid w:val="00E36F0F"/>
    <w:rsid w:val="00E37E28"/>
    <w:rsid w:val="00E37F51"/>
    <w:rsid w:val="00E4094C"/>
    <w:rsid w:val="00E41868"/>
    <w:rsid w:val="00E42808"/>
    <w:rsid w:val="00E43853"/>
    <w:rsid w:val="00E470C5"/>
    <w:rsid w:val="00E54137"/>
    <w:rsid w:val="00E57B05"/>
    <w:rsid w:val="00E62142"/>
    <w:rsid w:val="00E6496A"/>
    <w:rsid w:val="00E64BE8"/>
    <w:rsid w:val="00E64E10"/>
    <w:rsid w:val="00E651A3"/>
    <w:rsid w:val="00E65E4E"/>
    <w:rsid w:val="00E678EB"/>
    <w:rsid w:val="00E7260F"/>
    <w:rsid w:val="00E73F7D"/>
    <w:rsid w:val="00E76682"/>
    <w:rsid w:val="00E7733E"/>
    <w:rsid w:val="00E81BAA"/>
    <w:rsid w:val="00E87921"/>
    <w:rsid w:val="00E87BE1"/>
    <w:rsid w:val="00E930F6"/>
    <w:rsid w:val="00E93B8F"/>
    <w:rsid w:val="00E9495A"/>
    <w:rsid w:val="00E95AB3"/>
    <w:rsid w:val="00E96630"/>
    <w:rsid w:val="00EA0CBB"/>
    <w:rsid w:val="00EA264E"/>
    <w:rsid w:val="00EA2C1C"/>
    <w:rsid w:val="00EA3743"/>
    <w:rsid w:val="00EA5690"/>
    <w:rsid w:val="00EA7ACA"/>
    <w:rsid w:val="00EB0776"/>
    <w:rsid w:val="00EB31E8"/>
    <w:rsid w:val="00EB3CF7"/>
    <w:rsid w:val="00EB6485"/>
    <w:rsid w:val="00EB7B03"/>
    <w:rsid w:val="00EC268E"/>
    <w:rsid w:val="00EC3A43"/>
    <w:rsid w:val="00EC3D7E"/>
    <w:rsid w:val="00EC5A8A"/>
    <w:rsid w:val="00EC7CB8"/>
    <w:rsid w:val="00ED0C55"/>
    <w:rsid w:val="00ED42EB"/>
    <w:rsid w:val="00ED7A2A"/>
    <w:rsid w:val="00ED7E78"/>
    <w:rsid w:val="00EE127E"/>
    <w:rsid w:val="00EE6D04"/>
    <w:rsid w:val="00EF1D7F"/>
    <w:rsid w:val="00EF381F"/>
    <w:rsid w:val="00EF444E"/>
    <w:rsid w:val="00EF66AA"/>
    <w:rsid w:val="00EF6F11"/>
    <w:rsid w:val="00F0058A"/>
    <w:rsid w:val="00F0287E"/>
    <w:rsid w:val="00F04DB0"/>
    <w:rsid w:val="00F065D0"/>
    <w:rsid w:val="00F10CCD"/>
    <w:rsid w:val="00F13FE3"/>
    <w:rsid w:val="00F14C89"/>
    <w:rsid w:val="00F15EC0"/>
    <w:rsid w:val="00F17D83"/>
    <w:rsid w:val="00F203AE"/>
    <w:rsid w:val="00F20D16"/>
    <w:rsid w:val="00F212B0"/>
    <w:rsid w:val="00F213F2"/>
    <w:rsid w:val="00F227EE"/>
    <w:rsid w:val="00F230E4"/>
    <w:rsid w:val="00F26772"/>
    <w:rsid w:val="00F27C48"/>
    <w:rsid w:val="00F30135"/>
    <w:rsid w:val="00F307F9"/>
    <w:rsid w:val="00F348BC"/>
    <w:rsid w:val="00F35D16"/>
    <w:rsid w:val="00F419CA"/>
    <w:rsid w:val="00F42A78"/>
    <w:rsid w:val="00F43F14"/>
    <w:rsid w:val="00F4559F"/>
    <w:rsid w:val="00F461BF"/>
    <w:rsid w:val="00F47980"/>
    <w:rsid w:val="00F50610"/>
    <w:rsid w:val="00F53EDA"/>
    <w:rsid w:val="00F5428E"/>
    <w:rsid w:val="00F56518"/>
    <w:rsid w:val="00F56BFE"/>
    <w:rsid w:val="00F56DE0"/>
    <w:rsid w:val="00F61902"/>
    <w:rsid w:val="00F6227B"/>
    <w:rsid w:val="00F66579"/>
    <w:rsid w:val="00F708A8"/>
    <w:rsid w:val="00F715B6"/>
    <w:rsid w:val="00F719A2"/>
    <w:rsid w:val="00F71B6B"/>
    <w:rsid w:val="00F730FE"/>
    <w:rsid w:val="00F76CC7"/>
    <w:rsid w:val="00F77293"/>
    <w:rsid w:val="00F7753D"/>
    <w:rsid w:val="00F805CA"/>
    <w:rsid w:val="00F80636"/>
    <w:rsid w:val="00F80BC3"/>
    <w:rsid w:val="00F82D69"/>
    <w:rsid w:val="00F83C0F"/>
    <w:rsid w:val="00F85F34"/>
    <w:rsid w:val="00F87929"/>
    <w:rsid w:val="00F91414"/>
    <w:rsid w:val="00F92835"/>
    <w:rsid w:val="00F95FD0"/>
    <w:rsid w:val="00FA06F7"/>
    <w:rsid w:val="00FA18D9"/>
    <w:rsid w:val="00FA5CA3"/>
    <w:rsid w:val="00FA62FA"/>
    <w:rsid w:val="00FB0119"/>
    <w:rsid w:val="00FB171A"/>
    <w:rsid w:val="00FB24B1"/>
    <w:rsid w:val="00FB3028"/>
    <w:rsid w:val="00FB3851"/>
    <w:rsid w:val="00FB3D8C"/>
    <w:rsid w:val="00FB75E7"/>
    <w:rsid w:val="00FC24D4"/>
    <w:rsid w:val="00FC348E"/>
    <w:rsid w:val="00FC3EDE"/>
    <w:rsid w:val="00FC68B7"/>
    <w:rsid w:val="00FC751A"/>
    <w:rsid w:val="00FD0E1B"/>
    <w:rsid w:val="00FD1BD3"/>
    <w:rsid w:val="00FD3F13"/>
    <w:rsid w:val="00FD62CD"/>
    <w:rsid w:val="00FD7BF6"/>
    <w:rsid w:val="00FE13F7"/>
    <w:rsid w:val="00FE5180"/>
    <w:rsid w:val="00FE646C"/>
    <w:rsid w:val="00FF037D"/>
    <w:rsid w:val="00FF0EC1"/>
    <w:rsid w:val="00FF116A"/>
    <w:rsid w:val="00FF3A32"/>
    <w:rsid w:val="00FF55DD"/>
    <w:rsid w:val="00FF5677"/>
    <w:rsid w:val="00FF675E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3F3321"/>
  <w15:docId w15:val="{4A4C284F-E0DF-4CD8-97EC-AD6EB196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rsid w:val="000171FC"/>
    <w:rPr>
      <w:sz w:val="18"/>
      <w:lang w:eastAsia="en-US"/>
    </w:rPr>
  </w:style>
  <w:style w:type="paragraph" w:styleId="Caption">
    <w:name w:val="caption"/>
    <w:basedOn w:val="Normal"/>
    <w:next w:val="Normal"/>
    <w:uiPriority w:val="35"/>
    <w:qFormat/>
    <w:rsid w:val="00874E70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table" w:customStyle="1" w:styleId="TableGrid1">
    <w:name w:val="Table Grid1"/>
    <w:basedOn w:val="TableNormal"/>
    <w:next w:val="TableGrid"/>
    <w:rsid w:val="004A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D938D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1256"/>
    <w:pPr>
      <w:ind w:left="720"/>
      <w:contextualSpacing/>
    </w:pPr>
  </w:style>
  <w:style w:type="character" w:customStyle="1" w:styleId="SingleTxtGChar">
    <w:name w:val="_ Single Txt_G Char"/>
    <w:link w:val="SingleTxtG"/>
    <w:qFormat/>
    <w:rsid w:val="001A125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6C6A56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4D2B47"/>
    <w:rPr>
      <w:sz w:val="16"/>
      <w:lang w:eastAsia="en-US"/>
    </w:rPr>
  </w:style>
  <w:style w:type="paragraph" w:styleId="NoSpacing">
    <w:name w:val="No Spacing"/>
    <w:uiPriority w:val="1"/>
    <w:qFormat/>
    <w:rsid w:val="00E678EB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Table_G Char"/>
    <w:link w:val="Heading1"/>
    <w:rsid w:val="004A7278"/>
    <w:rPr>
      <w:lang w:eastAsia="en-US"/>
    </w:rPr>
  </w:style>
  <w:style w:type="character" w:customStyle="1" w:styleId="CommentTextChar">
    <w:name w:val="Comment Text Char"/>
    <w:link w:val="CommentText"/>
    <w:rsid w:val="00DD0EA3"/>
    <w:rPr>
      <w:lang w:eastAsia="en-US"/>
    </w:rPr>
  </w:style>
  <w:style w:type="character" w:customStyle="1" w:styleId="SingleTxtGZchn">
    <w:name w:val="_ Single Txt_G Zchn"/>
    <w:rsid w:val="00581EFE"/>
    <w:rPr>
      <w:lang w:eastAsia="en-US"/>
    </w:rPr>
  </w:style>
  <w:style w:type="character" w:customStyle="1" w:styleId="SingleTxtGZchnZchn">
    <w:name w:val="_ Single Txt_G Zchn Zchn"/>
    <w:uiPriority w:val="99"/>
    <w:rsid w:val="00B97D02"/>
    <w:rPr>
      <w:lang w:eastAsia="en-US"/>
    </w:rPr>
  </w:style>
  <w:style w:type="paragraph" w:customStyle="1" w:styleId="Default">
    <w:name w:val="Default"/>
    <w:rsid w:val="00297F3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4D7B-4425-40B9-B2E0-90CA061D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43</TotalTime>
  <Pages>4</Pages>
  <Words>1347</Words>
  <Characters>6268</Characters>
  <Application>Microsoft Office Word</Application>
  <DocSecurity>0</DocSecurity>
  <Lines>160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9</cp:revision>
  <cp:lastPrinted>2019-04-05T15:16:00Z</cp:lastPrinted>
  <dcterms:created xsi:type="dcterms:W3CDTF">2019-04-05T13:36:00Z</dcterms:created>
  <dcterms:modified xsi:type="dcterms:W3CDTF">2019-04-05T15:16:00Z</dcterms:modified>
</cp:coreProperties>
</file>