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61BF88A" w14:textId="77777777" w:rsidTr="00F01738">
        <w:trPr>
          <w:trHeight w:hRule="exact" w:val="851"/>
        </w:trPr>
        <w:tc>
          <w:tcPr>
            <w:tcW w:w="1276" w:type="dxa"/>
            <w:tcBorders>
              <w:bottom w:val="single" w:sz="4" w:space="0" w:color="auto"/>
            </w:tcBorders>
          </w:tcPr>
          <w:p w14:paraId="42EA3855" w14:textId="77777777" w:rsidR="00132EA9" w:rsidRPr="00DB58B5" w:rsidRDefault="00132EA9" w:rsidP="00FB2D65">
            <w:bookmarkStart w:id="0" w:name="_GoBack"/>
            <w:bookmarkEnd w:id="0"/>
          </w:p>
        </w:tc>
        <w:tc>
          <w:tcPr>
            <w:tcW w:w="2268" w:type="dxa"/>
            <w:tcBorders>
              <w:bottom w:val="single" w:sz="4" w:space="0" w:color="auto"/>
            </w:tcBorders>
            <w:vAlign w:val="bottom"/>
          </w:tcPr>
          <w:p w14:paraId="2E7FFB9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E44445" w14:textId="77777777" w:rsidR="00132EA9" w:rsidRPr="00DB58B5" w:rsidRDefault="00FB2D65" w:rsidP="00FB2D65">
            <w:pPr>
              <w:jc w:val="right"/>
            </w:pPr>
            <w:r w:rsidRPr="00FB2D65">
              <w:rPr>
                <w:sz w:val="40"/>
              </w:rPr>
              <w:t>ST</w:t>
            </w:r>
            <w:r>
              <w:t>/SG/AC.10/C.3/2019/18</w:t>
            </w:r>
          </w:p>
        </w:tc>
      </w:tr>
      <w:tr w:rsidR="00132EA9" w:rsidRPr="00DB58B5" w14:paraId="3249ADA7" w14:textId="77777777" w:rsidTr="00F01738">
        <w:trPr>
          <w:trHeight w:hRule="exact" w:val="2835"/>
        </w:trPr>
        <w:tc>
          <w:tcPr>
            <w:tcW w:w="1276" w:type="dxa"/>
            <w:tcBorders>
              <w:top w:val="single" w:sz="4" w:space="0" w:color="auto"/>
              <w:bottom w:val="single" w:sz="12" w:space="0" w:color="auto"/>
            </w:tcBorders>
          </w:tcPr>
          <w:p w14:paraId="4A1A8825" w14:textId="77777777" w:rsidR="00132EA9" w:rsidRPr="00DB58B5" w:rsidRDefault="00132EA9" w:rsidP="00F01738">
            <w:pPr>
              <w:spacing w:before="120"/>
              <w:jc w:val="center"/>
            </w:pPr>
            <w:r>
              <w:rPr>
                <w:noProof/>
                <w:lang w:eastAsia="fr-CH"/>
              </w:rPr>
              <w:drawing>
                <wp:inline distT="0" distB="0" distL="0" distR="0" wp14:anchorId="7894B581" wp14:editId="7C0413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E5CE4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9267325" w14:textId="77777777" w:rsidR="00132EA9" w:rsidRDefault="00FB2D65" w:rsidP="00F01738">
            <w:pPr>
              <w:spacing w:before="240"/>
            </w:pPr>
            <w:r>
              <w:t xml:space="preserve">Distr. </w:t>
            </w:r>
            <w:proofErr w:type="gramStart"/>
            <w:r>
              <w:t>générale</w:t>
            </w:r>
            <w:proofErr w:type="gramEnd"/>
          </w:p>
          <w:p w14:paraId="031C4310" w14:textId="77777777" w:rsidR="00FB2D65" w:rsidRDefault="00FB2D65" w:rsidP="00FB2D65">
            <w:pPr>
              <w:spacing w:line="240" w:lineRule="exact"/>
            </w:pPr>
            <w:r>
              <w:t>8 avril 2019</w:t>
            </w:r>
          </w:p>
          <w:p w14:paraId="6E457083" w14:textId="77777777" w:rsidR="00FB2D65" w:rsidRDefault="00FB2D65" w:rsidP="00FB2D65">
            <w:pPr>
              <w:spacing w:line="240" w:lineRule="exact"/>
            </w:pPr>
            <w:r>
              <w:t>Français</w:t>
            </w:r>
          </w:p>
          <w:p w14:paraId="78FA382A" w14:textId="77777777" w:rsidR="00FB2D65" w:rsidRPr="00DB58B5" w:rsidRDefault="00FB2D65" w:rsidP="00FB2D65">
            <w:pPr>
              <w:spacing w:line="240" w:lineRule="exact"/>
            </w:pPr>
            <w:r>
              <w:t>Original : anglais</w:t>
            </w:r>
          </w:p>
        </w:tc>
      </w:tr>
    </w:tbl>
    <w:p w14:paraId="4F97A606" w14:textId="77777777" w:rsidR="00C55D7B" w:rsidRPr="007041F2" w:rsidRDefault="00C55D7B" w:rsidP="007041F2">
      <w:pPr>
        <w:spacing w:before="120" w:after="120"/>
        <w:rPr>
          <w:b/>
          <w:sz w:val="24"/>
          <w:szCs w:val="24"/>
        </w:rPr>
      </w:pPr>
      <w:r w:rsidRPr="007041F2">
        <w:rPr>
          <w:b/>
          <w:sz w:val="24"/>
          <w:szCs w:val="24"/>
          <w:lang w:val="fr-FR"/>
        </w:rPr>
        <w:t>Comité d</w:t>
      </w:r>
      <w:r w:rsidR="00CC7AF9">
        <w:rPr>
          <w:b/>
          <w:sz w:val="24"/>
          <w:szCs w:val="24"/>
          <w:lang w:val="fr-FR"/>
        </w:rPr>
        <w:t>’</w:t>
      </w:r>
      <w:r w:rsidRPr="007041F2">
        <w:rPr>
          <w:b/>
          <w:sz w:val="24"/>
          <w:szCs w:val="24"/>
          <w:lang w:val="fr-FR"/>
        </w:rPr>
        <w:t xml:space="preserve">experts du transport des marchandises dangereuses </w:t>
      </w:r>
      <w:r w:rsidR="007041F2" w:rsidRPr="007041F2">
        <w:rPr>
          <w:b/>
          <w:sz w:val="24"/>
          <w:szCs w:val="24"/>
          <w:lang w:val="fr-FR"/>
        </w:rPr>
        <w:br/>
      </w:r>
      <w:r w:rsidRPr="007041F2">
        <w:rPr>
          <w:b/>
          <w:sz w:val="24"/>
          <w:szCs w:val="24"/>
          <w:lang w:val="fr-FR"/>
        </w:rPr>
        <w:t xml:space="preserve">et du Système général harmonisé de classification </w:t>
      </w:r>
      <w:r w:rsidR="007041F2" w:rsidRPr="007041F2">
        <w:rPr>
          <w:b/>
          <w:sz w:val="24"/>
          <w:szCs w:val="24"/>
          <w:lang w:val="fr-FR"/>
        </w:rPr>
        <w:br/>
      </w:r>
      <w:r w:rsidRPr="007041F2">
        <w:rPr>
          <w:b/>
          <w:sz w:val="24"/>
          <w:szCs w:val="24"/>
          <w:lang w:val="fr-FR"/>
        </w:rPr>
        <w:t>et d</w:t>
      </w:r>
      <w:r w:rsidR="00CC7AF9">
        <w:rPr>
          <w:b/>
          <w:sz w:val="24"/>
          <w:szCs w:val="24"/>
          <w:lang w:val="fr-FR"/>
        </w:rPr>
        <w:t>’</w:t>
      </w:r>
      <w:r w:rsidRPr="007041F2">
        <w:rPr>
          <w:b/>
          <w:sz w:val="24"/>
          <w:szCs w:val="24"/>
          <w:lang w:val="fr-FR"/>
        </w:rPr>
        <w:t>étiquetage des produits chimiques</w:t>
      </w:r>
    </w:p>
    <w:p w14:paraId="07C92387" w14:textId="77777777" w:rsidR="00C55D7B" w:rsidRPr="007041F2" w:rsidRDefault="00C55D7B" w:rsidP="007041F2">
      <w:pPr>
        <w:rPr>
          <w:b/>
        </w:rPr>
      </w:pPr>
      <w:r w:rsidRPr="007041F2">
        <w:rPr>
          <w:b/>
          <w:lang w:val="fr-FR"/>
        </w:rPr>
        <w:t>Sous-Comité d</w:t>
      </w:r>
      <w:r w:rsidR="00CC7AF9">
        <w:rPr>
          <w:b/>
          <w:lang w:val="fr-FR"/>
        </w:rPr>
        <w:t>’</w:t>
      </w:r>
      <w:r w:rsidRPr="007041F2">
        <w:rPr>
          <w:b/>
          <w:lang w:val="fr-FR"/>
        </w:rPr>
        <w:t>experts du transport des marchandises dangereuses</w:t>
      </w:r>
    </w:p>
    <w:p w14:paraId="4A64A25F" w14:textId="77777777" w:rsidR="00C55D7B" w:rsidRPr="00432930" w:rsidRDefault="00C55D7B" w:rsidP="00C55D7B">
      <w:pPr>
        <w:spacing w:before="120" w:line="276" w:lineRule="auto"/>
        <w:rPr>
          <w:b/>
        </w:rPr>
      </w:pPr>
      <w:r>
        <w:rPr>
          <w:b/>
          <w:bCs/>
          <w:lang w:val="fr-FR"/>
        </w:rPr>
        <w:t>Cinquante-cinquième session</w:t>
      </w:r>
    </w:p>
    <w:p w14:paraId="11B5F66C" w14:textId="77777777" w:rsidR="00C55D7B" w:rsidRDefault="00C55D7B" w:rsidP="00C55D7B">
      <w:pPr>
        <w:spacing w:line="276" w:lineRule="auto"/>
        <w:rPr>
          <w:lang w:val="fr-FR"/>
        </w:rPr>
      </w:pPr>
      <w:r>
        <w:rPr>
          <w:lang w:val="fr-FR"/>
        </w:rPr>
        <w:t>Genève, 1</w:t>
      </w:r>
      <w:r w:rsidRPr="00DF3B1A">
        <w:rPr>
          <w:vertAlign w:val="superscript"/>
          <w:lang w:val="fr-FR"/>
        </w:rPr>
        <w:t>er</w:t>
      </w:r>
      <w:r>
        <w:rPr>
          <w:lang w:val="fr-FR"/>
        </w:rPr>
        <w:t xml:space="preserve">-5 juillet 2019 </w:t>
      </w:r>
    </w:p>
    <w:p w14:paraId="0CBB53E5" w14:textId="77777777" w:rsidR="00C55D7B" w:rsidRDefault="00C55D7B" w:rsidP="00C55D7B">
      <w:pPr>
        <w:spacing w:line="276" w:lineRule="auto"/>
        <w:rPr>
          <w:lang w:val="fr-FR"/>
        </w:rPr>
      </w:pPr>
      <w:r>
        <w:rPr>
          <w:lang w:val="fr-FR"/>
        </w:rPr>
        <w:t>Point 3 de l</w:t>
      </w:r>
      <w:r w:rsidR="00CC7AF9">
        <w:rPr>
          <w:lang w:val="fr-FR"/>
        </w:rPr>
        <w:t>’</w:t>
      </w:r>
      <w:r>
        <w:rPr>
          <w:lang w:val="fr-FR"/>
        </w:rPr>
        <w:t xml:space="preserve">ordre du jour provisoire </w:t>
      </w:r>
    </w:p>
    <w:p w14:paraId="098E36AF" w14:textId="77777777" w:rsidR="00C55D7B" w:rsidRPr="007947F2" w:rsidRDefault="00C55D7B" w:rsidP="00C55D7B">
      <w:pPr>
        <w:spacing w:line="276" w:lineRule="auto"/>
        <w:rPr>
          <w:b/>
          <w:bCs/>
        </w:rPr>
      </w:pPr>
      <w:r>
        <w:rPr>
          <w:b/>
          <w:bCs/>
          <w:lang w:val="fr-FR"/>
        </w:rPr>
        <w:t>Inscription, classement et emballage</w:t>
      </w:r>
    </w:p>
    <w:p w14:paraId="2FD49DC9" w14:textId="77777777" w:rsidR="00C55D7B" w:rsidRPr="000C4A22" w:rsidRDefault="00C55D7B" w:rsidP="007041F2">
      <w:pPr>
        <w:pStyle w:val="HChG"/>
      </w:pPr>
      <w:r>
        <w:rPr>
          <w:lang w:val="fr-FR"/>
        </w:rPr>
        <w:tab/>
      </w:r>
      <w:r>
        <w:rPr>
          <w:lang w:val="fr-FR"/>
        </w:rPr>
        <w:tab/>
        <w:t>Exemptions pour les matières qui polymérisent</w:t>
      </w:r>
      <w:bookmarkStart w:id="1" w:name="_Hlk511121631"/>
      <w:bookmarkEnd w:id="1"/>
    </w:p>
    <w:p w14:paraId="0AB5E311" w14:textId="77777777" w:rsidR="00C55D7B" w:rsidRPr="00093FAC" w:rsidRDefault="00C55D7B" w:rsidP="007041F2">
      <w:pPr>
        <w:pStyle w:val="H1G"/>
      </w:pPr>
      <w:r>
        <w:rPr>
          <w:lang w:val="fr-FR"/>
        </w:rPr>
        <w:tab/>
      </w:r>
      <w:r>
        <w:rPr>
          <w:lang w:val="fr-FR"/>
        </w:rPr>
        <w:tab/>
        <w:t>Communication du Conseil européen de l</w:t>
      </w:r>
      <w:r w:rsidR="00CC7AF9">
        <w:rPr>
          <w:lang w:val="fr-FR"/>
        </w:rPr>
        <w:t>’</w:t>
      </w:r>
      <w:r>
        <w:rPr>
          <w:lang w:val="fr-FR"/>
        </w:rPr>
        <w:t>industrie chimique (CEFIC)</w:t>
      </w:r>
      <w:bookmarkStart w:id="2" w:name="_Hlk511119018"/>
      <w:r w:rsidRPr="00C55D7B">
        <w:rPr>
          <w:rStyle w:val="FootnoteReference"/>
          <w:b w:val="0"/>
          <w:sz w:val="20"/>
          <w:vertAlign w:val="baseline"/>
        </w:rPr>
        <w:footnoteReference w:customMarkFollows="1" w:id="2"/>
        <w:t>*</w:t>
      </w:r>
    </w:p>
    <w:bookmarkEnd w:id="2"/>
    <w:p w14:paraId="7ED4BBBE" w14:textId="77777777" w:rsidR="00C55D7B" w:rsidRPr="00093FAC" w:rsidRDefault="00C55D7B" w:rsidP="00C55D7B">
      <w:pPr>
        <w:pStyle w:val="HChG"/>
      </w:pPr>
      <w:r>
        <w:rPr>
          <w:lang w:val="fr-FR"/>
        </w:rPr>
        <w:tab/>
      </w:r>
      <w:r>
        <w:rPr>
          <w:lang w:val="fr-FR"/>
        </w:rPr>
        <w:tab/>
        <w:t>Introduction</w:t>
      </w:r>
    </w:p>
    <w:p w14:paraId="42336D8C" w14:textId="77777777" w:rsidR="00C55D7B" w:rsidRPr="00BB5A7B" w:rsidRDefault="00C55D7B" w:rsidP="00C55D7B">
      <w:pPr>
        <w:pStyle w:val="SingleTxtG"/>
      </w:pPr>
      <w:r>
        <w:rPr>
          <w:lang w:val="fr-FR"/>
        </w:rPr>
        <w:t>1.</w:t>
      </w:r>
      <w:r>
        <w:rPr>
          <w:lang w:val="fr-FR"/>
        </w:rPr>
        <w:tab/>
        <w:t>Le Sous-Comité a adopté de nouveaux critères et numéros ONU pour les matières qui polymérisent de la division 4.1 pour la dix-neuvième édition du Règlement type.</w:t>
      </w:r>
    </w:p>
    <w:p w14:paraId="49FE61B6" w14:textId="77777777" w:rsidR="00C55D7B" w:rsidRDefault="00C55D7B" w:rsidP="00C55D7B">
      <w:pPr>
        <w:pStyle w:val="SingleTxtG"/>
      </w:pPr>
      <w:r>
        <w:rPr>
          <w:lang w:val="fr-FR"/>
        </w:rPr>
        <w:t>2.</w:t>
      </w:r>
      <w:r>
        <w:rPr>
          <w:lang w:val="fr-FR"/>
        </w:rPr>
        <w:tab/>
        <w:t xml:space="preserve">Selon la définition donnée au paragraphe 2.4.2.5.1, « on entend par </w:t>
      </w:r>
      <w:r w:rsidRPr="00A07813">
        <w:rPr>
          <w:i/>
          <w:lang w:val="fr-FR"/>
        </w:rPr>
        <w:t>Matières qui polymérisent</w:t>
      </w:r>
      <w:r>
        <w:rPr>
          <w:lang w:val="fr-FR"/>
        </w:rPr>
        <w:t>, les matières qui, sans stabilisation, sont susceptibles de subir une forte réaction exothermique résultant en la formation de molécules plus grandes ou résultant en la formation de polymères dans les conditions normales de transport.</w:t>
      </w:r>
      <w:r w:rsidR="00257FD8">
        <w:rPr>
          <w:lang w:val="fr-FR"/>
        </w:rPr>
        <w:t> </w:t>
      </w:r>
      <w:r>
        <w:rPr>
          <w:lang w:val="fr-FR"/>
        </w:rPr>
        <w:t xml:space="preserve">». </w:t>
      </w:r>
    </w:p>
    <w:p w14:paraId="3EF75264" w14:textId="77777777" w:rsidR="00C55D7B" w:rsidRPr="007041F2" w:rsidRDefault="00C55D7B" w:rsidP="00C55D7B">
      <w:pPr>
        <w:pStyle w:val="SingleTxtG"/>
      </w:pPr>
      <w:r w:rsidRPr="007041F2">
        <w:rPr>
          <w:lang w:val="fr-FR"/>
        </w:rPr>
        <w:t>3.</w:t>
      </w:r>
      <w:r w:rsidRPr="007041F2">
        <w:rPr>
          <w:lang w:val="fr-FR"/>
        </w:rPr>
        <w:tab/>
        <w:t>Dans la plupart des manuels de chimie, la capacité de polymérisation est liée à l</w:t>
      </w:r>
      <w:r w:rsidR="00CC7AF9">
        <w:rPr>
          <w:lang w:val="fr-FR"/>
        </w:rPr>
        <w:t>’</w:t>
      </w:r>
      <w:r w:rsidRPr="007041F2">
        <w:rPr>
          <w:lang w:val="fr-FR"/>
        </w:rPr>
        <w:t>existence de liaisons insaturées (c</w:t>
      </w:r>
      <w:r w:rsidR="00CC7AF9">
        <w:rPr>
          <w:lang w:val="fr-FR"/>
        </w:rPr>
        <w:t>’</w:t>
      </w:r>
      <w:r w:rsidRPr="007041F2">
        <w:rPr>
          <w:lang w:val="fr-FR"/>
        </w:rPr>
        <w:t>est-à-dire doubles ou triples) ou de cycles de tension dans la molécule. Ainsi, la polymérisation est essentiellement la formation d</w:t>
      </w:r>
      <w:r w:rsidR="00CC7AF9">
        <w:rPr>
          <w:lang w:val="fr-FR"/>
        </w:rPr>
        <w:t>’</w:t>
      </w:r>
      <w:r w:rsidRPr="007041F2">
        <w:rPr>
          <w:lang w:val="fr-FR"/>
        </w:rPr>
        <w:t xml:space="preserve">une molécule plus grosse par addition de petites unités réactives </w:t>
      </w:r>
      <w:r w:rsidR="000E0CEF" w:rsidRPr="007041F2">
        <w:rPr>
          <w:lang w:val="fr-FR"/>
        </w:rPr>
        <w:t>− </w:t>
      </w:r>
      <w:r w:rsidRPr="007041F2">
        <w:rPr>
          <w:lang w:val="fr-FR"/>
        </w:rPr>
        <w:t>les monomères</w:t>
      </w:r>
      <w:r w:rsidR="000E0CEF" w:rsidRPr="007041F2">
        <w:rPr>
          <w:lang w:val="fr-FR"/>
        </w:rPr>
        <w:t> −</w:t>
      </w:r>
      <w:r w:rsidRPr="007041F2">
        <w:rPr>
          <w:lang w:val="fr-FR"/>
        </w:rPr>
        <w:t xml:space="preserve"> à l</w:t>
      </w:r>
      <w:r w:rsidR="00CC7AF9">
        <w:rPr>
          <w:lang w:val="fr-FR"/>
        </w:rPr>
        <w:t>’</w:t>
      </w:r>
      <w:r w:rsidRPr="007041F2">
        <w:rPr>
          <w:lang w:val="fr-FR"/>
        </w:rPr>
        <w:t>extrémité activée d</w:t>
      </w:r>
      <w:r w:rsidR="00CC7AF9">
        <w:rPr>
          <w:lang w:val="fr-FR"/>
        </w:rPr>
        <w:t>’</w:t>
      </w:r>
      <w:r w:rsidRPr="007041F2">
        <w:rPr>
          <w:lang w:val="fr-FR"/>
        </w:rPr>
        <w:t>une chaîne en croissance. La polymérisation commence par l</w:t>
      </w:r>
      <w:r w:rsidR="00CC7AF9">
        <w:rPr>
          <w:lang w:val="fr-FR"/>
        </w:rPr>
        <w:t>’</w:t>
      </w:r>
      <w:r w:rsidRPr="007041F2">
        <w:rPr>
          <w:lang w:val="fr-FR"/>
        </w:rPr>
        <w:t>amorçage, suivi de la phase de propagation au cours de laquelle la chaîne polymère se développe. Vers la fin, la phase de terminaison arrête la création du polymère. Les réactions de polymérisation typiques sont les suivantes :</w:t>
      </w:r>
    </w:p>
    <w:p w14:paraId="3120A6E9" w14:textId="77777777" w:rsidR="00C55D7B" w:rsidRDefault="00C55D7B" w:rsidP="00C55D7B">
      <w:pPr>
        <w:pStyle w:val="SingleTxtG"/>
        <w:spacing w:line="276" w:lineRule="auto"/>
      </w:pPr>
      <w:r>
        <w:rPr>
          <w:noProof/>
          <w:lang w:eastAsia="fr-CH"/>
        </w:rPr>
        <w:drawing>
          <wp:inline distT="0" distB="0" distL="0" distR="0" wp14:anchorId="0A34F635" wp14:editId="2CD614A4">
            <wp:extent cx="4693920" cy="1328658"/>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1198" b="7405"/>
                    <a:stretch/>
                  </pic:blipFill>
                  <pic:spPr bwMode="auto">
                    <a:xfrm>
                      <a:off x="0" y="0"/>
                      <a:ext cx="4696731" cy="1329454"/>
                    </a:xfrm>
                    <a:prstGeom prst="rect">
                      <a:avLst/>
                    </a:prstGeom>
                    <a:ln>
                      <a:noFill/>
                    </a:ln>
                    <a:extLst>
                      <a:ext uri="{53640926-AAD7-44D8-BBD7-CCE9431645EC}">
                        <a14:shadowObscured xmlns:a14="http://schemas.microsoft.com/office/drawing/2010/main"/>
                      </a:ext>
                    </a:extLst>
                  </pic:spPr>
                </pic:pic>
              </a:graphicData>
            </a:graphic>
          </wp:inline>
        </w:drawing>
      </w:r>
    </w:p>
    <w:p w14:paraId="4CB017A7" w14:textId="77777777" w:rsidR="00C55D7B" w:rsidRDefault="00C55D7B" w:rsidP="00C55D7B">
      <w:pPr>
        <w:pStyle w:val="SingleTxtG"/>
      </w:pPr>
      <w:r>
        <w:rPr>
          <w:lang w:val="fr-FR"/>
        </w:rPr>
        <w:lastRenderedPageBreak/>
        <w:t>4.</w:t>
      </w:r>
      <w:r>
        <w:rPr>
          <w:lang w:val="fr-FR"/>
        </w:rPr>
        <w:tab/>
        <w:t>En raison de la nature du type de réaction, il ne faut pas s</w:t>
      </w:r>
      <w:r w:rsidR="00CC7AF9">
        <w:rPr>
          <w:lang w:val="fr-FR"/>
        </w:rPr>
        <w:t>’</w:t>
      </w:r>
      <w:r>
        <w:rPr>
          <w:lang w:val="fr-FR"/>
        </w:rPr>
        <w:t>attendre à la formation de gaz. Techniquement, dans certains cas, les mélanges de monomères contiennent des isocyanates qui réagissent avec l</w:t>
      </w:r>
      <w:r w:rsidR="00CC7AF9">
        <w:rPr>
          <w:lang w:val="fr-FR"/>
        </w:rPr>
        <w:t>’</w:t>
      </w:r>
      <w:r>
        <w:rPr>
          <w:lang w:val="fr-FR"/>
        </w:rPr>
        <w:t>eau (humidité de l</w:t>
      </w:r>
      <w:r w:rsidR="00CC7AF9">
        <w:rPr>
          <w:lang w:val="fr-FR"/>
        </w:rPr>
        <w:t>’</w:t>
      </w:r>
      <w:r>
        <w:rPr>
          <w:lang w:val="fr-FR"/>
        </w:rPr>
        <w:t>environnement) et produisent du dioxyde de carbone. Cet effet est intentionnellement utilisé pour former la mousse du polymère. Cependant, cette réaction ne libère pas le gaz, car elle est utilisée pour créer la mousse et, par conséquent, le gaz est piégé à l</w:t>
      </w:r>
      <w:r w:rsidR="00CC7AF9">
        <w:rPr>
          <w:lang w:val="fr-FR"/>
        </w:rPr>
        <w:t>’</w:t>
      </w:r>
      <w:r>
        <w:rPr>
          <w:lang w:val="fr-FR"/>
        </w:rPr>
        <w:t>intérieur du polymère</w:t>
      </w:r>
      <w:r w:rsidR="00EA23FE">
        <w:rPr>
          <w:lang w:val="fr-FR"/>
        </w:rPr>
        <w:t> </w:t>
      </w:r>
      <w:r>
        <w:rPr>
          <w:lang w:val="fr-FR"/>
        </w:rPr>
        <w:t>:</w:t>
      </w:r>
    </w:p>
    <w:p w14:paraId="1A8847CC" w14:textId="77777777" w:rsidR="00C55D7B" w:rsidRDefault="00C55D7B" w:rsidP="00C55D7B">
      <w:pPr>
        <w:pStyle w:val="SingleTxtG"/>
        <w:spacing w:line="276" w:lineRule="auto"/>
      </w:pPr>
      <w:r>
        <w:rPr>
          <w:noProof/>
          <w:lang w:eastAsia="fr-CH"/>
        </w:rPr>
        <w:drawing>
          <wp:inline distT="0" distB="0" distL="0" distR="0" wp14:anchorId="2BE292B3" wp14:editId="2E229C91">
            <wp:extent cx="4658843" cy="788679"/>
            <wp:effectExtent l="0" t="0" r="8890" b="0"/>
            <wp:docPr id="6" name="Grafik 6" descr="cid:image020.png@01D4E4BE.B87D0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20.png@01D4E4BE.B87D0F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59548" cy="788798"/>
                    </a:xfrm>
                    <a:prstGeom prst="rect">
                      <a:avLst/>
                    </a:prstGeom>
                    <a:noFill/>
                    <a:ln>
                      <a:noFill/>
                    </a:ln>
                  </pic:spPr>
                </pic:pic>
              </a:graphicData>
            </a:graphic>
          </wp:inline>
        </w:drawing>
      </w:r>
    </w:p>
    <w:p w14:paraId="793726B0" w14:textId="77777777" w:rsidR="00C55D7B" w:rsidRDefault="00C55D7B" w:rsidP="00C55D7B">
      <w:pPr>
        <w:pStyle w:val="SingleTxtG"/>
      </w:pPr>
      <w:r>
        <w:rPr>
          <w:lang w:val="fr-FR"/>
        </w:rPr>
        <w:t>5.</w:t>
      </w:r>
      <w:r>
        <w:rPr>
          <w:lang w:val="fr-FR"/>
        </w:rPr>
        <w:tab/>
        <w:t>Les isocyanates ne sont généralement pas considérés comme des matières qui polymérisent (nombre d</w:t>
      </w:r>
      <w:r w:rsidR="00CC7AF9">
        <w:rPr>
          <w:lang w:val="fr-FR"/>
        </w:rPr>
        <w:t>’</w:t>
      </w:r>
      <w:r>
        <w:rPr>
          <w:lang w:val="fr-FR"/>
        </w:rPr>
        <w:t>entre eux sont nommément énumérés dans le Règlement type) parce qu</w:t>
      </w:r>
      <w:r w:rsidR="00CC7AF9">
        <w:rPr>
          <w:lang w:val="fr-FR"/>
        </w:rPr>
        <w:t>’</w:t>
      </w:r>
      <w:r>
        <w:rPr>
          <w:lang w:val="fr-FR"/>
        </w:rPr>
        <w:t>ils ne polymérisent pas d</w:t>
      </w:r>
      <w:r w:rsidR="00CC7AF9">
        <w:rPr>
          <w:lang w:val="fr-FR"/>
        </w:rPr>
        <w:t>’</w:t>
      </w:r>
      <w:r>
        <w:rPr>
          <w:lang w:val="fr-FR"/>
        </w:rPr>
        <w:t>eux-mêmes, mais nécessitent l</w:t>
      </w:r>
      <w:r w:rsidR="00CC7AF9">
        <w:rPr>
          <w:lang w:val="fr-FR"/>
        </w:rPr>
        <w:t>’</w:t>
      </w:r>
      <w:r>
        <w:rPr>
          <w:lang w:val="fr-FR"/>
        </w:rPr>
        <w:t>addition d</w:t>
      </w:r>
      <w:r w:rsidR="00CC7AF9">
        <w:rPr>
          <w:lang w:val="fr-FR"/>
        </w:rPr>
        <w:t>’</w:t>
      </w:r>
      <w:r>
        <w:rPr>
          <w:lang w:val="fr-FR"/>
        </w:rPr>
        <w:t>autres composés (tels que des alcools ou des amines) pour former une matière plastique.</w:t>
      </w:r>
    </w:p>
    <w:p w14:paraId="53D41603" w14:textId="77777777" w:rsidR="00C55D7B" w:rsidRDefault="00C55D7B" w:rsidP="00C55D7B">
      <w:pPr>
        <w:pStyle w:val="SingleTxtG"/>
      </w:pPr>
      <w:r>
        <w:rPr>
          <w:lang w:val="fr-FR"/>
        </w:rPr>
        <w:t>6.</w:t>
      </w:r>
      <w:r>
        <w:rPr>
          <w:lang w:val="fr-FR"/>
        </w:rPr>
        <w:tab/>
        <w:t>La chaleur que produit</w:t>
      </w:r>
      <w:r w:rsidR="00EA23FE">
        <w:rPr>
          <w:lang w:val="fr-FR"/>
        </w:rPr>
        <w:t xml:space="preserve"> </w:t>
      </w:r>
      <w:r>
        <w:rPr>
          <w:lang w:val="fr-FR"/>
        </w:rPr>
        <w:t>la polymérisation est libérée lors de la création du polymère. Après l</w:t>
      </w:r>
      <w:r w:rsidR="00CC7AF9">
        <w:rPr>
          <w:lang w:val="fr-FR"/>
        </w:rPr>
        <w:t>’</w:t>
      </w:r>
      <w:r>
        <w:rPr>
          <w:lang w:val="fr-FR"/>
        </w:rPr>
        <w:t>arrêt de la polymérisation (réaction de terminaison, voir ci-dessus), il n</w:t>
      </w:r>
      <w:r w:rsidR="00CC7AF9">
        <w:rPr>
          <w:lang w:val="fr-FR"/>
        </w:rPr>
        <w:t>’</w:t>
      </w:r>
      <w:r>
        <w:rPr>
          <w:lang w:val="fr-FR"/>
        </w:rPr>
        <w:t>y a plus de production de chaleur. Cet effet est visible dans les diagrammes</w:t>
      </w:r>
      <w:r w:rsidR="00EA23FE">
        <w:rPr>
          <w:lang w:val="fr-FR"/>
        </w:rPr>
        <w:t xml:space="preserve"> </w:t>
      </w:r>
      <w:r>
        <w:rPr>
          <w:lang w:val="fr-FR"/>
        </w:rPr>
        <w:t>d</w:t>
      </w:r>
      <w:r w:rsidR="00CC7AF9">
        <w:rPr>
          <w:lang w:val="fr-FR"/>
        </w:rPr>
        <w:t>’</w:t>
      </w:r>
      <w:r>
        <w:rPr>
          <w:lang w:val="fr-FR"/>
        </w:rPr>
        <w:t>analyse calorimétrique différentielle (ACD) du monomère et du polymère. Dans le monomère, le premier pic de réaction est attribué à la réaction de polymérisation, et ce pic est donc absent dans le diagramme ACD du polymère. Par conséquent, la chaleur de polymérisation peut être déterminée en comparant les diagrammes ACD du monomère et du polymère. Si la chaleur de polymérisation est inférieure à 500 J/g, une réaction fortement exothermique peut être exclue.</w:t>
      </w:r>
      <w:r w:rsidR="00EA23FE">
        <w:rPr>
          <w:lang w:val="fr-FR"/>
        </w:rPr>
        <w:t xml:space="preserve"> </w:t>
      </w:r>
      <w:r>
        <w:rPr>
          <w:lang w:val="fr-FR"/>
        </w:rPr>
        <w:t>Ainsi, le CEFIC propose d</w:t>
      </w:r>
      <w:r w:rsidR="00CC7AF9">
        <w:rPr>
          <w:lang w:val="fr-FR"/>
        </w:rPr>
        <w:t>’</w:t>
      </w:r>
      <w:r>
        <w:rPr>
          <w:lang w:val="fr-FR"/>
        </w:rPr>
        <w:t>utiliser</w:t>
      </w:r>
      <w:r w:rsidR="00EA23FE">
        <w:rPr>
          <w:lang w:val="fr-FR"/>
        </w:rPr>
        <w:t xml:space="preserve"> </w:t>
      </w:r>
      <w:r>
        <w:rPr>
          <w:lang w:val="fr-FR"/>
        </w:rPr>
        <w:t xml:space="preserve">cette observation comme critère pour exempter les petits emballages de matières </w:t>
      </w:r>
      <w:proofErr w:type="spellStart"/>
      <w:r>
        <w:rPr>
          <w:lang w:val="fr-FR"/>
        </w:rPr>
        <w:t>polymérisantes</w:t>
      </w:r>
      <w:proofErr w:type="spellEnd"/>
      <w:r>
        <w:rPr>
          <w:lang w:val="fr-FR"/>
        </w:rPr>
        <w:t>.</w:t>
      </w:r>
    </w:p>
    <w:p w14:paraId="0A5D5679" w14:textId="77777777" w:rsidR="00C55D7B" w:rsidRDefault="00C55D7B" w:rsidP="00C55D7B">
      <w:pPr>
        <w:pStyle w:val="SingleTxtG"/>
      </w:pPr>
      <w:r>
        <w:rPr>
          <w:lang w:val="fr-FR"/>
        </w:rPr>
        <w:t>7.</w:t>
      </w:r>
      <w:r>
        <w:rPr>
          <w:lang w:val="fr-FR"/>
        </w:rPr>
        <w:tab/>
        <w:t>Dans ce contexte, les petits emballages sont des emballages dont le contenu net est inférieur ou égal à 50</w:t>
      </w:r>
      <w:r w:rsidR="00217E47">
        <w:rPr>
          <w:lang w:val="fr-FR"/>
        </w:rPr>
        <w:t> </w:t>
      </w:r>
      <w:r>
        <w:rPr>
          <w:lang w:val="fr-FR"/>
        </w:rPr>
        <w:t>kg. Les emballages métalliques (fûts et bidons, par exemple) devraient être interdits afin d</w:t>
      </w:r>
      <w:r w:rsidR="00CC7AF9">
        <w:rPr>
          <w:lang w:val="fr-FR"/>
        </w:rPr>
        <w:t>’</w:t>
      </w:r>
      <w:r>
        <w:rPr>
          <w:lang w:val="fr-FR"/>
        </w:rPr>
        <w:t>éviter un confinement élevé.</w:t>
      </w:r>
    </w:p>
    <w:p w14:paraId="39CB0A38" w14:textId="77777777" w:rsidR="00C55D7B" w:rsidRDefault="00C55D7B" w:rsidP="00C55D7B">
      <w:pPr>
        <w:pStyle w:val="SingleTxtG"/>
      </w:pPr>
      <w:r>
        <w:rPr>
          <w:lang w:val="fr-FR"/>
        </w:rPr>
        <w:t>8.</w:t>
      </w:r>
      <w:r>
        <w:rPr>
          <w:lang w:val="fr-FR"/>
        </w:rPr>
        <w:tab/>
        <w:t>En ce qui concerne la proposition consistant à utiliser l</w:t>
      </w:r>
      <w:r w:rsidR="00CC7AF9">
        <w:rPr>
          <w:lang w:val="fr-FR"/>
        </w:rPr>
        <w:t>’</w:t>
      </w:r>
      <w:r>
        <w:rPr>
          <w:lang w:val="fr-FR"/>
        </w:rPr>
        <w:t xml:space="preserve">épreuve de </w:t>
      </w:r>
      <w:proofErr w:type="spellStart"/>
      <w:r>
        <w:rPr>
          <w:lang w:val="fr-FR"/>
        </w:rPr>
        <w:t>Koenen</w:t>
      </w:r>
      <w:proofErr w:type="spellEnd"/>
      <w:r>
        <w:rPr>
          <w:lang w:val="fr-FR"/>
        </w:rPr>
        <w:t xml:space="preserve"> pour déterminer l</w:t>
      </w:r>
      <w:r w:rsidR="00CC7AF9">
        <w:rPr>
          <w:lang w:val="fr-FR"/>
        </w:rPr>
        <w:t>’</w:t>
      </w:r>
      <w:r>
        <w:rPr>
          <w:lang w:val="fr-FR"/>
        </w:rPr>
        <w:t>effet</w:t>
      </w:r>
      <w:r w:rsidR="00EA23FE">
        <w:rPr>
          <w:lang w:val="fr-FR"/>
        </w:rPr>
        <w:t xml:space="preserve"> </w:t>
      </w:r>
      <w:r>
        <w:rPr>
          <w:lang w:val="fr-FR"/>
        </w:rPr>
        <w:t>de l</w:t>
      </w:r>
      <w:r w:rsidR="00CC7AF9">
        <w:rPr>
          <w:lang w:val="fr-FR"/>
        </w:rPr>
        <w:t>’</w:t>
      </w:r>
      <w:r>
        <w:rPr>
          <w:lang w:val="fr-FR"/>
        </w:rPr>
        <w:t>échauffement sous confinement, le CEFIC estime qu</w:t>
      </w:r>
      <w:r w:rsidR="00CC7AF9">
        <w:rPr>
          <w:lang w:val="fr-FR"/>
        </w:rPr>
        <w:t>’</w:t>
      </w:r>
      <w:r>
        <w:rPr>
          <w:lang w:val="fr-FR"/>
        </w:rPr>
        <w:t xml:space="preserve">elle ne devrait </w:t>
      </w:r>
      <w:proofErr w:type="gramStart"/>
      <w:r>
        <w:rPr>
          <w:lang w:val="fr-FR"/>
        </w:rPr>
        <w:t>pas</w:t>
      </w:r>
      <w:proofErr w:type="gramEnd"/>
      <w:r>
        <w:rPr>
          <w:lang w:val="fr-FR"/>
        </w:rPr>
        <w:t xml:space="preserve"> être appliquée aux petits emballages pour les raisons suivantes</w:t>
      </w:r>
      <w:r w:rsidR="00217E47">
        <w:rPr>
          <w:lang w:val="fr-FR"/>
        </w:rPr>
        <w:t> </w:t>
      </w:r>
      <w:r>
        <w:rPr>
          <w:lang w:val="fr-FR"/>
        </w:rPr>
        <w:t>:</w:t>
      </w:r>
    </w:p>
    <w:p w14:paraId="3D53CAE7" w14:textId="77777777" w:rsidR="00C55D7B" w:rsidRPr="001A581A" w:rsidRDefault="00C55D7B" w:rsidP="00C55D7B">
      <w:pPr>
        <w:pStyle w:val="SingleTxtG"/>
        <w:ind w:left="1701"/>
      </w:pPr>
      <w:r>
        <w:rPr>
          <w:lang w:val="fr-FR"/>
        </w:rPr>
        <w:t>a)</w:t>
      </w:r>
      <w:r>
        <w:rPr>
          <w:lang w:val="fr-FR"/>
        </w:rPr>
        <w:tab/>
        <w:t>Les produits</w:t>
      </w:r>
      <w:r w:rsidR="00EA23FE">
        <w:rPr>
          <w:lang w:val="fr-FR"/>
        </w:rPr>
        <w:t xml:space="preserve"> </w:t>
      </w:r>
      <w:r>
        <w:rPr>
          <w:lang w:val="fr-FR"/>
        </w:rPr>
        <w:t>polymérisent dans le dispositif d</w:t>
      </w:r>
      <w:r w:rsidR="00CC7AF9">
        <w:rPr>
          <w:lang w:val="fr-FR"/>
        </w:rPr>
        <w:t>’</w:t>
      </w:r>
      <w:r>
        <w:rPr>
          <w:lang w:val="fr-FR"/>
        </w:rPr>
        <w:t>essai, ce qui endommage irrémédiablement le matériel de laboratoire</w:t>
      </w:r>
      <w:r w:rsidR="00217E47">
        <w:rPr>
          <w:lang w:val="fr-FR"/>
        </w:rPr>
        <w:t> </w:t>
      </w:r>
      <w:r>
        <w:rPr>
          <w:lang w:val="fr-FR"/>
        </w:rPr>
        <w:t>;</w:t>
      </w:r>
    </w:p>
    <w:p w14:paraId="529BE179" w14:textId="77777777" w:rsidR="00C55D7B" w:rsidRPr="001A581A" w:rsidRDefault="00C55D7B" w:rsidP="00C55D7B">
      <w:pPr>
        <w:pStyle w:val="SingleTxtG"/>
        <w:ind w:left="1701"/>
      </w:pPr>
      <w:r>
        <w:rPr>
          <w:lang w:val="fr-FR"/>
        </w:rPr>
        <w:t>b)</w:t>
      </w:r>
      <w:r>
        <w:rPr>
          <w:lang w:val="fr-FR"/>
        </w:rPr>
        <w:tab/>
        <w:t>Les produits à viscosité élevée entraînent une obturation des orifices du dispositif d</w:t>
      </w:r>
      <w:r w:rsidR="00CC7AF9">
        <w:rPr>
          <w:lang w:val="fr-FR"/>
        </w:rPr>
        <w:t>’</w:t>
      </w:r>
      <w:r>
        <w:rPr>
          <w:lang w:val="fr-FR"/>
        </w:rPr>
        <w:t>essai et donnent un résultat faussement positif lié à la surpression mécanique, et non à la montée en pression explosive due aux produits de décomposition gazeux</w:t>
      </w:r>
      <w:r w:rsidR="00217E47">
        <w:rPr>
          <w:lang w:val="fr-FR"/>
        </w:rPr>
        <w:t> </w:t>
      </w:r>
      <w:r>
        <w:rPr>
          <w:lang w:val="fr-FR"/>
        </w:rPr>
        <w:t>;</w:t>
      </w:r>
    </w:p>
    <w:p w14:paraId="4125CBD4" w14:textId="77777777" w:rsidR="00C55D7B" w:rsidRPr="001A581A" w:rsidRDefault="00C55D7B" w:rsidP="00C55D7B">
      <w:pPr>
        <w:pStyle w:val="SingleTxtG"/>
        <w:ind w:left="1701"/>
      </w:pPr>
      <w:r>
        <w:rPr>
          <w:lang w:val="fr-FR"/>
        </w:rPr>
        <w:t>c)</w:t>
      </w:r>
      <w:r>
        <w:rPr>
          <w:lang w:val="fr-FR"/>
        </w:rPr>
        <w:tab/>
        <w:t>Les critères proposés portent plutôt sur les dommages que l</w:t>
      </w:r>
      <w:r w:rsidR="00CC7AF9">
        <w:rPr>
          <w:lang w:val="fr-FR"/>
        </w:rPr>
        <w:t>’</w:t>
      </w:r>
      <w:r>
        <w:rPr>
          <w:lang w:val="fr-FR"/>
        </w:rPr>
        <w:t>emballage pourrait lui-même subir</w:t>
      </w:r>
      <w:r w:rsidR="00EA23FE">
        <w:rPr>
          <w:lang w:val="fr-FR"/>
        </w:rPr>
        <w:t> </w:t>
      </w:r>
      <w:r>
        <w:rPr>
          <w:lang w:val="fr-FR"/>
        </w:rPr>
        <w:t>; par conséquent, la matière sous confinement est prise en compte dans les épreuves proposées pour cette exemption (voir par.</w:t>
      </w:r>
      <w:r w:rsidR="00217E47">
        <w:rPr>
          <w:lang w:val="fr-FR"/>
        </w:rPr>
        <w:t> </w:t>
      </w:r>
      <w:r>
        <w:rPr>
          <w:lang w:val="fr-FR"/>
        </w:rPr>
        <w:t>2.4.2.5.3</w:t>
      </w:r>
      <w:r w:rsidR="00217E47">
        <w:rPr>
          <w:lang w:val="fr-FR"/>
        </w:rPr>
        <w:t> </w:t>
      </w:r>
      <w:r>
        <w:rPr>
          <w:lang w:val="fr-FR"/>
        </w:rPr>
        <w:t>b) dans la proposition ci-après).</w:t>
      </w:r>
    </w:p>
    <w:p w14:paraId="62095AEE" w14:textId="77777777" w:rsidR="00C55D7B" w:rsidRDefault="00C55D7B" w:rsidP="00C55D7B">
      <w:pPr>
        <w:pStyle w:val="SingleTxtG"/>
      </w:pPr>
      <w:r>
        <w:rPr>
          <w:lang w:val="fr-FR"/>
        </w:rPr>
        <w:t>9.</w:t>
      </w:r>
      <w:r>
        <w:rPr>
          <w:lang w:val="fr-FR"/>
        </w:rPr>
        <w:tab/>
        <w:t>Sur la base de ce qui précède, le CEFIC suggère</w:t>
      </w:r>
      <w:r w:rsidR="00EA23FE">
        <w:rPr>
          <w:lang w:val="fr-FR"/>
        </w:rPr>
        <w:t xml:space="preserve"> </w:t>
      </w:r>
      <w:r>
        <w:rPr>
          <w:lang w:val="fr-FR"/>
        </w:rPr>
        <w:t>d</w:t>
      </w:r>
      <w:r w:rsidR="00CC7AF9">
        <w:rPr>
          <w:lang w:val="fr-FR"/>
        </w:rPr>
        <w:t>’</w:t>
      </w:r>
      <w:r>
        <w:rPr>
          <w:lang w:val="fr-FR"/>
        </w:rPr>
        <w:t>introduire une exemption basée sur la température maximale à la surface, la chaleur de polymérisation et des critères pour les dommages mineurs à l</w:t>
      </w:r>
      <w:r w:rsidR="00CC7AF9">
        <w:rPr>
          <w:lang w:val="fr-FR"/>
        </w:rPr>
        <w:t>’</w:t>
      </w:r>
      <w:r>
        <w:rPr>
          <w:lang w:val="fr-FR"/>
        </w:rPr>
        <w:t>emballage.</w:t>
      </w:r>
    </w:p>
    <w:p w14:paraId="1BF25147" w14:textId="77777777" w:rsidR="00C55D7B" w:rsidRPr="00BB5A7B" w:rsidRDefault="00C55D7B" w:rsidP="00C55D7B">
      <w:pPr>
        <w:pStyle w:val="SingleTxtG"/>
      </w:pPr>
      <w:r>
        <w:rPr>
          <w:lang w:val="fr-FR"/>
        </w:rPr>
        <w:t>10.</w:t>
      </w:r>
      <w:r>
        <w:rPr>
          <w:lang w:val="fr-FR"/>
        </w:rPr>
        <w:tab/>
        <w:t>Étant donné que cette proposition ne couvre que les petits emballages (poids net</w:t>
      </w:r>
      <w:r w:rsidR="00EA23FE">
        <w:rPr>
          <w:lang w:val="fr-FR"/>
        </w:rPr>
        <w:t xml:space="preserve"> </w:t>
      </w:r>
      <w:r>
        <w:rPr>
          <w:lang w:val="fr-FR"/>
        </w:rPr>
        <w:t>≤50</w:t>
      </w:r>
      <w:r w:rsidR="00217E47">
        <w:rPr>
          <w:lang w:val="fr-FR"/>
        </w:rPr>
        <w:t> </w:t>
      </w:r>
      <w:r>
        <w:rPr>
          <w:lang w:val="fr-FR"/>
        </w:rPr>
        <w:t>kg), les grands récipients pour vrac (GRV) et les citernes sont exclus de l</w:t>
      </w:r>
      <w:r w:rsidR="00CC7AF9">
        <w:rPr>
          <w:lang w:val="fr-FR"/>
        </w:rPr>
        <w:t>’</w:t>
      </w:r>
      <w:r>
        <w:rPr>
          <w:lang w:val="fr-FR"/>
        </w:rPr>
        <w:t>exemption, ceci au cours de la première étape, afin d</w:t>
      </w:r>
      <w:r w:rsidR="00CC7AF9">
        <w:rPr>
          <w:lang w:val="fr-FR"/>
        </w:rPr>
        <w:t>’</w:t>
      </w:r>
      <w:r>
        <w:rPr>
          <w:lang w:val="fr-FR"/>
        </w:rPr>
        <w:t>acquérir de l</w:t>
      </w:r>
      <w:r w:rsidR="00CC7AF9">
        <w:rPr>
          <w:lang w:val="fr-FR"/>
        </w:rPr>
        <w:t>’</w:t>
      </w:r>
      <w:r>
        <w:rPr>
          <w:lang w:val="fr-FR"/>
        </w:rPr>
        <w:t>expérience. Les emballages sont soumis aux épreuves tels qu</w:t>
      </w:r>
      <w:r w:rsidR="00CC7AF9">
        <w:rPr>
          <w:lang w:val="fr-FR"/>
        </w:rPr>
        <w:t>’</w:t>
      </w:r>
      <w:r>
        <w:rPr>
          <w:lang w:val="fr-FR"/>
        </w:rPr>
        <w:t xml:space="preserve">utilisés aux fins du transport et sans prise en considération de la quantité de matière contenue. </w:t>
      </w:r>
    </w:p>
    <w:p w14:paraId="3A24CB16" w14:textId="77777777" w:rsidR="00C55D7B" w:rsidRDefault="00C55D7B" w:rsidP="00C55D7B">
      <w:pPr>
        <w:pStyle w:val="HChG"/>
      </w:pPr>
      <w:r>
        <w:rPr>
          <w:lang w:val="fr-FR"/>
        </w:rPr>
        <w:lastRenderedPageBreak/>
        <w:tab/>
      </w:r>
      <w:r>
        <w:rPr>
          <w:lang w:val="fr-FR"/>
        </w:rPr>
        <w:tab/>
        <w:t>Proposition</w:t>
      </w:r>
    </w:p>
    <w:p w14:paraId="308FF0F9" w14:textId="77777777" w:rsidR="00C55D7B" w:rsidRPr="00F936B2" w:rsidRDefault="00C55D7B" w:rsidP="00C55D7B">
      <w:pPr>
        <w:pStyle w:val="SingleTxtG"/>
      </w:pPr>
      <w:r>
        <w:rPr>
          <w:lang w:val="fr-FR"/>
        </w:rPr>
        <w:t>11.</w:t>
      </w:r>
      <w:r>
        <w:rPr>
          <w:lang w:val="fr-FR"/>
        </w:rPr>
        <w:tab/>
        <w:t>Dans le Règlement type, ajouter un nouveau paragraphe</w:t>
      </w:r>
      <w:r w:rsidR="003D4BEA">
        <w:rPr>
          <w:lang w:val="fr-FR"/>
        </w:rPr>
        <w:t> </w:t>
      </w:r>
      <w:r>
        <w:rPr>
          <w:lang w:val="fr-FR"/>
        </w:rPr>
        <w:t>2.4.2.5.3, libellé comme suit</w:t>
      </w:r>
      <w:r w:rsidR="00217E47">
        <w:rPr>
          <w:lang w:val="fr-FR"/>
        </w:rPr>
        <w:t> </w:t>
      </w:r>
      <w:r>
        <w:rPr>
          <w:lang w:val="fr-FR"/>
        </w:rPr>
        <w:t>:</w:t>
      </w:r>
    </w:p>
    <w:p w14:paraId="1D1C3C1A" w14:textId="77777777" w:rsidR="00C55D7B" w:rsidRPr="00001482" w:rsidRDefault="00C55D7B" w:rsidP="00C55D7B">
      <w:pPr>
        <w:pStyle w:val="SingleTxtG"/>
        <w:spacing w:line="276" w:lineRule="auto"/>
        <w:ind w:left="1701"/>
      </w:pPr>
      <w:r>
        <w:t>« </w:t>
      </w:r>
      <w:r>
        <w:rPr>
          <w:lang w:val="fr-FR"/>
        </w:rPr>
        <w:t>2.4.2.5.3</w:t>
      </w:r>
      <w:r>
        <w:rPr>
          <w:lang w:val="fr-FR"/>
        </w:rPr>
        <w:tab/>
        <w:t>Toute matière présentée dans un emballage de petite taille (poids net ≤50</w:t>
      </w:r>
      <w:r w:rsidR="00217E47">
        <w:rPr>
          <w:lang w:val="fr-FR"/>
        </w:rPr>
        <w:t> </w:t>
      </w:r>
      <w:r>
        <w:rPr>
          <w:lang w:val="fr-FR"/>
        </w:rPr>
        <w:t>kg) ne doit pas être classée en tant que matière qui polymérise relevant de la division 4.1 dans ledit emballage lorsqu</w:t>
      </w:r>
      <w:r w:rsidR="00CC7AF9">
        <w:rPr>
          <w:lang w:val="fr-FR"/>
        </w:rPr>
        <w:t>’</w:t>
      </w:r>
      <w:r>
        <w:rPr>
          <w:lang w:val="fr-FR"/>
        </w:rPr>
        <w:t>au moment de l</w:t>
      </w:r>
      <w:r w:rsidR="00CC7AF9">
        <w:rPr>
          <w:lang w:val="fr-FR"/>
        </w:rPr>
        <w:t>’</w:t>
      </w:r>
      <w:r>
        <w:rPr>
          <w:lang w:val="fr-FR"/>
        </w:rPr>
        <w:t>amorçage thermique de la polymérisation</w:t>
      </w:r>
      <w:r w:rsidR="00EA23FE">
        <w:rPr>
          <w:lang w:val="fr-FR"/>
        </w:rPr>
        <w:t> </w:t>
      </w:r>
      <w:r>
        <w:rPr>
          <w:lang w:val="fr-FR"/>
        </w:rPr>
        <w:t>:</w:t>
      </w:r>
    </w:p>
    <w:p w14:paraId="5F3A7B66" w14:textId="77777777" w:rsidR="00C55D7B" w:rsidRPr="00001482" w:rsidRDefault="00C55D7B" w:rsidP="00C55D7B">
      <w:pPr>
        <w:pStyle w:val="SingleTxtG"/>
        <w:ind w:left="2268" w:hanging="567"/>
      </w:pPr>
      <w:r>
        <w:rPr>
          <w:lang w:val="fr-FR"/>
        </w:rPr>
        <w:t>a)</w:t>
      </w:r>
      <w:r>
        <w:rPr>
          <w:lang w:val="fr-FR"/>
        </w:rPr>
        <w:tab/>
        <w:t>Aucune surface extérieure n</w:t>
      </w:r>
      <w:r w:rsidR="00CC7AF9">
        <w:rPr>
          <w:lang w:val="fr-FR"/>
        </w:rPr>
        <w:t>’</w:t>
      </w:r>
      <w:r>
        <w:rPr>
          <w:lang w:val="fr-FR"/>
        </w:rPr>
        <w:t>a une température supérieure à 65</w:t>
      </w:r>
      <w:r w:rsidR="003D4BEA">
        <w:rPr>
          <w:lang w:val="fr-FR"/>
        </w:rPr>
        <w:t> </w:t>
      </w:r>
      <w:r>
        <w:rPr>
          <w:lang w:val="fr-FR"/>
        </w:rPr>
        <w:t>°C. Une augmentation momentanée de la température jusqu</w:t>
      </w:r>
      <w:r w:rsidR="00CC7AF9">
        <w:rPr>
          <w:lang w:val="fr-FR"/>
        </w:rPr>
        <w:t>’</w:t>
      </w:r>
      <w:r>
        <w:rPr>
          <w:lang w:val="fr-FR"/>
        </w:rPr>
        <w:t>à 200</w:t>
      </w:r>
      <w:r w:rsidR="003D4BEA">
        <w:rPr>
          <w:lang w:val="fr-FR"/>
        </w:rPr>
        <w:t> </w:t>
      </w:r>
      <w:r>
        <w:rPr>
          <w:lang w:val="fr-FR"/>
        </w:rPr>
        <w:t>°C est acceptable ;</w:t>
      </w:r>
    </w:p>
    <w:p w14:paraId="619CDC9B" w14:textId="77777777" w:rsidR="00C55D7B" w:rsidRPr="00001482" w:rsidRDefault="00C55D7B" w:rsidP="00C55D7B">
      <w:pPr>
        <w:pStyle w:val="SingleTxtG"/>
        <w:ind w:left="2268" w:hanging="567"/>
      </w:pPr>
      <w:r>
        <w:rPr>
          <w:lang w:val="fr-FR"/>
        </w:rPr>
        <w:t>b)</w:t>
      </w:r>
      <w:r>
        <w:rPr>
          <w:lang w:val="fr-FR"/>
        </w:rPr>
        <w:tab/>
        <w:t>Aucun effet n</w:t>
      </w:r>
      <w:r w:rsidR="00CC7AF9">
        <w:rPr>
          <w:lang w:val="fr-FR"/>
        </w:rPr>
        <w:t>’</w:t>
      </w:r>
      <w:r>
        <w:rPr>
          <w:lang w:val="fr-FR"/>
        </w:rPr>
        <w:t>est constaté à l</w:t>
      </w:r>
      <w:r w:rsidR="00CC7AF9">
        <w:rPr>
          <w:lang w:val="fr-FR"/>
        </w:rPr>
        <w:t>’</w:t>
      </w:r>
      <w:r>
        <w:rPr>
          <w:lang w:val="fr-FR"/>
        </w:rPr>
        <w:t>extérieur de l</w:t>
      </w:r>
      <w:r w:rsidR="00CC7AF9">
        <w:rPr>
          <w:lang w:val="fr-FR"/>
        </w:rPr>
        <w:t>’</w:t>
      </w:r>
      <w:r>
        <w:rPr>
          <w:lang w:val="fr-FR"/>
        </w:rPr>
        <w:t>emballage, mais ce dernier est susceptible de s</w:t>
      </w:r>
      <w:r w:rsidR="00CC7AF9">
        <w:rPr>
          <w:lang w:val="fr-FR"/>
        </w:rPr>
        <w:t>’</w:t>
      </w:r>
      <w:r>
        <w:rPr>
          <w:lang w:val="fr-FR"/>
        </w:rPr>
        <w:t xml:space="preserve">ouvrir sans toutefois libérer son contenu ; </w:t>
      </w:r>
    </w:p>
    <w:p w14:paraId="59C81D5E" w14:textId="77777777" w:rsidR="00C55D7B" w:rsidRPr="00001482" w:rsidRDefault="00C55D7B" w:rsidP="00C55D7B">
      <w:pPr>
        <w:pStyle w:val="SingleTxtG"/>
        <w:ind w:left="2268" w:hanging="567"/>
      </w:pPr>
      <w:r>
        <w:rPr>
          <w:lang w:val="fr-FR"/>
        </w:rPr>
        <w:t>c)</w:t>
      </w:r>
      <w:r>
        <w:rPr>
          <w:lang w:val="fr-FR"/>
        </w:rPr>
        <w:tab/>
        <w:t>La chaleur de polymérisation, déterminée par comparaison des ACD du monomère et du polymère, est inférieure à 500 J/g.</w:t>
      </w:r>
    </w:p>
    <w:p w14:paraId="6D1B9109" w14:textId="77777777" w:rsidR="00C55D7B" w:rsidRPr="00001482" w:rsidRDefault="00C55D7B" w:rsidP="00C55D7B">
      <w:pPr>
        <w:pStyle w:val="SingleTxtG"/>
        <w:ind w:left="1701"/>
      </w:pPr>
      <w:r>
        <w:rPr>
          <w:lang w:val="fr-FR"/>
        </w:rPr>
        <w:t>L</w:t>
      </w:r>
      <w:r w:rsidR="00CC7AF9">
        <w:rPr>
          <w:lang w:val="fr-FR"/>
        </w:rPr>
        <w:t>’</w:t>
      </w:r>
      <w:r>
        <w:rPr>
          <w:lang w:val="fr-FR"/>
        </w:rPr>
        <w:t>évaluation doit être fondée sur des preuves obtenues au moyen d</w:t>
      </w:r>
      <w:r w:rsidR="00CC7AF9">
        <w:rPr>
          <w:lang w:val="fr-FR"/>
        </w:rPr>
        <w:t>’</w:t>
      </w:r>
      <w:r>
        <w:rPr>
          <w:lang w:val="fr-FR"/>
        </w:rPr>
        <w:t>une expérience à l</w:t>
      </w:r>
      <w:r w:rsidR="00CC7AF9">
        <w:rPr>
          <w:lang w:val="fr-FR"/>
        </w:rPr>
        <w:t>’</w:t>
      </w:r>
      <w:r>
        <w:rPr>
          <w:lang w:val="fr-FR"/>
        </w:rPr>
        <w:t>échelle de l</w:t>
      </w:r>
      <w:r w:rsidR="00CC7AF9">
        <w:rPr>
          <w:lang w:val="fr-FR"/>
        </w:rPr>
        <w:t>’</w:t>
      </w:r>
      <w:r>
        <w:rPr>
          <w:lang w:val="fr-FR"/>
        </w:rPr>
        <w:t>emballage utilisé pour le transport, ou au moyen d</w:t>
      </w:r>
      <w:r w:rsidR="00CC7AF9">
        <w:rPr>
          <w:lang w:val="fr-FR"/>
        </w:rPr>
        <w:t>’</w:t>
      </w:r>
      <w:r>
        <w:rPr>
          <w:lang w:val="fr-FR"/>
        </w:rPr>
        <w:t>un modèle réalisé à partir de données cinétiques expérimentales, tenant compte de la perte de chaleur du colis.</w:t>
      </w:r>
    </w:p>
    <w:p w14:paraId="55980A11" w14:textId="77777777" w:rsidR="00C55D7B" w:rsidRPr="007E5760" w:rsidRDefault="00C55D7B" w:rsidP="00C55D7B">
      <w:pPr>
        <w:pStyle w:val="SingleTxtG"/>
      </w:pPr>
      <w:r>
        <w:rPr>
          <w:lang w:val="fr-FR"/>
        </w:rPr>
        <w:t>12.</w:t>
      </w:r>
      <w:r>
        <w:rPr>
          <w:lang w:val="fr-FR"/>
        </w:rPr>
        <w:tab/>
        <w:t>Dans le Règlement type, ajouter sous l</w:t>
      </w:r>
      <w:r w:rsidR="00CC7AF9">
        <w:rPr>
          <w:lang w:val="fr-FR"/>
        </w:rPr>
        <w:t>’</w:t>
      </w:r>
      <w:r>
        <w:rPr>
          <w:lang w:val="fr-FR"/>
        </w:rPr>
        <w:t>instruction P520 une nouvelle disposition spéciale relative à l</w:t>
      </w:r>
      <w:r w:rsidR="00CC7AF9">
        <w:rPr>
          <w:lang w:val="fr-FR"/>
        </w:rPr>
        <w:t>’</w:t>
      </w:r>
      <w:r>
        <w:rPr>
          <w:lang w:val="fr-FR"/>
        </w:rPr>
        <w:t>emballage libellée comme suit</w:t>
      </w:r>
      <w:r w:rsidR="00EA23FE">
        <w:rPr>
          <w:lang w:val="fr-FR"/>
        </w:rPr>
        <w:t> </w:t>
      </w:r>
      <w:r>
        <w:rPr>
          <w:lang w:val="fr-FR"/>
        </w:rPr>
        <w:t>:</w:t>
      </w:r>
    </w:p>
    <w:p w14:paraId="44C71B7F" w14:textId="77777777" w:rsidR="00C55D7B" w:rsidRPr="00001482" w:rsidRDefault="00C55D7B" w:rsidP="00C55D7B">
      <w:pPr>
        <w:pStyle w:val="SingleTxtG"/>
        <w:ind w:left="1701"/>
      </w:pPr>
      <w:r>
        <w:t>« </w:t>
      </w:r>
      <w:r>
        <w:rPr>
          <w:lang w:val="fr-FR"/>
        </w:rPr>
        <w:t>PPXX : dans le cadre de l</w:t>
      </w:r>
      <w:r w:rsidR="00CC7AF9">
        <w:rPr>
          <w:lang w:val="fr-FR"/>
        </w:rPr>
        <w:t>’</w:t>
      </w:r>
      <w:r>
        <w:rPr>
          <w:lang w:val="fr-FR"/>
        </w:rPr>
        <w:t>utilisation de l</w:t>
      </w:r>
      <w:r w:rsidR="00CC7AF9">
        <w:rPr>
          <w:lang w:val="fr-FR"/>
        </w:rPr>
        <w:t>’</w:t>
      </w:r>
      <w:r>
        <w:rPr>
          <w:lang w:val="fr-FR"/>
        </w:rPr>
        <w:t>exemption pour les matières qui polymérisent en petits emballages, aucun emballage métallique n</w:t>
      </w:r>
      <w:r w:rsidR="00CC7AF9">
        <w:rPr>
          <w:lang w:val="fr-FR"/>
        </w:rPr>
        <w:t>’</w:t>
      </w:r>
      <w:r>
        <w:rPr>
          <w:lang w:val="fr-FR"/>
        </w:rPr>
        <w:t>est autorisé. ».</w:t>
      </w:r>
    </w:p>
    <w:p w14:paraId="2576B181" w14:textId="77777777" w:rsidR="00C55D7B" w:rsidRDefault="00C55D7B" w:rsidP="00C55D7B">
      <w:pPr>
        <w:pStyle w:val="HChG"/>
      </w:pPr>
      <w:r>
        <w:rPr>
          <w:lang w:val="fr-FR"/>
        </w:rPr>
        <w:tab/>
      </w:r>
      <w:r>
        <w:rPr>
          <w:lang w:val="fr-FR"/>
        </w:rPr>
        <w:tab/>
        <w:t>Justification</w:t>
      </w:r>
    </w:p>
    <w:p w14:paraId="55845796" w14:textId="77777777" w:rsidR="00C55D7B" w:rsidRPr="00F6628E" w:rsidRDefault="00C55D7B" w:rsidP="00C55D7B">
      <w:pPr>
        <w:pStyle w:val="SingleTxtG"/>
      </w:pPr>
      <w:r>
        <w:rPr>
          <w:lang w:val="fr-FR"/>
        </w:rPr>
        <w:t>13.</w:t>
      </w:r>
      <w:r>
        <w:rPr>
          <w:lang w:val="fr-FR"/>
        </w:rPr>
        <w:tab/>
        <w:t>Les critères proposés ci-dessus ont été établis sur la base de l</w:t>
      </w:r>
      <w:r w:rsidR="00CC7AF9">
        <w:rPr>
          <w:lang w:val="fr-FR"/>
        </w:rPr>
        <w:t>’</w:t>
      </w:r>
      <w:r>
        <w:rPr>
          <w:lang w:val="fr-FR"/>
        </w:rPr>
        <w:t>épreuve suivante</w:t>
      </w:r>
      <w:r w:rsidR="00EA23FE">
        <w:rPr>
          <w:lang w:val="fr-FR"/>
        </w:rPr>
        <w:t> </w:t>
      </w:r>
      <w:r>
        <w:rPr>
          <w:lang w:val="fr-FR"/>
        </w:rPr>
        <w:t>:</w:t>
      </w:r>
    </w:p>
    <w:p w14:paraId="5120F866" w14:textId="77777777" w:rsidR="00C55D7B" w:rsidRDefault="00C55D7B" w:rsidP="00C55D7B">
      <w:pPr>
        <w:pStyle w:val="SingleTxtG"/>
        <w:ind w:left="1701"/>
      </w:pPr>
      <w:r>
        <w:rPr>
          <w:lang w:val="fr-FR"/>
        </w:rPr>
        <w:t>Il a été constaté qu</w:t>
      </w:r>
      <w:r w:rsidR="00CC7AF9">
        <w:rPr>
          <w:lang w:val="fr-FR"/>
        </w:rPr>
        <w:t>’</w:t>
      </w:r>
      <w:r>
        <w:rPr>
          <w:lang w:val="fr-FR"/>
        </w:rPr>
        <w:t xml:space="preserve">une colle époxyde, relevant auparavant du </w:t>
      </w:r>
      <w:r w:rsidR="003D4BEA">
        <w:rPr>
          <w:lang w:val="fr-FR"/>
        </w:rPr>
        <w:t>No</w:t>
      </w:r>
      <w:r>
        <w:rPr>
          <w:lang w:val="fr-FR"/>
        </w:rPr>
        <w:t xml:space="preserve"> ONU 3240, solide </w:t>
      </w:r>
      <w:proofErr w:type="spellStart"/>
      <w:r>
        <w:rPr>
          <w:lang w:val="fr-FR"/>
        </w:rPr>
        <w:t>autoréactif</w:t>
      </w:r>
      <w:proofErr w:type="spellEnd"/>
      <w:r>
        <w:rPr>
          <w:lang w:val="fr-FR"/>
        </w:rPr>
        <w:t xml:space="preserve"> du type F, avec régulation de température, conditionnée sous la forme de 80 plaques individuelles d</w:t>
      </w:r>
      <w:r w:rsidR="00CC7AF9">
        <w:rPr>
          <w:lang w:val="fr-FR"/>
        </w:rPr>
        <w:t>’</w:t>
      </w:r>
      <w:r>
        <w:rPr>
          <w:lang w:val="fr-FR"/>
        </w:rPr>
        <w:t>un poids net de 14,56 kg, présentant une chaleur de polymérisation de 345</w:t>
      </w:r>
      <w:r w:rsidR="003D4BEA">
        <w:rPr>
          <w:lang w:val="fr-FR"/>
        </w:rPr>
        <w:t> </w:t>
      </w:r>
      <w:r>
        <w:rPr>
          <w:lang w:val="fr-FR"/>
        </w:rPr>
        <w:t>J/g déterminée par analyse calorimétrique différentielle (ACD), avait une température de polymérisation auto-accélérée (TPAA) de 55</w:t>
      </w:r>
      <w:r w:rsidR="003D4BEA">
        <w:rPr>
          <w:lang w:val="fr-FR"/>
        </w:rPr>
        <w:t> </w:t>
      </w:r>
      <w:r>
        <w:rPr>
          <w:lang w:val="fr-FR"/>
        </w:rPr>
        <w:t>°C. L</w:t>
      </w:r>
      <w:r w:rsidR="00CC7AF9">
        <w:rPr>
          <w:lang w:val="fr-FR"/>
        </w:rPr>
        <w:t>’</w:t>
      </w:r>
      <w:r>
        <w:rPr>
          <w:lang w:val="fr-FR"/>
        </w:rPr>
        <w:t>emballage présentait un gonflement dû au fait que le produit a pour propriété de se dilater sous l</w:t>
      </w:r>
      <w:r w:rsidR="00CC7AF9">
        <w:rPr>
          <w:lang w:val="fr-FR"/>
        </w:rPr>
        <w:t>’</w:t>
      </w:r>
      <w:r>
        <w:rPr>
          <w:lang w:val="fr-FR"/>
        </w:rPr>
        <w:t xml:space="preserve">effet de la chaleur. </w:t>
      </w:r>
    </w:p>
    <w:p w14:paraId="78E631E6" w14:textId="77777777" w:rsidR="00C55D7B" w:rsidRPr="00F6628E" w:rsidRDefault="00C55D7B" w:rsidP="003D4BEA">
      <w:pPr>
        <w:pStyle w:val="SingleTxtG"/>
        <w:keepNext/>
      </w:pPr>
      <w:r>
        <w:rPr>
          <w:lang w:val="fr-FR"/>
        </w:rPr>
        <w:t>14.</w:t>
      </w:r>
      <w:r>
        <w:rPr>
          <w:lang w:val="fr-FR"/>
        </w:rPr>
        <w:tab/>
        <w:t>Les diagrammes ACD pour le produit non vulcanisé (montrant la réaction de polymérisation) et pour le produit vulcanisé (montrant la décomposition) sont fournis dans le document informel INF.6.</w:t>
      </w:r>
    </w:p>
    <w:p w14:paraId="32154462" w14:textId="77777777" w:rsidR="00C55D7B" w:rsidRDefault="00C55D7B" w:rsidP="00C55D7B">
      <w:pPr>
        <w:pStyle w:val="SingleTxtG"/>
        <w:tabs>
          <w:tab w:val="left" w:pos="1985"/>
        </w:tabs>
        <w:spacing w:line="276" w:lineRule="auto"/>
        <w:jc w:val="left"/>
        <w:rPr>
          <w:lang w:val="en-US"/>
        </w:rPr>
      </w:pPr>
      <w:r w:rsidRPr="00600551">
        <w:rPr>
          <w:noProof/>
          <w:lang w:eastAsia="fr-CH"/>
        </w:rPr>
        <w:drawing>
          <wp:inline distT="0" distB="0" distL="0" distR="0" wp14:anchorId="00DD41B8" wp14:editId="432ED78E">
            <wp:extent cx="4870450" cy="2276475"/>
            <wp:effectExtent l="0" t="0" r="635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4870450" cy="2276475"/>
                    </a:xfrm>
                    <a:prstGeom prst="rect">
                      <a:avLst/>
                    </a:prstGeom>
                    <a:noFill/>
                    <a:ln>
                      <a:noFill/>
                    </a:ln>
                  </pic:spPr>
                </pic:pic>
              </a:graphicData>
            </a:graphic>
          </wp:inline>
        </w:drawing>
      </w:r>
    </w:p>
    <w:p w14:paraId="74ED38F1" w14:textId="77777777" w:rsidR="00C55D7B" w:rsidRPr="003D4BEA" w:rsidRDefault="00C55D7B" w:rsidP="003D4BEA">
      <w:pPr>
        <w:pStyle w:val="SingleTxtG"/>
        <w:tabs>
          <w:tab w:val="left" w:pos="1701"/>
        </w:tabs>
        <w:spacing w:after="240"/>
      </w:pPr>
      <w:r w:rsidRPr="00A07813">
        <w:rPr>
          <w:b/>
          <w:sz w:val="28"/>
        </w:rPr>
        <w:lastRenderedPageBreak/>
        <w:t xml:space="preserve"> </w:t>
      </w:r>
      <w:r w:rsidR="003D4BEA">
        <w:rPr>
          <w:noProof/>
          <w:lang w:eastAsia="fr-CH"/>
        </w:rPr>
        <w:drawing>
          <wp:inline distT="0" distB="0" distL="0" distR="0" wp14:anchorId="771046C3" wp14:editId="4677ACE3">
            <wp:extent cx="1928515" cy="159543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28515" cy="1595438"/>
                    </a:xfrm>
                    <a:prstGeom prst="rect">
                      <a:avLst/>
                    </a:prstGeom>
                    <a:noFill/>
                    <a:ln w="9525">
                      <a:noFill/>
                      <a:miter lim="800000"/>
                      <a:headEnd/>
                      <a:tailEnd/>
                    </a:ln>
                  </pic:spPr>
                </pic:pic>
              </a:graphicData>
            </a:graphic>
          </wp:inline>
        </w:drawing>
      </w:r>
      <w:r w:rsidR="003D4BEA">
        <w:rPr>
          <w:b/>
          <w:sz w:val="28"/>
        </w:rPr>
        <w:tab/>
      </w:r>
      <w:r w:rsidR="003D4BEA">
        <w:rPr>
          <w:b/>
          <w:sz w:val="28"/>
        </w:rPr>
        <w:tab/>
      </w:r>
      <w:r>
        <w:rPr>
          <w:noProof/>
          <w:lang w:eastAsia="fr-CH"/>
        </w:rPr>
        <w:drawing>
          <wp:inline distT="0" distB="0" distL="0" distR="0" wp14:anchorId="783058A7" wp14:editId="71C5F6DA">
            <wp:extent cx="2007878"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042200" cy="1685680"/>
                    </a:xfrm>
                    <a:prstGeom prst="rect">
                      <a:avLst/>
                    </a:prstGeom>
                  </pic:spPr>
                </pic:pic>
              </a:graphicData>
            </a:graphic>
          </wp:inline>
        </w:drawing>
      </w:r>
    </w:p>
    <w:p w14:paraId="4BAE717B" w14:textId="77777777" w:rsidR="00C55D7B" w:rsidRDefault="00C55D7B" w:rsidP="00C55D7B">
      <w:pPr>
        <w:pStyle w:val="SingleTxtG"/>
      </w:pPr>
      <w:r>
        <w:rPr>
          <w:lang w:val="fr-FR"/>
        </w:rPr>
        <w:t>15.</w:t>
      </w:r>
      <w:r>
        <w:rPr>
          <w:lang w:val="fr-FR"/>
        </w:rPr>
        <w:tab/>
        <w:t>Avant l</w:t>
      </w:r>
      <w:r w:rsidR="00CC7AF9">
        <w:rPr>
          <w:lang w:val="fr-FR"/>
        </w:rPr>
        <w:t>’</w:t>
      </w:r>
      <w:r>
        <w:rPr>
          <w:lang w:val="fr-FR"/>
        </w:rPr>
        <w:t>épreuve, l</w:t>
      </w:r>
      <w:r w:rsidR="00CC7AF9">
        <w:rPr>
          <w:lang w:val="fr-FR"/>
        </w:rPr>
        <w:t>’</w:t>
      </w:r>
      <w:r>
        <w:rPr>
          <w:lang w:val="fr-FR"/>
        </w:rPr>
        <w:t xml:space="preserve">emballage avait été ouvert pour placer les thermocouples au centre de la matière. Malgré cette manipulation </w:t>
      </w:r>
      <w:proofErr w:type="spellStart"/>
      <w:r>
        <w:rPr>
          <w:lang w:val="fr-FR"/>
        </w:rPr>
        <w:t>fragilisante</w:t>
      </w:r>
      <w:proofErr w:type="spellEnd"/>
      <w:r>
        <w:rPr>
          <w:lang w:val="fr-FR"/>
        </w:rPr>
        <w:t>, le produit n</w:t>
      </w:r>
      <w:r w:rsidR="00CC7AF9">
        <w:rPr>
          <w:lang w:val="fr-FR"/>
        </w:rPr>
        <w:t>’</w:t>
      </w:r>
      <w:r>
        <w:rPr>
          <w:lang w:val="fr-FR"/>
        </w:rPr>
        <w:t>a pas pu s</w:t>
      </w:r>
      <w:r w:rsidR="00CC7AF9">
        <w:rPr>
          <w:lang w:val="fr-FR"/>
        </w:rPr>
        <w:t>’</w:t>
      </w:r>
      <w:r>
        <w:rPr>
          <w:lang w:val="fr-FR"/>
        </w:rPr>
        <w:t>échapper car il était entièrement polymérisé. L</w:t>
      </w:r>
      <w:r w:rsidR="00CC7AF9">
        <w:rPr>
          <w:lang w:val="fr-FR"/>
        </w:rPr>
        <w:t>’</w:t>
      </w:r>
      <w:r>
        <w:rPr>
          <w:lang w:val="fr-FR"/>
        </w:rPr>
        <w:t>emballage n</w:t>
      </w:r>
      <w:r w:rsidR="00CC7AF9">
        <w:rPr>
          <w:lang w:val="fr-FR"/>
        </w:rPr>
        <w:t>’</w:t>
      </w:r>
      <w:r>
        <w:rPr>
          <w:lang w:val="fr-FR"/>
        </w:rPr>
        <w:t>a pas été endommagé par la chaleur qui s</w:t>
      </w:r>
      <w:r w:rsidR="00CC7AF9">
        <w:rPr>
          <w:lang w:val="fr-FR"/>
        </w:rPr>
        <w:t>’</w:t>
      </w:r>
      <w:r>
        <w:rPr>
          <w:lang w:val="fr-FR"/>
        </w:rPr>
        <w:t>est dégagée pendant l</w:t>
      </w:r>
      <w:r w:rsidR="00CC7AF9">
        <w:rPr>
          <w:lang w:val="fr-FR"/>
        </w:rPr>
        <w:t>’</w:t>
      </w:r>
      <w:r>
        <w:rPr>
          <w:lang w:val="fr-FR"/>
        </w:rPr>
        <w:t>épreuve. Par conséquent, les critères proposés sont remplis, dans la mesure où :</w:t>
      </w:r>
    </w:p>
    <w:p w14:paraId="7E44664E" w14:textId="77777777" w:rsidR="00C55D7B" w:rsidRDefault="00C55D7B" w:rsidP="00C55D7B">
      <w:pPr>
        <w:pStyle w:val="SingleTxtG"/>
        <w:ind w:left="1701"/>
      </w:pPr>
      <w:r>
        <w:rPr>
          <w:lang w:val="fr-FR"/>
        </w:rPr>
        <w:t>a)</w:t>
      </w:r>
      <w:r>
        <w:rPr>
          <w:lang w:val="fr-FR"/>
        </w:rPr>
        <w:tab/>
        <w:t>La température des surfaces de l</w:t>
      </w:r>
      <w:r w:rsidR="00CC7AF9">
        <w:rPr>
          <w:lang w:val="fr-FR"/>
        </w:rPr>
        <w:t>’</w:t>
      </w:r>
      <w:r>
        <w:rPr>
          <w:lang w:val="fr-FR"/>
        </w:rPr>
        <w:t>emballage n</w:t>
      </w:r>
      <w:r w:rsidR="00CC7AF9">
        <w:rPr>
          <w:lang w:val="fr-FR"/>
        </w:rPr>
        <w:t>’</w:t>
      </w:r>
      <w:r>
        <w:rPr>
          <w:lang w:val="fr-FR"/>
        </w:rPr>
        <w:t xml:space="preserve">a pas dépassé 65 °C ; </w:t>
      </w:r>
    </w:p>
    <w:p w14:paraId="2115AA62" w14:textId="77777777" w:rsidR="00C55D7B" w:rsidRPr="00827E67" w:rsidRDefault="00C55D7B" w:rsidP="00C55D7B">
      <w:pPr>
        <w:pStyle w:val="SingleTxtG"/>
        <w:ind w:left="1701"/>
        <w:rPr>
          <w:i/>
        </w:rPr>
      </w:pPr>
      <w:r>
        <w:rPr>
          <w:lang w:val="fr-FR"/>
        </w:rPr>
        <w:t>b)</w:t>
      </w:r>
      <w:r>
        <w:rPr>
          <w:lang w:val="fr-FR"/>
        </w:rPr>
        <w:tab/>
        <w:t>Aucun effet n</w:t>
      </w:r>
      <w:r w:rsidR="00CC7AF9">
        <w:rPr>
          <w:lang w:val="fr-FR"/>
        </w:rPr>
        <w:t>’</w:t>
      </w:r>
      <w:r>
        <w:rPr>
          <w:lang w:val="fr-FR"/>
        </w:rPr>
        <w:t>a été observé à l</w:t>
      </w:r>
      <w:r w:rsidR="00CC7AF9">
        <w:rPr>
          <w:lang w:val="fr-FR"/>
        </w:rPr>
        <w:t>’</w:t>
      </w:r>
      <w:r>
        <w:rPr>
          <w:lang w:val="fr-FR"/>
        </w:rPr>
        <w:t>extérieur de l</w:t>
      </w:r>
      <w:r w:rsidR="00CC7AF9">
        <w:rPr>
          <w:lang w:val="fr-FR"/>
        </w:rPr>
        <w:t>’</w:t>
      </w:r>
      <w:r>
        <w:rPr>
          <w:lang w:val="fr-FR"/>
        </w:rPr>
        <w:t>emballage, mais ce dernier était susceptible de s</w:t>
      </w:r>
      <w:r w:rsidR="00CC7AF9">
        <w:rPr>
          <w:lang w:val="fr-FR"/>
        </w:rPr>
        <w:t>’</w:t>
      </w:r>
      <w:r>
        <w:rPr>
          <w:lang w:val="fr-FR"/>
        </w:rPr>
        <w:t xml:space="preserve">ouvrir sans pour autant libérer son contenu. </w:t>
      </w:r>
      <w:r>
        <w:rPr>
          <w:i/>
          <w:iCs/>
          <w:lang w:val="fr-FR"/>
        </w:rPr>
        <w:t>Aucun effet tel qu</w:t>
      </w:r>
      <w:r w:rsidR="00CC7AF9">
        <w:rPr>
          <w:i/>
          <w:iCs/>
          <w:lang w:val="fr-FR"/>
        </w:rPr>
        <w:t>’</w:t>
      </w:r>
      <w:r>
        <w:rPr>
          <w:i/>
          <w:iCs/>
          <w:lang w:val="fr-FR"/>
        </w:rPr>
        <w:t>une fuite à l</w:t>
      </w:r>
      <w:r w:rsidR="00CC7AF9">
        <w:rPr>
          <w:i/>
          <w:iCs/>
          <w:lang w:val="fr-FR"/>
        </w:rPr>
        <w:t>’</w:t>
      </w:r>
      <w:r>
        <w:rPr>
          <w:i/>
          <w:iCs/>
          <w:lang w:val="fr-FR"/>
        </w:rPr>
        <w:t>extérieur de l</w:t>
      </w:r>
      <w:r w:rsidR="00CC7AF9">
        <w:rPr>
          <w:i/>
          <w:iCs/>
          <w:lang w:val="fr-FR"/>
        </w:rPr>
        <w:t>’</w:t>
      </w:r>
      <w:r>
        <w:rPr>
          <w:i/>
          <w:iCs/>
          <w:lang w:val="fr-FR"/>
        </w:rPr>
        <w:t>emballage n</w:t>
      </w:r>
      <w:r w:rsidR="00CC7AF9">
        <w:rPr>
          <w:i/>
          <w:iCs/>
          <w:lang w:val="fr-FR"/>
        </w:rPr>
        <w:t>’</w:t>
      </w:r>
      <w:r>
        <w:rPr>
          <w:i/>
          <w:iCs/>
          <w:lang w:val="fr-FR"/>
        </w:rPr>
        <w:t>a été constaté, et l</w:t>
      </w:r>
      <w:r w:rsidR="00CC7AF9">
        <w:rPr>
          <w:i/>
          <w:iCs/>
          <w:lang w:val="fr-FR"/>
        </w:rPr>
        <w:t>’</w:t>
      </w:r>
      <w:r>
        <w:rPr>
          <w:i/>
          <w:iCs/>
          <w:lang w:val="fr-FR"/>
        </w:rPr>
        <w:t>emballage lui-même n</w:t>
      </w:r>
      <w:r w:rsidR="00CC7AF9">
        <w:rPr>
          <w:i/>
          <w:iCs/>
          <w:lang w:val="fr-FR"/>
        </w:rPr>
        <w:t>’</w:t>
      </w:r>
      <w:r>
        <w:rPr>
          <w:i/>
          <w:iCs/>
          <w:lang w:val="fr-FR"/>
        </w:rPr>
        <w:t>a pas été endommagé</w:t>
      </w:r>
      <w:r w:rsidR="003D4BEA">
        <w:rPr>
          <w:i/>
          <w:iCs/>
          <w:lang w:val="fr-FR"/>
        </w:rPr>
        <w:t> </w:t>
      </w:r>
      <w:r>
        <w:rPr>
          <w:i/>
          <w:iCs/>
          <w:lang w:val="fr-FR"/>
        </w:rPr>
        <w:t>; il s</w:t>
      </w:r>
      <w:r w:rsidR="00CC7AF9">
        <w:rPr>
          <w:i/>
          <w:iCs/>
          <w:lang w:val="fr-FR"/>
        </w:rPr>
        <w:t>’</w:t>
      </w:r>
      <w:r>
        <w:rPr>
          <w:i/>
          <w:iCs/>
          <w:lang w:val="fr-FR"/>
        </w:rPr>
        <w:t>est uniquement ouvert</w:t>
      </w:r>
      <w:r w:rsidR="003D4BEA">
        <w:rPr>
          <w:i/>
          <w:iCs/>
          <w:lang w:val="fr-FR"/>
        </w:rPr>
        <w:t> </w:t>
      </w:r>
      <w:r w:rsidRPr="00782EFC">
        <w:rPr>
          <w:iCs/>
          <w:lang w:val="fr-FR"/>
        </w:rPr>
        <w:t>;</w:t>
      </w:r>
    </w:p>
    <w:p w14:paraId="573648BE" w14:textId="77777777" w:rsidR="00C55D7B" w:rsidRPr="009D4134" w:rsidRDefault="00C55D7B" w:rsidP="00C55D7B">
      <w:pPr>
        <w:pStyle w:val="SingleTxtG"/>
        <w:ind w:left="1701"/>
      </w:pPr>
      <w:r>
        <w:rPr>
          <w:lang w:val="fr-FR"/>
        </w:rPr>
        <w:t>c)</w:t>
      </w:r>
      <w:r>
        <w:rPr>
          <w:lang w:val="fr-FR"/>
        </w:rPr>
        <w:tab/>
        <w:t>Aucun gaz n</w:t>
      </w:r>
      <w:r w:rsidR="00CC7AF9">
        <w:rPr>
          <w:lang w:val="fr-FR"/>
        </w:rPr>
        <w:t>’</w:t>
      </w:r>
      <w:r>
        <w:rPr>
          <w:lang w:val="fr-FR"/>
        </w:rPr>
        <w:t>a été libéré.</w:t>
      </w:r>
    </w:p>
    <w:p w14:paraId="58918461" w14:textId="77777777" w:rsidR="00FB2D65" w:rsidRDefault="00C55D7B" w:rsidP="00A46371">
      <w:pPr>
        <w:pStyle w:val="SingleTxtG"/>
        <w:rPr>
          <w:lang w:val="fr-FR"/>
        </w:rPr>
      </w:pPr>
      <w:r>
        <w:rPr>
          <w:lang w:val="fr-FR"/>
        </w:rPr>
        <w:t>16.</w:t>
      </w:r>
      <w:r>
        <w:rPr>
          <w:lang w:val="fr-FR"/>
        </w:rPr>
        <w:tab/>
        <w:t>Un emballage ne contenant que 7 plaques du produit décrit ci-dessus a également été soumis à l</w:t>
      </w:r>
      <w:r w:rsidR="00CC7AF9">
        <w:rPr>
          <w:lang w:val="fr-FR"/>
        </w:rPr>
        <w:t>’</w:t>
      </w:r>
      <w:r>
        <w:rPr>
          <w:lang w:val="fr-FR"/>
        </w:rPr>
        <w:t>épreuve. Il a aussi été porté à la température de 55</w:t>
      </w:r>
      <w:r w:rsidR="007041F2">
        <w:rPr>
          <w:lang w:val="fr-FR"/>
        </w:rPr>
        <w:t> </w:t>
      </w:r>
      <w:r>
        <w:rPr>
          <w:lang w:val="fr-FR"/>
        </w:rPr>
        <w:t>°C, avec succès. L</w:t>
      </w:r>
      <w:r w:rsidR="00CC7AF9">
        <w:rPr>
          <w:lang w:val="fr-FR"/>
        </w:rPr>
        <w:t>’</w:t>
      </w:r>
      <w:r>
        <w:rPr>
          <w:lang w:val="fr-FR"/>
        </w:rPr>
        <w:t>emballage n</w:t>
      </w:r>
      <w:r w:rsidR="00CC7AF9">
        <w:rPr>
          <w:lang w:val="fr-FR"/>
        </w:rPr>
        <w:t>’</w:t>
      </w:r>
      <w:r>
        <w:rPr>
          <w:lang w:val="fr-FR"/>
        </w:rPr>
        <w:t>a jamais affiché une élévation de température supérieure à 6</w:t>
      </w:r>
      <w:r w:rsidR="007041F2">
        <w:rPr>
          <w:lang w:val="fr-FR"/>
        </w:rPr>
        <w:t> </w:t>
      </w:r>
      <w:r>
        <w:rPr>
          <w:lang w:val="fr-FR"/>
        </w:rPr>
        <w:t>°C et aucune altération n</w:t>
      </w:r>
      <w:r w:rsidR="00CC7AF9">
        <w:rPr>
          <w:lang w:val="fr-FR"/>
        </w:rPr>
        <w:t>’</w:t>
      </w:r>
      <w:r>
        <w:rPr>
          <w:lang w:val="fr-FR"/>
        </w:rPr>
        <w:t>a été constatée après l</w:t>
      </w:r>
      <w:r w:rsidR="00CC7AF9">
        <w:rPr>
          <w:lang w:val="fr-FR"/>
        </w:rPr>
        <w:t>’</w:t>
      </w:r>
      <w:r>
        <w:rPr>
          <w:lang w:val="fr-FR"/>
        </w:rPr>
        <w:t>épreuve. Par conséquent, pour ces produits, il est indiqué de mettre à l</w:t>
      </w:r>
      <w:r w:rsidR="00CC7AF9">
        <w:rPr>
          <w:lang w:val="fr-FR"/>
        </w:rPr>
        <w:t>’</w:t>
      </w:r>
      <w:r>
        <w:rPr>
          <w:lang w:val="fr-FR"/>
        </w:rPr>
        <w:t>épreuve les emballages utilisés aux fins du transport, plutôt que des emballages de 50 kg.</w:t>
      </w:r>
    </w:p>
    <w:p w14:paraId="61905188" w14:textId="77777777" w:rsidR="00446FE5" w:rsidRPr="00C55D7B" w:rsidRDefault="00C55D7B" w:rsidP="00C55D7B">
      <w:pPr>
        <w:pStyle w:val="SingleTxtG"/>
        <w:spacing w:before="240" w:after="0"/>
        <w:jc w:val="center"/>
        <w:rPr>
          <w:u w:val="single"/>
        </w:rPr>
      </w:pPr>
      <w:r>
        <w:rPr>
          <w:u w:val="single"/>
        </w:rPr>
        <w:tab/>
      </w:r>
      <w:r>
        <w:rPr>
          <w:u w:val="single"/>
        </w:rPr>
        <w:tab/>
      </w:r>
      <w:r>
        <w:rPr>
          <w:u w:val="single"/>
        </w:rPr>
        <w:tab/>
      </w:r>
    </w:p>
    <w:sectPr w:rsidR="00446FE5" w:rsidRPr="00C55D7B" w:rsidSect="00FB2D65">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DE2D5" w14:textId="77777777" w:rsidR="005E145A" w:rsidRDefault="005E145A" w:rsidP="00F95C08">
      <w:pPr>
        <w:spacing w:line="240" w:lineRule="auto"/>
      </w:pPr>
    </w:p>
  </w:endnote>
  <w:endnote w:type="continuationSeparator" w:id="0">
    <w:p w14:paraId="5B26659E" w14:textId="77777777" w:rsidR="005E145A" w:rsidRPr="00AC3823" w:rsidRDefault="005E145A" w:rsidP="00AC3823">
      <w:pPr>
        <w:pStyle w:val="Footer"/>
      </w:pPr>
    </w:p>
  </w:endnote>
  <w:endnote w:type="continuationNotice" w:id="1">
    <w:p w14:paraId="2763561C" w14:textId="77777777" w:rsidR="005E145A" w:rsidRDefault="005E14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E824" w14:textId="77777777" w:rsidR="00FB2D65" w:rsidRPr="00FB2D65" w:rsidRDefault="00FB2D65" w:rsidP="00FB2D65">
    <w:pPr>
      <w:pStyle w:val="Footer"/>
      <w:tabs>
        <w:tab w:val="right" w:pos="9638"/>
      </w:tabs>
    </w:pPr>
    <w:r w:rsidRPr="00FB2D65">
      <w:rPr>
        <w:b/>
        <w:sz w:val="18"/>
      </w:rPr>
      <w:fldChar w:fldCharType="begin"/>
    </w:r>
    <w:r w:rsidRPr="00FB2D65">
      <w:rPr>
        <w:b/>
        <w:sz w:val="18"/>
      </w:rPr>
      <w:instrText xml:space="preserve"> PAGE  \* MERGEFORMAT </w:instrText>
    </w:r>
    <w:r w:rsidRPr="00FB2D65">
      <w:rPr>
        <w:b/>
        <w:sz w:val="18"/>
      </w:rPr>
      <w:fldChar w:fldCharType="separate"/>
    </w:r>
    <w:r w:rsidRPr="00FB2D65">
      <w:rPr>
        <w:b/>
        <w:noProof/>
        <w:sz w:val="18"/>
      </w:rPr>
      <w:t>2</w:t>
    </w:r>
    <w:r w:rsidRPr="00FB2D65">
      <w:rPr>
        <w:b/>
        <w:sz w:val="18"/>
      </w:rPr>
      <w:fldChar w:fldCharType="end"/>
    </w:r>
    <w:r>
      <w:rPr>
        <w:b/>
        <w:sz w:val="18"/>
      </w:rPr>
      <w:tab/>
    </w:r>
    <w:r>
      <w:t>GE.19-05871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FD9F" w14:textId="77777777" w:rsidR="00FB2D65" w:rsidRPr="00FB2D65" w:rsidRDefault="00FB2D65" w:rsidP="00FB2D65">
    <w:pPr>
      <w:pStyle w:val="Footer"/>
      <w:tabs>
        <w:tab w:val="right" w:pos="9638"/>
      </w:tabs>
      <w:rPr>
        <w:b/>
        <w:sz w:val="18"/>
      </w:rPr>
    </w:pPr>
    <w:r>
      <w:t>GE.19-05871</w:t>
    </w:r>
    <w:r>
      <w:tab/>
    </w:r>
    <w:r w:rsidRPr="00FB2D65">
      <w:rPr>
        <w:b/>
        <w:sz w:val="18"/>
      </w:rPr>
      <w:fldChar w:fldCharType="begin"/>
    </w:r>
    <w:r w:rsidRPr="00FB2D65">
      <w:rPr>
        <w:b/>
        <w:sz w:val="18"/>
      </w:rPr>
      <w:instrText xml:space="preserve"> PAGE  \* MERGEFORMAT </w:instrText>
    </w:r>
    <w:r w:rsidRPr="00FB2D65">
      <w:rPr>
        <w:b/>
        <w:sz w:val="18"/>
      </w:rPr>
      <w:fldChar w:fldCharType="separate"/>
    </w:r>
    <w:r w:rsidRPr="00FB2D65">
      <w:rPr>
        <w:b/>
        <w:noProof/>
        <w:sz w:val="18"/>
      </w:rPr>
      <w:t>3</w:t>
    </w:r>
    <w:r w:rsidRPr="00FB2D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4FF6" w14:textId="77777777" w:rsidR="0068456F" w:rsidRPr="00FB2D65" w:rsidRDefault="00FB2D65" w:rsidP="00FB2D65">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16B0F9A" wp14:editId="1342793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05871  (</w:t>
    </w:r>
    <w:proofErr w:type="gramEnd"/>
    <w:r>
      <w:rPr>
        <w:sz w:val="20"/>
      </w:rPr>
      <w:t>F)    080519    080519</w:t>
    </w:r>
    <w:r>
      <w:rPr>
        <w:sz w:val="20"/>
      </w:rPr>
      <w:br/>
    </w:r>
    <w:r w:rsidRPr="00FB2D65">
      <w:rPr>
        <w:rFonts w:ascii="C39T30Lfz" w:hAnsi="C39T30Lfz"/>
        <w:sz w:val="56"/>
      </w:rPr>
      <w:t></w:t>
    </w:r>
    <w:r w:rsidRPr="00FB2D65">
      <w:rPr>
        <w:rFonts w:ascii="C39T30Lfz" w:hAnsi="C39T30Lfz"/>
        <w:sz w:val="56"/>
      </w:rPr>
      <w:t></w:t>
    </w:r>
    <w:r w:rsidRPr="00FB2D65">
      <w:rPr>
        <w:rFonts w:ascii="C39T30Lfz" w:hAnsi="C39T30Lfz"/>
        <w:sz w:val="56"/>
      </w:rPr>
      <w:t></w:t>
    </w:r>
    <w:r w:rsidRPr="00FB2D65">
      <w:rPr>
        <w:rFonts w:ascii="C39T30Lfz" w:hAnsi="C39T30Lfz"/>
        <w:sz w:val="56"/>
      </w:rPr>
      <w:t></w:t>
    </w:r>
    <w:r w:rsidRPr="00FB2D65">
      <w:rPr>
        <w:rFonts w:ascii="C39T30Lfz" w:hAnsi="C39T30Lfz"/>
        <w:sz w:val="56"/>
      </w:rPr>
      <w:t></w:t>
    </w:r>
    <w:r w:rsidRPr="00FB2D65">
      <w:rPr>
        <w:rFonts w:ascii="C39T30Lfz" w:hAnsi="C39T30Lfz"/>
        <w:sz w:val="56"/>
      </w:rPr>
      <w:t></w:t>
    </w:r>
    <w:r w:rsidRPr="00FB2D65">
      <w:rPr>
        <w:rFonts w:ascii="C39T30Lfz" w:hAnsi="C39T30Lfz"/>
        <w:sz w:val="56"/>
      </w:rPr>
      <w:t></w:t>
    </w:r>
    <w:r w:rsidRPr="00FB2D65">
      <w:rPr>
        <w:rFonts w:ascii="C39T30Lfz" w:hAnsi="C39T30Lfz"/>
        <w:sz w:val="56"/>
      </w:rPr>
      <w:t></w:t>
    </w:r>
    <w:r w:rsidRPr="00FB2D65">
      <w:rPr>
        <w:rFonts w:ascii="C39T30Lfz" w:hAnsi="C39T30Lfz"/>
        <w:sz w:val="56"/>
      </w:rPr>
      <w:t></w:t>
    </w:r>
    <w:r>
      <w:rPr>
        <w:noProof/>
        <w:sz w:val="20"/>
      </w:rPr>
      <w:drawing>
        <wp:anchor distT="0" distB="0" distL="114300" distR="114300" simplePos="0" relativeHeight="251658240" behindDoc="0" locked="0" layoutInCell="1" allowOverlap="1" wp14:anchorId="560BF4C3" wp14:editId="23B9BA5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BF085" w14:textId="77777777" w:rsidR="005E145A" w:rsidRPr="00AC3823" w:rsidRDefault="005E145A" w:rsidP="00AC3823">
      <w:pPr>
        <w:pStyle w:val="Footer"/>
        <w:tabs>
          <w:tab w:val="right" w:pos="2155"/>
        </w:tabs>
        <w:spacing w:after="80" w:line="240" w:lineRule="atLeast"/>
        <w:ind w:left="680"/>
        <w:rPr>
          <w:u w:val="single"/>
        </w:rPr>
      </w:pPr>
      <w:r>
        <w:rPr>
          <w:u w:val="single"/>
        </w:rPr>
        <w:tab/>
      </w:r>
    </w:p>
  </w:footnote>
  <w:footnote w:type="continuationSeparator" w:id="0">
    <w:p w14:paraId="6313C821" w14:textId="77777777" w:rsidR="005E145A" w:rsidRPr="00AC3823" w:rsidRDefault="005E145A" w:rsidP="00AC3823">
      <w:pPr>
        <w:pStyle w:val="Footer"/>
        <w:tabs>
          <w:tab w:val="right" w:pos="2155"/>
        </w:tabs>
        <w:spacing w:after="80" w:line="240" w:lineRule="atLeast"/>
        <w:ind w:left="680"/>
        <w:rPr>
          <w:u w:val="single"/>
        </w:rPr>
      </w:pPr>
      <w:r>
        <w:rPr>
          <w:u w:val="single"/>
        </w:rPr>
        <w:tab/>
      </w:r>
    </w:p>
  </w:footnote>
  <w:footnote w:type="continuationNotice" w:id="1">
    <w:p w14:paraId="33F506AB" w14:textId="77777777" w:rsidR="005E145A" w:rsidRPr="00AC3823" w:rsidRDefault="005E145A">
      <w:pPr>
        <w:spacing w:line="240" w:lineRule="auto"/>
        <w:rPr>
          <w:sz w:val="2"/>
          <w:szCs w:val="2"/>
        </w:rPr>
      </w:pPr>
    </w:p>
  </w:footnote>
  <w:footnote w:id="2">
    <w:p w14:paraId="272EDC8C" w14:textId="77777777" w:rsidR="00C55D7B" w:rsidRPr="00C55D7B" w:rsidRDefault="00C55D7B">
      <w:pPr>
        <w:pStyle w:val="FootnoteText"/>
      </w:pPr>
      <w:r>
        <w:rPr>
          <w:rStyle w:val="FootnoteReference"/>
        </w:rPr>
        <w:tab/>
      </w:r>
      <w:r w:rsidRPr="00C55D7B">
        <w:rPr>
          <w:rStyle w:val="FootnoteReference"/>
          <w:sz w:val="20"/>
          <w:vertAlign w:val="baseline"/>
        </w:rPr>
        <w:t>*</w:t>
      </w:r>
      <w:r>
        <w:rPr>
          <w:rStyle w:val="FootnoteReference"/>
          <w:sz w:val="20"/>
          <w:vertAlign w:val="baseline"/>
        </w:rPr>
        <w:tab/>
      </w:r>
      <w:r>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AF8E" w14:textId="5AA17128" w:rsidR="00FB2D65" w:rsidRPr="00FB2D65" w:rsidRDefault="009B4BB4">
    <w:pPr>
      <w:pStyle w:val="Header"/>
    </w:pPr>
    <w:r>
      <w:fldChar w:fldCharType="begin"/>
    </w:r>
    <w:r>
      <w:instrText xml:space="preserve"> TITLE  \* MERGEFORMAT </w:instrText>
    </w:r>
    <w:r>
      <w:fldChar w:fldCharType="separate"/>
    </w:r>
    <w:r>
      <w:t>ST/SG/AC.10/C.3/2019/18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B7DF" w14:textId="67FDFEFB" w:rsidR="00FB2D65" w:rsidRPr="00FB2D65" w:rsidRDefault="009B4BB4" w:rsidP="00FB2D65">
    <w:pPr>
      <w:pStyle w:val="Header"/>
      <w:jc w:val="right"/>
    </w:pPr>
    <w:r>
      <w:fldChar w:fldCharType="begin"/>
    </w:r>
    <w:r>
      <w:instrText xml:space="preserve"> TITLE  \* MERGEFORMAT </w:instrText>
    </w:r>
    <w:r>
      <w:fldChar w:fldCharType="separate"/>
    </w:r>
    <w:r>
      <w:t>ST/SG/AC.10/C.3/2019/18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5A"/>
    <w:rsid w:val="00017F94"/>
    <w:rsid w:val="00023842"/>
    <w:rsid w:val="000305D3"/>
    <w:rsid w:val="000334F9"/>
    <w:rsid w:val="0007796D"/>
    <w:rsid w:val="000B7790"/>
    <w:rsid w:val="000E0CEF"/>
    <w:rsid w:val="00111F2F"/>
    <w:rsid w:val="00132EA9"/>
    <w:rsid w:val="0014365E"/>
    <w:rsid w:val="00176178"/>
    <w:rsid w:val="001F525A"/>
    <w:rsid w:val="00217E47"/>
    <w:rsid w:val="00223272"/>
    <w:rsid w:val="0024779E"/>
    <w:rsid w:val="00257FD8"/>
    <w:rsid w:val="00283190"/>
    <w:rsid w:val="002832AC"/>
    <w:rsid w:val="002D7C93"/>
    <w:rsid w:val="003D4BEA"/>
    <w:rsid w:val="00441C3B"/>
    <w:rsid w:val="00446FE5"/>
    <w:rsid w:val="00452396"/>
    <w:rsid w:val="004D2433"/>
    <w:rsid w:val="004E468C"/>
    <w:rsid w:val="005505B7"/>
    <w:rsid w:val="00573BE5"/>
    <w:rsid w:val="00584DC4"/>
    <w:rsid w:val="00586ED3"/>
    <w:rsid w:val="00596AA9"/>
    <w:rsid w:val="005E145A"/>
    <w:rsid w:val="0068456F"/>
    <w:rsid w:val="007041F2"/>
    <w:rsid w:val="0071601D"/>
    <w:rsid w:val="00782EFC"/>
    <w:rsid w:val="007A62E6"/>
    <w:rsid w:val="0080684C"/>
    <w:rsid w:val="00871C75"/>
    <w:rsid w:val="00875531"/>
    <w:rsid w:val="008776DC"/>
    <w:rsid w:val="008B40CD"/>
    <w:rsid w:val="009567C6"/>
    <w:rsid w:val="009705C8"/>
    <w:rsid w:val="009B4BB4"/>
    <w:rsid w:val="009C1CF4"/>
    <w:rsid w:val="00A30353"/>
    <w:rsid w:val="00A46371"/>
    <w:rsid w:val="00AC3823"/>
    <w:rsid w:val="00AE323C"/>
    <w:rsid w:val="00B00181"/>
    <w:rsid w:val="00B00B0D"/>
    <w:rsid w:val="00B73F52"/>
    <w:rsid w:val="00B765F7"/>
    <w:rsid w:val="00BA0CA9"/>
    <w:rsid w:val="00C02897"/>
    <w:rsid w:val="00C55D7B"/>
    <w:rsid w:val="00CC7AF9"/>
    <w:rsid w:val="00D3439C"/>
    <w:rsid w:val="00DB1831"/>
    <w:rsid w:val="00DD3BFD"/>
    <w:rsid w:val="00DF6678"/>
    <w:rsid w:val="00EA23FE"/>
    <w:rsid w:val="00EF2E22"/>
    <w:rsid w:val="00F01738"/>
    <w:rsid w:val="00F660DF"/>
    <w:rsid w:val="00F730C8"/>
    <w:rsid w:val="00F95C08"/>
    <w:rsid w:val="00FB2D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35304"/>
  <w15:docId w15:val="{AA67642C-C2C1-4815-A4D0-1706049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C55D7B"/>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C55D7B"/>
    <w:rPr>
      <w:rFonts w:ascii="Times New Roman" w:eastAsiaTheme="minorHAnsi" w:hAnsi="Times New Roman" w:cs="Times New Roman"/>
      <w:sz w:val="20"/>
      <w:szCs w:val="20"/>
      <w:lang w:eastAsia="en-US"/>
    </w:rPr>
  </w:style>
  <w:style w:type="character" w:customStyle="1" w:styleId="H1GChar">
    <w:name w:val="_ H_1_G Char"/>
    <w:link w:val="H1G"/>
    <w:locked/>
    <w:rsid w:val="00C55D7B"/>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image022.jpg@01D4E4C2.4CDFF1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ST/SG/AC.10/C.3/2019/18</vt:lpstr>
      <vt:lpstr>ST/SG/AC.10/C.3/2019/18</vt:lpstr>
    </vt:vector>
  </TitlesOfParts>
  <Company>DCM</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ST/SG/AC.10/C.3/2019/18</dc:title>
  <dc:subject/>
  <dc:creator>Maud DARICHE</dc:creator>
  <cp:keywords/>
  <cp:lastModifiedBy>Laurence Berthet</cp:lastModifiedBy>
  <cp:revision>3</cp:revision>
  <cp:lastPrinted>2019-05-09T07:44:00Z</cp:lastPrinted>
  <dcterms:created xsi:type="dcterms:W3CDTF">2019-05-09T07:44:00Z</dcterms:created>
  <dcterms:modified xsi:type="dcterms:W3CDTF">2019-05-09T07:44:00Z</dcterms:modified>
</cp:coreProperties>
</file>