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5E0F7B" w:rsidRPr="00471D64" w14:paraId="0FFE53DE" w14:textId="77777777" w:rsidTr="00D76673">
        <w:trPr>
          <w:trHeight w:val="851"/>
        </w:trPr>
        <w:tc>
          <w:tcPr>
            <w:tcW w:w="1260" w:type="dxa"/>
            <w:tcBorders>
              <w:top w:val="nil"/>
              <w:left w:val="nil"/>
              <w:bottom w:val="single" w:sz="4" w:space="0" w:color="auto"/>
              <w:right w:val="nil"/>
            </w:tcBorders>
          </w:tcPr>
          <w:p w14:paraId="2EFD4941" w14:textId="77777777" w:rsidR="005E0F7B" w:rsidRDefault="005E0F7B">
            <w:pPr>
              <w:spacing w:after="80" w:line="340" w:lineRule="exact"/>
            </w:pPr>
          </w:p>
        </w:tc>
        <w:tc>
          <w:tcPr>
            <w:tcW w:w="2237" w:type="dxa"/>
            <w:tcBorders>
              <w:top w:val="nil"/>
              <w:left w:val="nil"/>
              <w:bottom w:val="single" w:sz="4" w:space="0" w:color="auto"/>
              <w:right w:val="nil"/>
            </w:tcBorders>
            <w:vAlign w:val="bottom"/>
            <w:hideMark/>
          </w:tcPr>
          <w:p w14:paraId="7BAF3A2A" w14:textId="77777777" w:rsidR="005E0F7B" w:rsidRDefault="005E0F7B">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322E9A4C" w14:textId="12D79718" w:rsidR="005E0F7B" w:rsidRDefault="005E0F7B" w:rsidP="006A5661">
            <w:pPr>
              <w:suppressAutoHyphens w:val="0"/>
              <w:spacing w:after="20"/>
              <w:jc w:val="right"/>
            </w:pPr>
            <w:r>
              <w:rPr>
                <w:sz w:val="40"/>
              </w:rPr>
              <w:t>ST</w:t>
            </w:r>
            <w:r w:rsidR="00F41498">
              <w:t>/SG/AC.10/C.3/201</w:t>
            </w:r>
            <w:r w:rsidR="006E6FC6">
              <w:t>9</w:t>
            </w:r>
            <w:r w:rsidR="00EB5EFC">
              <w:t>/</w:t>
            </w:r>
            <w:r w:rsidR="00156941">
              <w:t>18</w:t>
            </w:r>
          </w:p>
        </w:tc>
      </w:tr>
      <w:tr w:rsidR="005E0F7B" w:rsidRPr="005E0F7B" w14:paraId="077A4DB1" w14:textId="77777777" w:rsidTr="00D76673">
        <w:trPr>
          <w:trHeight w:val="2835"/>
        </w:trPr>
        <w:tc>
          <w:tcPr>
            <w:tcW w:w="1260" w:type="dxa"/>
            <w:tcBorders>
              <w:top w:val="single" w:sz="4" w:space="0" w:color="auto"/>
              <w:left w:val="nil"/>
              <w:bottom w:val="single" w:sz="12" w:space="0" w:color="auto"/>
              <w:right w:val="nil"/>
            </w:tcBorders>
            <w:hideMark/>
          </w:tcPr>
          <w:p w14:paraId="3F7AEA23" w14:textId="77777777" w:rsidR="005E0F7B" w:rsidRDefault="00FD21A9">
            <w:pPr>
              <w:spacing w:before="120"/>
              <w:jc w:val="center"/>
            </w:pPr>
            <w:r>
              <w:rPr>
                <w:noProof/>
                <w:lang w:val="de-DE" w:eastAsia="de-DE"/>
              </w:rPr>
              <w:drawing>
                <wp:inline distT="0" distB="0" distL="0" distR="0" wp14:anchorId="30E49450" wp14:editId="07777777">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427E9B05"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795BDA0C" w14:textId="77777777" w:rsidR="005E0F7B" w:rsidRDefault="005E0F7B">
            <w:pPr>
              <w:suppressAutoHyphens w:val="0"/>
              <w:spacing w:before="240" w:line="240" w:lineRule="exact"/>
            </w:pPr>
            <w:r>
              <w:t>Distr.: General</w:t>
            </w:r>
          </w:p>
          <w:p w14:paraId="0B7B42BD" w14:textId="142EF44C" w:rsidR="005E0F7B" w:rsidRPr="005C67A3" w:rsidRDefault="00D573E1">
            <w:pPr>
              <w:suppressAutoHyphens w:val="0"/>
            </w:pPr>
            <w:r>
              <w:t>8</w:t>
            </w:r>
            <w:bookmarkStart w:id="0" w:name="_GoBack"/>
            <w:bookmarkEnd w:id="0"/>
            <w:r w:rsidR="009B44F5">
              <w:t xml:space="preserve"> April</w:t>
            </w:r>
            <w:r w:rsidR="009E5E43">
              <w:t xml:space="preserve"> 2019</w:t>
            </w:r>
          </w:p>
          <w:p w14:paraId="2A5374FE" w14:textId="77777777" w:rsidR="005E0F7B" w:rsidRDefault="005E0F7B">
            <w:pPr>
              <w:suppressAutoHyphens w:val="0"/>
            </w:pPr>
          </w:p>
          <w:p w14:paraId="68A24DD9" w14:textId="77777777" w:rsidR="005E0F7B" w:rsidRDefault="005E0F7B">
            <w:pPr>
              <w:suppressAutoHyphens w:val="0"/>
            </w:pPr>
            <w:r>
              <w:t>Original: English</w:t>
            </w:r>
          </w:p>
        </w:tc>
      </w:tr>
    </w:tbl>
    <w:p w14:paraId="17F39BEF"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0110929B" w14:textId="77777777" w:rsidR="00D76673" w:rsidRPr="00D76673" w:rsidRDefault="00D76673" w:rsidP="00D76673">
      <w:pPr>
        <w:spacing w:before="120"/>
        <w:rPr>
          <w:b/>
        </w:rPr>
      </w:pPr>
      <w:r w:rsidRPr="00D76673">
        <w:rPr>
          <w:b/>
        </w:rPr>
        <w:t>Sub-Committee of Experts on the Transport of Dangerous Goods</w:t>
      </w:r>
    </w:p>
    <w:p w14:paraId="49F33798" w14:textId="24A3F27A" w:rsidR="00AC47CB" w:rsidRPr="00432930" w:rsidRDefault="00AC47CB" w:rsidP="00AC47CB">
      <w:pPr>
        <w:spacing w:before="120"/>
        <w:rPr>
          <w:b/>
        </w:rPr>
      </w:pPr>
      <w:r>
        <w:rPr>
          <w:b/>
        </w:rPr>
        <w:t>Fifty</w:t>
      </w:r>
      <w:r w:rsidR="001047A4">
        <w:rPr>
          <w:b/>
        </w:rPr>
        <w:t>-</w:t>
      </w:r>
      <w:r w:rsidR="006E6FC6">
        <w:rPr>
          <w:b/>
        </w:rPr>
        <w:t>fifth</w:t>
      </w:r>
      <w:r>
        <w:rPr>
          <w:b/>
        </w:rPr>
        <w:t xml:space="preserve"> session</w:t>
      </w:r>
    </w:p>
    <w:p w14:paraId="5572DDF0" w14:textId="1FDD204C" w:rsidR="007947F2" w:rsidRPr="007947F2" w:rsidRDefault="00AC47CB" w:rsidP="001047A4">
      <w:pPr>
        <w:rPr>
          <w:b/>
          <w:bCs/>
        </w:rPr>
      </w:pPr>
      <w:r w:rsidRPr="007E5760">
        <w:t xml:space="preserve">Geneva, </w:t>
      </w:r>
      <w:r w:rsidR="00377A8E" w:rsidRPr="007E5760">
        <w:rPr>
          <w:color w:val="333333"/>
        </w:rPr>
        <w:t>1</w:t>
      </w:r>
      <w:r w:rsidR="006E6FC6">
        <w:rPr>
          <w:color w:val="333333"/>
        </w:rPr>
        <w:t>-</w:t>
      </w:r>
      <w:r w:rsidR="00377A8E" w:rsidRPr="007E5760">
        <w:rPr>
          <w:color w:val="333333"/>
        </w:rPr>
        <w:t>5. July 2019</w:t>
      </w:r>
      <w:r>
        <w:rPr>
          <w:color w:val="333333"/>
        </w:rPr>
        <w:br/>
      </w:r>
      <w:r w:rsidR="00A065BA" w:rsidRPr="007947F2">
        <w:t xml:space="preserve">Item </w:t>
      </w:r>
      <w:r w:rsidR="001047A4">
        <w:t>3</w:t>
      </w:r>
      <w:r w:rsidR="00821946" w:rsidRPr="007947F2">
        <w:t xml:space="preserve"> </w:t>
      </w:r>
      <w:r w:rsidR="00A065BA" w:rsidRPr="007947F2">
        <w:t>of the provisional agenda</w:t>
      </w:r>
      <w:r w:rsidR="00D76673" w:rsidRPr="007947F2">
        <w:br/>
      </w:r>
      <w:r w:rsidR="001047A4">
        <w:rPr>
          <w:b/>
          <w:bCs/>
        </w:rPr>
        <w:t>Listing, classification and packing</w:t>
      </w:r>
    </w:p>
    <w:p w14:paraId="2F6CFB2E" w14:textId="77777777" w:rsidR="001A581A" w:rsidRPr="000C4A22" w:rsidRDefault="001A581A" w:rsidP="001A581A">
      <w:pPr>
        <w:pStyle w:val="HChG"/>
      </w:pPr>
      <w:r>
        <w:tab/>
      </w:r>
      <w:r>
        <w:tab/>
      </w:r>
      <w:bookmarkStart w:id="1" w:name="_Hlk511121631"/>
      <w:r>
        <w:t>Exemptions for polymerizing substances</w:t>
      </w:r>
      <w:bookmarkEnd w:id="1"/>
    </w:p>
    <w:p w14:paraId="02ECEC81" w14:textId="757B9E3A" w:rsidR="001A581A" w:rsidRPr="00093FAC" w:rsidRDefault="001A581A" w:rsidP="001A581A">
      <w:pPr>
        <w:pStyle w:val="H1G"/>
      </w:pPr>
      <w:r>
        <w:tab/>
      </w:r>
      <w:r>
        <w:tab/>
      </w:r>
      <w:bookmarkStart w:id="2" w:name="_Hlk511119018"/>
      <w:r w:rsidRPr="00F51F72">
        <w:t>Transmitted by the European Chemical Industry Council (CEFIC)</w:t>
      </w:r>
      <w:r>
        <w:rPr>
          <w:rStyle w:val="FootnoteReference"/>
        </w:rPr>
        <w:footnoteReference w:customMarkFollows="1" w:id="2"/>
        <w:t>*</w:t>
      </w:r>
    </w:p>
    <w:bookmarkEnd w:id="2"/>
    <w:p w14:paraId="5639CDB4" w14:textId="77777777" w:rsidR="001A581A" w:rsidRPr="00093FAC" w:rsidRDefault="001A581A" w:rsidP="001A581A">
      <w:pPr>
        <w:pStyle w:val="HChG"/>
      </w:pPr>
      <w:r>
        <w:tab/>
      </w:r>
      <w:r>
        <w:tab/>
      </w:r>
      <w:r w:rsidRPr="00CD3BAB">
        <w:t>Introduction</w:t>
      </w:r>
    </w:p>
    <w:p w14:paraId="02955F1E" w14:textId="65E1C462" w:rsidR="001A581A" w:rsidRPr="00BB5A7B" w:rsidRDefault="005C5AE3" w:rsidP="00731C26">
      <w:pPr>
        <w:pStyle w:val="SingleTxtG"/>
      </w:pPr>
      <w:r>
        <w:t>1.</w:t>
      </w:r>
      <w:r>
        <w:tab/>
      </w:r>
      <w:r w:rsidR="001047A4">
        <w:t>T</w:t>
      </w:r>
      <w:r w:rsidR="001A581A" w:rsidRPr="00BB5A7B">
        <w:t xml:space="preserve">he </w:t>
      </w:r>
      <w:r w:rsidR="001A581A">
        <w:t xml:space="preserve">Sub-Committee </w:t>
      </w:r>
      <w:r w:rsidR="001047A4">
        <w:t xml:space="preserve">adopted </w:t>
      </w:r>
      <w:r w:rsidR="001A581A">
        <w:t>new criteria and UN</w:t>
      </w:r>
      <w:r w:rsidR="002414B0">
        <w:t xml:space="preserve"> </w:t>
      </w:r>
      <w:r w:rsidR="001A581A">
        <w:t xml:space="preserve">numbers for </w:t>
      </w:r>
      <w:r w:rsidR="001A581A" w:rsidRPr="00BB5A7B">
        <w:t>polymerizing substances in Division 4.1</w:t>
      </w:r>
      <w:r w:rsidR="001047A4">
        <w:t xml:space="preserve"> for the nineteenth edition of the Model </w:t>
      </w:r>
      <w:proofErr w:type="gramStart"/>
      <w:r w:rsidR="001047A4">
        <w:t>Regulations,</w:t>
      </w:r>
      <w:r w:rsidR="001A581A" w:rsidRPr="00BB5A7B">
        <w:t>.</w:t>
      </w:r>
      <w:proofErr w:type="gramEnd"/>
    </w:p>
    <w:p w14:paraId="376EBB85" w14:textId="2EB4B4DB" w:rsidR="001A581A" w:rsidRDefault="005C5AE3" w:rsidP="00731C26">
      <w:pPr>
        <w:pStyle w:val="SingleTxtG"/>
      </w:pPr>
      <w:r>
        <w:t>2.</w:t>
      </w:r>
      <w:r>
        <w:tab/>
      </w:r>
      <w:r w:rsidR="001A581A" w:rsidRPr="00BB5A7B">
        <w:t>The definition of section 2.4.2.5.1 describes polymerizing substances as “substances which, without stabilization, are liable to undergo a strongly exothermic reaction resulting in the formation of larger molecules or resulting in the formation of polymers under conditions normally encountered in transport.</w:t>
      </w:r>
      <w:r w:rsidR="001A581A">
        <w:t>”</w:t>
      </w:r>
      <w:r w:rsidR="002643EE">
        <w:t xml:space="preserve"> </w:t>
      </w:r>
    </w:p>
    <w:p w14:paraId="279F075A" w14:textId="6FC14440" w:rsidR="00BA7E8B" w:rsidRDefault="009E5E43" w:rsidP="00731C26">
      <w:pPr>
        <w:pStyle w:val="SingleTxtG"/>
      </w:pPr>
      <w:r>
        <w:t xml:space="preserve">3. </w:t>
      </w:r>
      <w:r w:rsidR="006E6FC6">
        <w:tab/>
      </w:r>
      <w:r>
        <w:t>In most chemical textbooks, the ability t</w:t>
      </w:r>
      <w:r w:rsidR="00517DA6">
        <w:t>o</w:t>
      </w:r>
      <w:r>
        <w:t xml:space="preserve"> polymerize is linked to the existence of unsaturated (i.e. double or triple) bonds or strained rings in the molecule. </w:t>
      </w:r>
      <w:r w:rsidR="00377A8E">
        <w:t>Thus,</w:t>
      </w:r>
      <w:r>
        <w:t xml:space="preserve"> polymerization is essentially the formation of larger molecule by addition of small reactive units – the so called </w:t>
      </w:r>
      <w:r w:rsidR="000E5FF1">
        <w:t>monomers</w:t>
      </w:r>
      <w:r>
        <w:t xml:space="preserve"> – to the activated end of a growing chain. </w:t>
      </w:r>
      <w:r w:rsidR="000E5FF1">
        <w:t>The polymerization starts with the initialization followed by the propagation phase, in which the polymer chain is growing. Towards the end (the termination) stops the creation of the polymer.</w:t>
      </w:r>
      <w:r w:rsidR="00BA7E8B">
        <w:t xml:space="preserve"> Typical polymerization reactions are:</w:t>
      </w:r>
    </w:p>
    <w:p w14:paraId="65F5EA84" w14:textId="6E712E6C" w:rsidR="00BA7E8B" w:rsidRDefault="00BA7E8B" w:rsidP="00731C26">
      <w:pPr>
        <w:pStyle w:val="SingleTxtG"/>
      </w:pPr>
    </w:p>
    <w:p w14:paraId="02B3928A" w14:textId="77777777" w:rsidR="00BA7E8B" w:rsidRDefault="00BA7E8B" w:rsidP="00731C26">
      <w:pPr>
        <w:pStyle w:val="SingleTxtG"/>
      </w:pPr>
    </w:p>
    <w:p w14:paraId="3E09659D" w14:textId="2ED9B121" w:rsidR="00BA7E8B" w:rsidRDefault="00BA7E8B" w:rsidP="00731C26">
      <w:pPr>
        <w:pStyle w:val="SingleTxtG"/>
      </w:pPr>
      <w:r>
        <w:rPr>
          <w:noProof/>
          <w:lang w:val="de-DE" w:eastAsia="de-DE"/>
        </w:rPr>
        <w:lastRenderedPageBreak/>
        <w:drawing>
          <wp:inline distT="0" distB="0" distL="0" distR="0" wp14:anchorId="706CF935" wp14:editId="37252621">
            <wp:extent cx="4697730" cy="1633668"/>
            <wp:effectExtent l="0" t="0" r="762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696731" cy="1633321"/>
                    </a:xfrm>
                    <a:prstGeom prst="rect">
                      <a:avLst/>
                    </a:prstGeom>
                  </pic:spPr>
                </pic:pic>
              </a:graphicData>
            </a:graphic>
          </wp:inline>
        </w:drawing>
      </w:r>
    </w:p>
    <w:p w14:paraId="48BDCB2E" w14:textId="700F494D" w:rsidR="00BA7E8B" w:rsidRDefault="001047A4" w:rsidP="00731C26">
      <w:pPr>
        <w:pStyle w:val="SingleTxtG"/>
      </w:pPr>
      <w:r>
        <w:t>4.</w:t>
      </w:r>
      <w:r>
        <w:tab/>
      </w:r>
      <w:r w:rsidR="000E5FF1">
        <w:t xml:space="preserve">Due to the nature of reaction type the formation of gases are not to be expected. Technically in some cases the </w:t>
      </w:r>
      <w:r w:rsidR="00987C24">
        <w:t>monomer</w:t>
      </w:r>
      <w:r w:rsidR="000E5FF1">
        <w:t xml:space="preserve"> mixtures contain </w:t>
      </w:r>
      <w:r w:rsidR="00987C24">
        <w:t xml:space="preserve">isocyanates which react with water (humidity of the surroundings) </w:t>
      </w:r>
      <w:r w:rsidR="00BA7E8B">
        <w:t xml:space="preserve">resulting in </w:t>
      </w:r>
      <w:r w:rsidR="000E5FF1">
        <w:t>the formation of carbon dioxide</w:t>
      </w:r>
      <w:r w:rsidR="00987C24">
        <w:t xml:space="preserve">. This effect is intentionally used to foam the polymer. However, this reaction does not release the gas, as it is used to create the foam and therefore, </w:t>
      </w:r>
      <w:r w:rsidR="00BA7E8B">
        <w:t xml:space="preserve">the gas </w:t>
      </w:r>
      <w:r w:rsidR="00987C24">
        <w:t>is trapped inside the polymer</w:t>
      </w:r>
      <w:r w:rsidR="00BA7E8B">
        <w:t>:</w:t>
      </w:r>
    </w:p>
    <w:p w14:paraId="0FC46324" w14:textId="3C8202E6" w:rsidR="00BA7E8B" w:rsidRDefault="00BA7E8B" w:rsidP="00731C26">
      <w:pPr>
        <w:pStyle w:val="SingleTxtG"/>
      </w:pPr>
      <w:r>
        <w:rPr>
          <w:noProof/>
          <w:lang w:val="de-DE" w:eastAsia="de-DE"/>
        </w:rPr>
        <w:drawing>
          <wp:inline distT="0" distB="0" distL="0" distR="0" wp14:anchorId="3B41604F" wp14:editId="49B153E3">
            <wp:extent cx="4658843" cy="788679"/>
            <wp:effectExtent l="0" t="0" r="8890" b="0"/>
            <wp:docPr id="6" name="Grafik 6" descr="cid:image020.png@01D4E4BE.B87D0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20.png@01D4E4BE.B87D0F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659548" cy="788798"/>
                    </a:xfrm>
                    <a:prstGeom prst="rect">
                      <a:avLst/>
                    </a:prstGeom>
                    <a:noFill/>
                    <a:ln>
                      <a:noFill/>
                    </a:ln>
                  </pic:spPr>
                </pic:pic>
              </a:graphicData>
            </a:graphic>
          </wp:inline>
        </w:drawing>
      </w:r>
    </w:p>
    <w:p w14:paraId="658AFFE3" w14:textId="75F2011D" w:rsidR="009E5E43" w:rsidRDefault="001047A4" w:rsidP="00731C26">
      <w:pPr>
        <w:pStyle w:val="SingleTxtG"/>
      </w:pPr>
      <w:r>
        <w:t>5.</w:t>
      </w:r>
      <w:r>
        <w:tab/>
      </w:r>
      <w:r w:rsidR="00517DA6" w:rsidRPr="007E5760">
        <w:t xml:space="preserve">Isocyanates are </w:t>
      </w:r>
      <w:r w:rsidR="00BA7E8B" w:rsidRPr="007E5760">
        <w:t xml:space="preserve">generally </w:t>
      </w:r>
      <w:r w:rsidR="00AC4B78" w:rsidRPr="007E5760">
        <w:t>not considered polymerizing substances</w:t>
      </w:r>
      <w:r w:rsidR="00BA7E8B" w:rsidRPr="007E5760">
        <w:t xml:space="preserve"> (many of </w:t>
      </w:r>
      <w:r w:rsidR="007E5760" w:rsidRPr="007E5760">
        <w:t>them are</w:t>
      </w:r>
      <w:r w:rsidR="00BA7E8B" w:rsidRPr="007E5760">
        <w:t xml:space="preserve"> </w:t>
      </w:r>
      <w:r w:rsidR="00AC4B78" w:rsidRPr="007E5760">
        <w:t>listed by name</w:t>
      </w:r>
      <w:r w:rsidR="007E5760">
        <w:t xml:space="preserve"> in the Model </w:t>
      </w:r>
      <w:r w:rsidR="00F6628E">
        <w:t>R</w:t>
      </w:r>
      <w:r w:rsidR="007E5760">
        <w:t>egulations</w:t>
      </w:r>
      <w:r w:rsidR="00BA7E8B" w:rsidRPr="007E5760">
        <w:t>)</w:t>
      </w:r>
      <w:r w:rsidR="00AC4B78" w:rsidRPr="007E5760">
        <w:t xml:space="preserve"> because they do</w:t>
      </w:r>
      <w:r w:rsidR="00BE5E81" w:rsidRPr="007E5760">
        <w:t xml:space="preserve"> </w:t>
      </w:r>
      <w:r w:rsidR="00BA7E8B" w:rsidRPr="007E5760">
        <w:t>not</w:t>
      </w:r>
      <w:r w:rsidR="00AC4B78" w:rsidRPr="007E5760">
        <w:t xml:space="preserve"> </w:t>
      </w:r>
      <w:r w:rsidR="00BA7E8B" w:rsidRPr="007E5760">
        <w:t xml:space="preserve">polymerize </w:t>
      </w:r>
      <w:r w:rsidR="009B44F5" w:rsidRPr="007E5760">
        <w:t>by themselves</w:t>
      </w:r>
      <w:r w:rsidR="00AC4B78" w:rsidRPr="007E5760">
        <w:t xml:space="preserve"> but </w:t>
      </w:r>
      <w:r w:rsidR="00BA7E8B" w:rsidRPr="007E5760">
        <w:t xml:space="preserve">need addition of other compounds (such as </w:t>
      </w:r>
      <w:r w:rsidR="00BE5E81" w:rsidRPr="007E5760">
        <w:t>alcohols</w:t>
      </w:r>
      <w:r w:rsidR="00BA7E8B" w:rsidRPr="007E5760">
        <w:t xml:space="preserve"> or amines) to form plastic material</w:t>
      </w:r>
      <w:r w:rsidR="00517DA6" w:rsidRPr="007E5760">
        <w:t>.</w:t>
      </w:r>
    </w:p>
    <w:p w14:paraId="6B35A831" w14:textId="60219943" w:rsidR="0099166D" w:rsidRDefault="001047A4" w:rsidP="006E6FC6">
      <w:pPr>
        <w:pStyle w:val="SingleTxtG"/>
      </w:pPr>
      <w:r>
        <w:t>6</w:t>
      </w:r>
      <w:r w:rsidR="00377A8E">
        <w:t>.</w:t>
      </w:r>
      <w:r w:rsidR="006E6FC6">
        <w:tab/>
      </w:r>
      <w:r w:rsidR="0099166D">
        <w:t xml:space="preserve">The heat of polymerization is released during the creation of the polymer. After the polymerisation has stopped (termination reaction, see above) no further heat is produced. This effect can be seen in the </w:t>
      </w:r>
      <w:r w:rsidR="00F6628E">
        <w:t>differential scanning calorimetry (</w:t>
      </w:r>
      <w:r w:rsidR="0099166D">
        <w:t>DSC</w:t>
      </w:r>
      <w:r w:rsidR="00F6628E">
        <w:t>)</w:t>
      </w:r>
      <w:r w:rsidR="0099166D">
        <w:t xml:space="preserve"> diagrams of the monomer and the polymer. In the monomer the first reaction peak is attributed to the polymerisation reaction and thus this peak is missing in the DSC diagram of the polymer. Therefore, the heat of polymerisation can be determined by comparison of the DSC diagrams of the monomer and polymer. If the heat of polymerisation is less than 500 J/g, a strongly exothermic reaction can be excluded. Therefore, CEFIC proposes to use this as a criterion to exempt small packages of polymerizing substances.</w:t>
      </w:r>
    </w:p>
    <w:p w14:paraId="34D85F6E" w14:textId="0401968E" w:rsidR="0099166D" w:rsidRDefault="001047A4" w:rsidP="0099166D">
      <w:pPr>
        <w:pStyle w:val="SingleTxtG"/>
        <w:ind w:firstLine="6"/>
      </w:pPr>
      <w:r>
        <w:t>7</w:t>
      </w:r>
      <w:r w:rsidR="00377A8E">
        <w:t>.</w:t>
      </w:r>
      <w:r w:rsidR="006E6FC6">
        <w:tab/>
        <w:t>S</w:t>
      </w:r>
      <w:r w:rsidR="0099166D">
        <w:t>mall packages in this context are packages with a net content of less than</w:t>
      </w:r>
      <w:r w:rsidR="00696A72">
        <w:t xml:space="preserve"> or equal to</w:t>
      </w:r>
      <w:r w:rsidR="0099166D">
        <w:t xml:space="preserve"> 50 kg. </w:t>
      </w:r>
      <w:r w:rsidR="00696A72">
        <w:t>Metal packages (e.g. drum and canisters) should be prohibited in order to prevent high confinement.</w:t>
      </w:r>
    </w:p>
    <w:p w14:paraId="26A5FAC4" w14:textId="3C97CD22" w:rsidR="001A581A" w:rsidRDefault="001047A4" w:rsidP="00731C26">
      <w:pPr>
        <w:pStyle w:val="SingleTxtG"/>
      </w:pPr>
      <w:r>
        <w:t>8</w:t>
      </w:r>
      <w:r w:rsidR="005C5AE3">
        <w:t>.</w:t>
      </w:r>
      <w:r w:rsidR="005C5AE3">
        <w:tab/>
      </w:r>
      <w:r w:rsidR="001A581A">
        <w:t xml:space="preserve">In response to the suggested testing for </w:t>
      </w:r>
      <w:r w:rsidR="001A581A" w:rsidRPr="00BB5A7B">
        <w:t xml:space="preserve">the effect of heating under confinement </w:t>
      </w:r>
      <w:r w:rsidR="001A581A">
        <w:t>(</w:t>
      </w:r>
      <w:proofErr w:type="spellStart"/>
      <w:r w:rsidR="001A581A" w:rsidRPr="00BB5A7B">
        <w:t>Koenen</w:t>
      </w:r>
      <w:proofErr w:type="spellEnd"/>
      <w:r w:rsidR="001A581A" w:rsidRPr="00BB5A7B">
        <w:t>-Test</w:t>
      </w:r>
      <w:r w:rsidR="001A581A">
        <w:t>)</w:t>
      </w:r>
      <w:r w:rsidR="001A581A" w:rsidRPr="00BB5A7B">
        <w:t xml:space="preserve">, CEFIC thinks that this test </w:t>
      </w:r>
      <w:r w:rsidR="001A581A">
        <w:t>should</w:t>
      </w:r>
      <w:r w:rsidR="00F6628E">
        <w:t xml:space="preserve"> not</w:t>
      </w:r>
      <w:r w:rsidR="001A581A">
        <w:t xml:space="preserve"> be </w:t>
      </w:r>
      <w:r w:rsidR="001A581A" w:rsidRPr="00BB5A7B">
        <w:t>applied</w:t>
      </w:r>
      <w:r w:rsidR="001A581A">
        <w:t xml:space="preserve"> for small packages for several reasons:</w:t>
      </w:r>
    </w:p>
    <w:p w14:paraId="4891FB75" w14:textId="71ADBBDD" w:rsidR="001A581A" w:rsidRPr="001A581A" w:rsidRDefault="005C5AE3" w:rsidP="00731C26">
      <w:pPr>
        <w:pStyle w:val="SingleTxtG"/>
        <w:ind w:left="1701"/>
      </w:pPr>
      <w:r>
        <w:t>(a)</w:t>
      </w:r>
      <w:r>
        <w:tab/>
      </w:r>
      <w:r w:rsidR="001A581A">
        <w:t>T</w:t>
      </w:r>
      <w:r w:rsidR="001A581A" w:rsidRPr="001A581A">
        <w:t>he products will polymerize in the test apparatus, and as a result, the lab equipment would be damaged beyond repair</w:t>
      </w:r>
      <w:r w:rsidR="00731C26">
        <w:t>;</w:t>
      </w:r>
    </w:p>
    <w:p w14:paraId="23689192" w14:textId="310D0BC4" w:rsidR="001A581A" w:rsidRPr="001A581A" w:rsidRDefault="005C5AE3" w:rsidP="00731C26">
      <w:pPr>
        <w:pStyle w:val="SingleTxtG"/>
        <w:ind w:left="1701"/>
      </w:pPr>
      <w:r>
        <w:t>(b)</w:t>
      </w:r>
      <w:r>
        <w:tab/>
      </w:r>
      <w:r w:rsidR="001A581A" w:rsidRPr="001A581A">
        <w:t>Products of high viscosity will clog the orifice of the test apparatus and lead to a false positive result because of mechanical overpressure and not explosive pressure build-up due to gaseous decomposition products</w:t>
      </w:r>
      <w:r w:rsidR="00731C26">
        <w:t>;</w:t>
      </w:r>
    </w:p>
    <w:p w14:paraId="7DA54E40" w14:textId="5C89290E" w:rsidR="001A581A" w:rsidRPr="001A581A" w:rsidRDefault="005C5AE3" w:rsidP="00731C26">
      <w:pPr>
        <w:pStyle w:val="SingleTxtG"/>
        <w:ind w:left="1701"/>
      </w:pPr>
      <w:r>
        <w:t>(c)</w:t>
      </w:r>
      <w:r>
        <w:tab/>
      </w:r>
      <w:r w:rsidR="001A581A" w:rsidRPr="001A581A">
        <w:t>The proposed criteria rather refer to the damage that the package would suffer itself, so the substance under confinement is taken into account by the tests proposed for this exemption (see 2.4.2.5.3 (b) in the proposal below).</w:t>
      </w:r>
    </w:p>
    <w:p w14:paraId="16306B9D" w14:textId="26A558FC" w:rsidR="002414B0" w:rsidRDefault="001047A4" w:rsidP="00731C26">
      <w:pPr>
        <w:pStyle w:val="SingleTxtG"/>
      </w:pPr>
      <w:r>
        <w:lastRenderedPageBreak/>
        <w:t>9</w:t>
      </w:r>
      <w:r w:rsidR="005C5AE3">
        <w:t>.</w:t>
      </w:r>
      <w:r w:rsidR="005C5AE3">
        <w:tab/>
      </w:r>
      <w:r w:rsidR="00696A72">
        <w:t>Based on the above</w:t>
      </w:r>
      <w:r w:rsidR="00F6628E">
        <w:t>,</w:t>
      </w:r>
      <w:r w:rsidR="00696A72">
        <w:t xml:space="preserve"> </w:t>
      </w:r>
      <w:r w:rsidR="001A581A">
        <w:t>CEFIC</w:t>
      </w:r>
      <w:r w:rsidR="001A581A" w:rsidRPr="00BB5A7B">
        <w:t xml:space="preserve"> suggest</w:t>
      </w:r>
      <w:r w:rsidR="001A581A">
        <w:t>s</w:t>
      </w:r>
      <w:r w:rsidR="001A581A" w:rsidRPr="00BB5A7B">
        <w:t xml:space="preserve"> </w:t>
      </w:r>
      <w:r w:rsidR="00C90796" w:rsidRPr="00BB5A7B">
        <w:t>including</w:t>
      </w:r>
      <w:r w:rsidR="001A581A" w:rsidRPr="00BB5A7B">
        <w:t xml:space="preserve"> an exemption based on the </w:t>
      </w:r>
      <w:r w:rsidR="001A581A">
        <w:t xml:space="preserve">maximum </w:t>
      </w:r>
      <w:r w:rsidR="001A581A" w:rsidRPr="00BB5A7B">
        <w:t>temperature on the surface</w:t>
      </w:r>
      <w:r w:rsidR="00696A72">
        <w:t xml:space="preserve">, the heat of polymerisation </w:t>
      </w:r>
      <w:r w:rsidR="001A581A" w:rsidRPr="00BB5A7B">
        <w:t xml:space="preserve">and </w:t>
      </w:r>
      <w:r w:rsidR="001A581A">
        <w:t xml:space="preserve">criteria for minor damage </w:t>
      </w:r>
      <w:r w:rsidR="001A581A" w:rsidRPr="00BB5A7B">
        <w:t>of the packaging</w:t>
      </w:r>
      <w:r w:rsidR="002414B0">
        <w:t>:</w:t>
      </w:r>
    </w:p>
    <w:p w14:paraId="2E31C2EE" w14:textId="305387E6" w:rsidR="001A581A" w:rsidRPr="00BB5A7B" w:rsidRDefault="001047A4" w:rsidP="00731C26">
      <w:pPr>
        <w:pStyle w:val="SingleTxtG"/>
      </w:pPr>
      <w:r>
        <w:t>10</w:t>
      </w:r>
      <w:r w:rsidR="005C5AE3">
        <w:t>.</w:t>
      </w:r>
      <w:r w:rsidR="005C5AE3">
        <w:tab/>
      </w:r>
      <w:r w:rsidR="00696A72">
        <w:t>As this proposal covers only small packages (≤ 50 kg</w:t>
      </w:r>
      <w:r w:rsidR="00E71852">
        <w:t xml:space="preserve"> net weight</w:t>
      </w:r>
      <w:r w:rsidR="00696A72">
        <w:t xml:space="preserve">) </w:t>
      </w:r>
      <w:r w:rsidR="001A581A" w:rsidRPr="00BB5A7B">
        <w:t xml:space="preserve">IBCs and tanks are excluded from the exemption in the first step, to gain experience. The packages are tested as used for the transport and not combined to a certain amount. </w:t>
      </w:r>
    </w:p>
    <w:p w14:paraId="460FE5A6" w14:textId="77777777" w:rsidR="001A581A" w:rsidRDefault="001A581A" w:rsidP="001A581A">
      <w:pPr>
        <w:pStyle w:val="HChG"/>
        <w:ind w:firstLine="0"/>
      </w:pPr>
      <w:r>
        <w:t>Proposal</w:t>
      </w:r>
    </w:p>
    <w:p w14:paraId="6AE9EC31" w14:textId="0F915FEB" w:rsidR="001A581A" w:rsidRPr="00F936B2" w:rsidRDefault="001047A4" w:rsidP="00731C26">
      <w:pPr>
        <w:pStyle w:val="SingleTxtG"/>
        <w:rPr>
          <w:lang w:val="en-US"/>
        </w:rPr>
      </w:pPr>
      <w:r>
        <w:t>11</w:t>
      </w:r>
      <w:r w:rsidR="005C5AE3">
        <w:t>.</w:t>
      </w:r>
      <w:r w:rsidR="005C5AE3">
        <w:tab/>
      </w:r>
      <w:r w:rsidR="001A581A">
        <w:t xml:space="preserve">In the Model Regulations, insert a new section 2.4.2.5.3 to read </w:t>
      </w:r>
      <w:r w:rsidR="0034413C">
        <w:t>as follows</w:t>
      </w:r>
      <w:r w:rsidR="001A581A">
        <w:t xml:space="preserve">: </w:t>
      </w:r>
    </w:p>
    <w:p w14:paraId="2B16FA4E" w14:textId="755FE3E3" w:rsidR="001A581A" w:rsidRPr="00001482" w:rsidRDefault="001A581A" w:rsidP="00001482">
      <w:pPr>
        <w:pStyle w:val="SingleTxtG"/>
        <w:ind w:left="1701"/>
        <w:rPr>
          <w:lang w:val="en-US"/>
        </w:rPr>
      </w:pPr>
      <w:r w:rsidRPr="00001482">
        <w:rPr>
          <w:iCs/>
        </w:rPr>
        <w:t>“</w:t>
      </w:r>
      <w:r w:rsidR="005C5AE3" w:rsidRPr="00001482">
        <w:rPr>
          <w:iCs/>
        </w:rPr>
        <w:t>2.4.2.5.3</w:t>
      </w:r>
      <w:r w:rsidR="005C5AE3" w:rsidRPr="00001482">
        <w:rPr>
          <w:iCs/>
        </w:rPr>
        <w:tab/>
      </w:r>
      <w:r w:rsidRPr="00001482">
        <w:rPr>
          <w:iCs/>
        </w:rPr>
        <w:t>Any substance packed in small packages</w:t>
      </w:r>
      <w:r w:rsidR="00CD10CD" w:rsidRPr="00001482">
        <w:rPr>
          <w:iCs/>
        </w:rPr>
        <w:t xml:space="preserve"> (≤ 50 kg </w:t>
      </w:r>
      <w:r w:rsidR="00696A72" w:rsidRPr="00001482">
        <w:rPr>
          <w:iCs/>
        </w:rPr>
        <w:t>net</w:t>
      </w:r>
      <w:r w:rsidR="00CD10CD" w:rsidRPr="00001482">
        <w:rPr>
          <w:iCs/>
        </w:rPr>
        <w:t xml:space="preserve"> weight)</w:t>
      </w:r>
      <w:r w:rsidRPr="00001482">
        <w:rPr>
          <w:iCs/>
        </w:rPr>
        <w:t xml:space="preserve"> shall be exempted from classification as a polymerizing substance of Division 4.1 in that package, provided that upon thermal initiation of the polymerization:</w:t>
      </w:r>
    </w:p>
    <w:p w14:paraId="2B8D4865" w14:textId="035659C6" w:rsidR="001A581A" w:rsidRPr="00001482" w:rsidRDefault="001A581A" w:rsidP="00001482">
      <w:pPr>
        <w:pStyle w:val="SingleTxtG"/>
        <w:ind w:left="2268" w:hanging="567"/>
      </w:pPr>
      <w:r w:rsidRPr="00001482">
        <w:t>(a)</w:t>
      </w:r>
      <w:r w:rsidRPr="00001482">
        <w:tab/>
      </w:r>
      <w:r w:rsidR="002643EE" w:rsidRPr="00001482">
        <w:t>No external surface shall have a temperature of more than 65°C. A momentary spike in temperature up to 200°C is acceptable.</w:t>
      </w:r>
    </w:p>
    <w:p w14:paraId="661F1E29" w14:textId="431F3AE1" w:rsidR="001A581A" w:rsidRPr="00001482" w:rsidRDefault="001A581A" w:rsidP="00001482">
      <w:pPr>
        <w:pStyle w:val="SingleTxtG"/>
        <w:ind w:left="2268" w:hanging="567"/>
      </w:pPr>
      <w:r w:rsidRPr="00001482">
        <w:t>(b)</w:t>
      </w:r>
      <w:r w:rsidRPr="00001482">
        <w:tab/>
        <w:t>There is no effect outside the package, except that the package might open without release of its contents</w:t>
      </w:r>
      <w:r w:rsidR="004325EC" w:rsidRPr="00001482">
        <w:t>;</w:t>
      </w:r>
      <w:r w:rsidRPr="00001482">
        <w:t xml:space="preserve"> and</w:t>
      </w:r>
    </w:p>
    <w:p w14:paraId="52D4F212" w14:textId="7FD9D55F" w:rsidR="001A581A" w:rsidRPr="00001482" w:rsidRDefault="001A581A" w:rsidP="00001482">
      <w:pPr>
        <w:pStyle w:val="SingleTxtG"/>
        <w:ind w:left="2268" w:hanging="567"/>
      </w:pPr>
      <w:r w:rsidRPr="00001482">
        <w:t>(c)</w:t>
      </w:r>
      <w:r w:rsidRPr="00001482">
        <w:tab/>
      </w:r>
      <w:r w:rsidR="006E6FC6" w:rsidRPr="00001482">
        <w:t>T</w:t>
      </w:r>
      <w:r w:rsidR="00696A72" w:rsidRPr="00001482">
        <w:t xml:space="preserve">he heat of polymerization </w:t>
      </w:r>
      <w:r w:rsidR="00377A8E" w:rsidRPr="00001482">
        <w:t>is less</w:t>
      </w:r>
      <w:r w:rsidR="00696A72" w:rsidRPr="00001482">
        <w:t xml:space="preserve"> than 500 J/g as de</w:t>
      </w:r>
      <w:r w:rsidR="00377A8E" w:rsidRPr="00001482">
        <w:t>te</w:t>
      </w:r>
      <w:r w:rsidR="00696A72" w:rsidRPr="00001482">
        <w:t xml:space="preserve">rmined by </w:t>
      </w:r>
      <w:r w:rsidR="00377A8E" w:rsidRPr="00001482">
        <w:t>comparison</w:t>
      </w:r>
      <w:r w:rsidR="00696A72" w:rsidRPr="00001482">
        <w:t xml:space="preserve"> of the DSCs of the monomer and the polymer.</w:t>
      </w:r>
    </w:p>
    <w:p w14:paraId="4E577AF3" w14:textId="35F6461F" w:rsidR="001A581A" w:rsidRPr="00001482" w:rsidRDefault="001A581A" w:rsidP="00001482">
      <w:pPr>
        <w:pStyle w:val="SingleTxtG"/>
        <w:tabs>
          <w:tab w:val="left" w:pos="2835"/>
        </w:tabs>
        <w:ind w:left="1701"/>
        <w:rPr>
          <w:lang w:val="en-US"/>
        </w:rPr>
      </w:pPr>
      <w:r w:rsidRPr="00001482">
        <w:rPr>
          <w:lang w:val="en-US"/>
        </w:rPr>
        <w:t>The assessment shall be based on evidence obtained either by experiment in a 1:1 scale on the package size used for transport or by a model derived from experimental kinetic data in consideration of the heat loss of the package.</w:t>
      </w:r>
    </w:p>
    <w:p w14:paraId="35EFC2BE" w14:textId="6F0C8142" w:rsidR="00C90796" w:rsidRPr="007E5760" w:rsidRDefault="00F6628E" w:rsidP="00001482">
      <w:pPr>
        <w:pStyle w:val="SingleTxtG"/>
      </w:pPr>
      <w:r>
        <w:t>12.</w:t>
      </w:r>
      <w:r w:rsidR="00001482">
        <w:tab/>
      </w:r>
      <w:r w:rsidR="00C90796" w:rsidRPr="007E5760">
        <w:t xml:space="preserve">In the Model Regulations, insert a new </w:t>
      </w:r>
      <w:r>
        <w:t>s</w:t>
      </w:r>
      <w:r w:rsidR="00C90796" w:rsidRPr="007E5760">
        <w:t xml:space="preserve">pecial packaging provision </w:t>
      </w:r>
      <w:r>
        <w:t>under</w:t>
      </w:r>
      <w:r w:rsidRPr="007E5760">
        <w:t xml:space="preserve"> </w:t>
      </w:r>
      <w:r w:rsidR="00C90796" w:rsidRPr="007E5760">
        <w:t>P520 to read as follows:</w:t>
      </w:r>
    </w:p>
    <w:p w14:paraId="7696D831" w14:textId="4DEB2E11" w:rsidR="00C90796" w:rsidRPr="00001482" w:rsidRDefault="00F6628E" w:rsidP="00001482">
      <w:pPr>
        <w:pStyle w:val="SingleTxtG"/>
        <w:ind w:left="1701"/>
      </w:pPr>
      <w:r w:rsidRPr="00001482">
        <w:t>“</w:t>
      </w:r>
      <w:r w:rsidR="00C90796" w:rsidRPr="00001482">
        <w:t xml:space="preserve">PPXX: when using the exemption for polymerising substances in small packages, no metal packaging </w:t>
      </w:r>
      <w:r w:rsidR="00377A8E" w:rsidRPr="00001482">
        <w:t>is</w:t>
      </w:r>
      <w:r w:rsidR="00C90796" w:rsidRPr="00001482">
        <w:t xml:space="preserve"> allowed.</w:t>
      </w:r>
      <w:r w:rsidRPr="00001482">
        <w:t>”.</w:t>
      </w:r>
    </w:p>
    <w:p w14:paraId="6F504C65" w14:textId="668C0AA9" w:rsidR="001A581A" w:rsidRDefault="004325EC" w:rsidP="001A581A">
      <w:pPr>
        <w:pStyle w:val="HChG"/>
      </w:pPr>
      <w:r>
        <w:tab/>
      </w:r>
      <w:r w:rsidR="001A581A">
        <w:tab/>
      </w:r>
      <w:r w:rsidR="001A581A" w:rsidRPr="00900504">
        <w:t>Justification</w:t>
      </w:r>
    </w:p>
    <w:p w14:paraId="768FBA18" w14:textId="59491275" w:rsidR="001A581A" w:rsidRPr="00F6628E" w:rsidRDefault="00F6628E" w:rsidP="00F6628E">
      <w:pPr>
        <w:pStyle w:val="SingleTxtG"/>
      </w:pPr>
      <w:r w:rsidRPr="00F6628E">
        <w:t>13</w:t>
      </w:r>
      <w:r w:rsidR="005C5AE3" w:rsidRPr="00F6628E">
        <w:t>.</w:t>
      </w:r>
      <w:r w:rsidR="005C5AE3" w:rsidRPr="00F6628E">
        <w:tab/>
      </w:r>
      <w:r w:rsidR="001A581A" w:rsidRPr="00F6628E">
        <w:t>The above proposed criteria are supported by the following test</w:t>
      </w:r>
      <w:r w:rsidR="00C35597">
        <w:t>:</w:t>
      </w:r>
    </w:p>
    <w:p w14:paraId="02E33138" w14:textId="456AFB65" w:rsidR="001A581A" w:rsidRDefault="001A581A" w:rsidP="00A36313">
      <w:pPr>
        <w:pStyle w:val="SingleTxtG"/>
        <w:ind w:left="1701"/>
      </w:pPr>
      <w:r w:rsidRPr="00731C26">
        <w:t>An epoxy adhesive</w:t>
      </w:r>
      <w:r w:rsidR="00BA7E8B">
        <w:t>,</w:t>
      </w:r>
      <w:r w:rsidRPr="00731C26">
        <w:t xml:space="preserve"> </w:t>
      </w:r>
      <w:r w:rsidR="00BA7E8B">
        <w:t xml:space="preserve">formerly </w:t>
      </w:r>
      <w:r w:rsidRPr="00731C26">
        <w:t xml:space="preserve">classified as UN3240, Self-Reactive Solid Type F, </w:t>
      </w:r>
      <w:r w:rsidR="00731C26">
        <w:t>t</w:t>
      </w:r>
      <w:r w:rsidRPr="00731C26">
        <w:t xml:space="preserve">emperature </w:t>
      </w:r>
      <w:r w:rsidR="00731C26">
        <w:t>c</w:t>
      </w:r>
      <w:r w:rsidRPr="00731C26">
        <w:t>ontrolled, packaged in sheet form with 80 individual sheets with a net weight of 14.56 kg, exhibiting a heat of polymerization of 345</w:t>
      </w:r>
      <w:r w:rsidR="00BA7E8B">
        <w:t xml:space="preserve"> </w:t>
      </w:r>
      <w:r w:rsidRPr="00731C26">
        <w:t xml:space="preserve">J/g determined by </w:t>
      </w:r>
      <w:r w:rsidR="00731C26">
        <w:t>differential sca</w:t>
      </w:r>
      <w:r w:rsidR="0051390D">
        <w:t>nn</w:t>
      </w:r>
      <w:r w:rsidR="00731C26">
        <w:t xml:space="preserve">ing calorimetry </w:t>
      </w:r>
      <w:r w:rsidR="00731C26" w:rsidRPr="00731C26">
        <w:t>(</w:t>
      </w:r>
      <w:r w:rsidRPr="00731C26">
        <w:t>DSC</w:t>
      </w:r>
      <w:r w:rsidR="00731C26" w:rsidRPr="00731C26">
        <w:t>)</w:t>
      </w:r>
      <w:r w:rsidRPr="00731C26">
        <w:t xml:space="preserve">, was determined to have a </w:t>
      </w:r>
      <w:r w:rsidR="00731C26">
        <w:t>Self-accelerating polymerization temperature (</w:t>
      </w:r>
      <w:r w:rsidRPr="00731C26">
        <w:t>SAPT</w:t>
      </w:r>
      <w:r w:rsidR="00731C26">
        <w:t>)</w:t>
      </w:r>
      <w:r w:rsidRPr="00731C26">
        <w:t xml:space="preserve"> of 55 °C. The package exhibited swelling due to the product design which is intended to expand upon curing. </w:t>
      </w:r>
    </w:p>
    <w:p w14:paraId="26CF9F89" w14:textId="6C5E3AB4" w:rsidR="009B44F5" w:rsidRPr="00F6628E" w:rsidRDefault="00F6628E" w:rsidP="00F6628E">
      <w:pPr>
        <w:pStyle w:val="SingleTxtG"/>
      </w:pPr>
      <w:r>
        <w:t>14.</w:t>
      </w:r>
      <w:r>
        <w:tab/>
      </w:r>
      <w:r w:rsidR="009B44F5" w:rsidRPr="00F6628E">
        <w:t xml:space="preserve">The DSC </w:t>
      </w:r>
      <w:r w:rsidR="00F556D3" w:rsidRPr="00F6628E">
        <w:t xml:space="preserve">diagrams </w:t>
      </w:r>
      <w:r w:rsidRPr="00F6628E">
        <w:t xml:space="preserve">for the uncured product </w:t>
      </w:r>
      <w:r w:rsidR="00C35597">
        <w:t>(</w:t>
      </w:r>
      <w:r w:rsidRPr="00F6628E">
        <w:t>showing the polymerization reaction</w:t>
      </w:r>
      <w:r w:rsidR="00C35597">
        <w:t>)</w:t>
      </w:r>
      <w:r w:rsidRPr="00F6628E">
        <w:t xml:space="preserve"> and for the cured product </w:t>
      </w:r>
      <w:r w:rsidR="00C35597">
        <w:t>(</w:t>
      </w:r>
      <w:r w:rsidRPr="00F6628E">
        <w:t>showing the decomposition</w:t>
      </w:r>
      <w:r w:rsidR="00C35597">
        <w:t>)</w:t>
      </w:r>
      <w:r w:rsidRPr="00F6628E">
        <w:t xml:space="preserve"> are</w:t>
      </w:r>
      <w:r w:rsidR="009B44F5" w:rsidRPr="00F6628E">
        <w:t xml:space="preserve"> provided in </w:t>
      </w:r>
      <w:r w:rsidRPr="00F6628E">
        <w:t>informal document</w:t>
      </w:r>
      <w:r w:rsidR="009B44F5" w:rsidRPr="00F6628E">
        <w:t xml:space="preserve"> INF</w:t>
      </w:r>
      <w:r w:rsidRPr="00F6628E">
        <w:t>.6</w:t>
      </w:r>
      <w:r w:rsidR="009B44F5" w:rsidRPr="00F6628E">
        <w:t>.</w:t>
      </w:r>
    </w:p>
    <w:p w14:paraId="12111E43" w14:textId="2132F4A0" w:rsidR="00C90796" w:rsidRPr="007E5760" w:rsidRDefault="00C90796" w:rsidP="00A36313">
      <w:pPr>
        <w:pStyle w:val="SingleTxtG"/>
        <w:ind w:left="1701"/>
        <w:rPr>
          <w:lang w:val="en-US"/>
        </w:rPr>
      </w:pPr>
    </w:p>
    <w:p w14:paraId="08696B36" w14:textId="4F42B1F6" w:rsidR="00C90796" w:rsidRPr="007E5760" w:rsidRDefault="00C90796" w:rsidP="00A36313">
      <w:pPr>
        <w:pStyle w:val="SingleTxtG"/>
        <w:ind w:left="1701"/>
        <w:rPr>
          <w:lang w:val="en-US"/>
        </w:rPr>
      </w:pPr>
    </w:p>
    <w:p w14:paraId="4CB1FED0" w14:textId="77777777" w:rsidR="00C90796" w:rsidRPr="007E5760" w:rsidRDefault="00C90796" w:rsidP="00A36313">
      <w:pPr>
        <w:pStyle w:val="SingleTxtG"/>
        <w:ind w:left="1701"/>
        <w:rPr>
          <w:lang w:val="en-US"/>
        </w:rPr>
      </w:pPr>
    </w:p>
    <w:p w14:paraId="60E3E69E" w14:textId="77777777" w:rsidR="001A581A" w:rsidRDefault="001A581A" w:rsidP="001A581A">
      <w:pPr>
        <w:pStyle w:val="SingleTxtG"/>
        <w:tabs>
          <w:tab w:val="left" w:pos="1985"/>
        </w:tabs>
        <w:jc w:val="left"/>
        <w:rPr>
          <w:lang w:val="en-US"/>
        </w:rPr>
      </w:pPr>
      <w:r w:rsidRPr="00600551">
        <w:rPr>
          <w:noProof/>
          <w:lang w:val="de-DE" w:eastAsia="de-DE"/>
        </w:rPr>
        <w:lastRenderedPageBreak/>
        <w:drawing>
          <wp:inline distT="0" distB="0" distL="0" distR="0" wp14:anchorId="5F4F9757" wp14:editId="15F4D7E8">
            <wp:extent cx="4870450" cy="2276475"/>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screen">
                      <a:extLst>
                        <a:ext uri="{28A0092B-C50C-407E-A947-70E740481C1C}">
                          <a14:useLocalDpi xmlns:a14="http://schemas.microsoft.com/office/drawing/2010/main" val="0"/>
                        </a:ext>
                      </a:extLst>
                    </a:blip>
                    <a:srcRect/>
                    <a:stretch>
                      <a:fillRect/>
                    </a:stretch>
                  </pic:blipFill>
                  <pic:spPr bwMode="auto">
                    <a:xfrm>
                      <a:off x="0" y="0"/>
                      <a:ext cx="4870450" cy="2276475"/>
                    </a:xfrm>
                    <a:prstGeom prst="rect">
                      <a:avLst/>
                    </a:prstGeom>
                    <a:noFill/>
                    <a:ln>
                      <a:noFill/>
                    </a:ln>
                  </pic:spPr>
                </pic:pic>
              </a:graphicData>
            </a:graphic>
          </wp:inline>
        </w:drawing>
      </w:r>
    </w:p>
    <w:p w14:paraId="51FA4423" w14:textId="77777777" w:rsidR="001A581A" w:rsidRDefault="001A581A" w:rsidP="001A581A">
      <w:pPr>
        <w:pStyle w:val="SingleTxtG"/>
        <w:tabs>
          <w:tab w:val="left" w:pos="1701"/>
        </w:tabs>
        <w:rPr>
          <w:b/>
          <w:sz w:val="28"/>
          <w:lang w:val="en-US"/>
        </w:rPr>
      </w:pPr>
      <w:r>
        <w:rPr>
          <w:noProof/>
          <w:lang w:val="de-DE" w:eastAsia="de-DE"/>
        </w:rPr>
        <w:drawing>
          <wp:inline distT="0" distB="0" distL="0" distR="0" wp14:anchorId="0C1BE4FF" wp14:editId="252CD172">
            <wp:extent cx="1928515" cy="1595438"/>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928515" cy="1595438"/>
                    </a:xfrm>
                    <a:prstGeom prst="rect">
                      <a:avLst/>
                    </a:prstGeom>
                    <a:noFill/>
                    <a:ln w="9525">
                      <a:noFill/>
                      <a:miter lim="800000"/>
                      <a:headEnd/>
                      <a:tailEnd/>
                    </a:ln>
                  </pic:spPr>
                </pic:pic>
              </a:graphicData>
            </a:graphic>
          </wp:inline>
        </w:drawing>
      </w:r>
      <w:r>
        <w:rPr>
          <w:b/>
          <w:sz w:val="28"/>
          <w:lang w:val="en-US"/>
        </w:rPr>
        <w:t xml:space="preserve">                </w:t>
      </w:r>
      <w:r>
        <w:rPr>
          <w:noProof/>
          <w:lang w:val="de-DE" w:eastAsia="de-DE"/>
        </w:rPr>
        <w:drawing>
          <wp:inline distT="0" distB="0" distL="0" distR="0" wp14:anchorId="436BCED7" wp14:editId="19EAF270">
            <wp:extent cx="2007878" cy="1657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042200" cy="1685680"/>
                    </a:xfrm>
                    <a:prstGeom prst="rect">
                      <a:avLst/>
                    </a:prstGeom>
                  </pic:spPr>
                </pic:pic>
              </a:graphicData>
            </a:graphic>
          </wp:inline>
        </w:drawing>
      </w:r>
    </w:p>
    <w:p w14:paraId="0914C0DE" w14:textId="7B5B668C" w:rsidR="001A581A" w:rsidRDefault="00F6628E" w:rsidP="001A581A">
      <w:pPr>
        <w:pStyle w:val="SingleTxtG"/>
        <w:rPr>
          <w:lang w:val="en-US"/>
        </w:rPr>
      </w:pPr>
      <w:r>
        <w:rPr>
          <w:lang w:val="en-US"/>
        </w:rPr>
        <w:t>15</w:t>
      </w:r>
      <w:r w:rsidR="00F96E38">
        <w:rPr>
          <w:lang w:val="en-US"/>
        </w:rPr>
        <w:t>.</w:t>
      </w:r>
      <w:r w:rsidR="001A581A">
        <w:rPr>
          <w:lang w:val="en-US"/>
        </w:rPr>
        <w:tab/>
        <w:t xml:space="preserve">Prior to the test, the package had been opened to place the thermocouples into the middle of </w:t>
      </w:r>
      <w:r w:rsidR="001A581A" w:rsidRPr="00BB5A7B">
        <w:t>the</w:t>
      </w:r>
      <w:r w:rsidR="001A581A">
        <w:rPr>
          <w:lang w:val="en-US"/>
        </w:rPr>
        <w:t xml:space="preserve"> material. In spite of this weakening effect, no product could escape, </w:t>
      </w:r>
      <w:r w:rsidR="001A581A" w:rsidRPr="00BE2CF3">
        <w:rPr>
          <w:lang w:val="en-US"/>
        </w:rPr>
        <w:t xml:space="preserve">as it </w:t>
      </w:r>
      <w:r w:rsidR="001A581A">
        <w:rPr>
          <w:lang w:val="en-US"/>
        </w:rPr>
        <w:t>was fully</w:t>
      </w:r>
      <w:r w:rsidR="001A581A" w:rsidRPr="00BE2CF3">
        <w:rPr>
          <w:lang w:val="en-US"/>
        </w:rPr>
        <w:t xml:space="preserve"> </w:t>
      </w:r>
      <w:r w:rsidR="001A581A" w:rsidRPr="00FE0F41">
        <w:rPr>
          <w:lang w:val="en-US"/>
        </w:rPr>
        <w:t>polymerized</w:t>
      </w:r>
      <w:r w:rsidR="001A581A">
        <w:rPr>
          <w:lang w:val="en-US"/>
        </w:rPr>
        <w:t>. The package was not damaged by the heat that developed during the test. Therefore, the criteria that are proposed are fulfilled:</w:t>
      </w:r>
    </w:p>
    <w:p w14:paraId="7C37C96E" w14:textId="4A68EEC5" w:rsidR="001A581A" w:rsidRDefault="001A581A" w:rsidP="001A581A">
      <w:pPr>
        <w:pStyle w:val="SingleTxtG"/>
        <w:ind w:left="1701"/>
      </w:pPr>
      <w:r>
        <w:t>(a)</w:t>
      </w:r>
      <w:r>
        <w:tab/>
      </w:r>
      <w:r w:rsidRPr="00DB2625">
        <w:t xml:space="preserve">The temperature on the surface of the package </w:t>
      </w:r>
      <w:r>
        <w:t>did</w:t>
      </w:r>
      <w:r w:rsidRPr="00DB2625">
        <w:t xml:space="preserve"> not exceed </w:t>
      </w:r>
      <w:r w:rsidR="00696A72">
        <w:t>65</w:t>
      </w:r>
      <w:r w:rsidRPr="00DB2625">
        <w:t xml:space="preserve"> °C, </w:t>
      </w:r>
    </w:p>
    <w:p w14:paraId="0337776D" w14:textId="77777777" w:rsidR="001A581A" w:rsidRDefault="001A581A" w:rsidP="001A581A">
      <w:pPr>
        <w:pStyle w:val="SingleTxtG"/>
        <w:ind w:left="1701"/>
        <w:rPr>
          <w:i/>
        </w:rPr>
      </w:pPr>
      <w:r w:rsidRPr="00DB2625" w:rsidDel="00BF2AD0">
        <w:t>(</w:t>
      </w:r>
      <w:r>
        <w:t>b)</w:t>
      </w:r>
      <w:r>
        <w:tab/>
      </w:r>
      <w:r w:rsidRPr="00DB2625">
        <w:t xml:space="preserve">There </w:t>
      </w:r>
      <w:r>
        <w:t>was</w:t>
      </w:r>
      <w:r w:rsidRPr="00DB2625">
        <w:t xml:space="preserve"> no effect outside the package</w:t>
      </w:r>
      <w:r>
        <w:t xml:space="preserve"> except that the packages might open without release of its contents</w:t>
      </w:r>
      <w:r w:rsidRPr="00BE2CF3">
        <w:rPr>
          <w:i/>
        </w:rPr>
        <w:t>, there is no effect li</w:t>
      </w:r>
      <w:r>
        <w:rPr>
          <w:i/>
        </w:rPr>
        <w:t>ke spillage outside the package and the package itself is not damaged, just open, and</w:t>
      </w:r>
    </w:p>
    <w:p w14:paraId="01ED4AD2" w14:textId="77777777" w:rsidR="001A581A" w:rsidRPr="009D4134" w:rsidRDefault="001A581A" w:rsidP="001A581A">
      <w:pPr>
        <w:pStyle w:val="SingleTxtG"/>
        <w:ind w:left="1701"/>
      </w:pPr>
      <w:r>
        <w:t>(c)</w:t>
      </w:r>
      <w:r>
        <w:tab/>
      </w:r>
      <w:r w:rsidRPr="009D4134">
        <w:t>No gases had been released at all.</w:t>
      </w:r>
    </w:p>
    <w:p w14:paraId="01ACDAB9" w14:textId="7C7A0ADB" w:rsidR="001A581A" w:rsidRDefault="00F6628E" w:rsidP="00C90796">
      <w:pPr>
        <w:pStyle w:val="SingleTxtG"/>
      </w:pPr>
      <w:r>
        <w:rPr>
          <w:lang w:val="en-US"/>
        </w:rPr>
        <w:t>16</w:t>
      </w:r>
      <w:r w:rsidR="001A581A">
        <w:rPr>
          <w:lang w:val="en-US"/>
        </w:rPr>
        <w:t>.</w:t>
      </w:r>
      <w:r w:rsidR="001A581A">
        <w:rPr>
          <w:lang w:val="en-US"/>
        </w:rPr>
        <w:tab/>
      </w:r>
      <w:r w:rsidR="001A581A" w:rsidRPr="005F5FE3">
        <w:rPr>
          <w:lang w:val="en-US"/>
        </w:rPr>
        <w:t>There was also a package tested with only 7 sheets of the above described product. The 7</w:t>
      </w:r>
      <w:r w:rsidR="00731C26">
        <w:rPr>
          <w:lang w:val="en-US"/>
        </w:rPr>
        <w:t>-</w:t>
      </w:r>
      <w:r w:rsidR="001A581A" w:rsidRPr="005F5FE3">
        <w:rPr>
          <w:lang w:val="en-US"/>
        </w:rPr>
        <w:t xml:space="preserve">sheet </w:t>
      </w:r>
      <w:r w:rsidR="001A581A" w:rsidRPr="00BB5A7B">
        <w:t>package</w:t>
      </w:r>
      <w:r w:rsidR="001A581A" w:rsidRPr="005F5FE3">
        <w:rPr>
          <w:lang w:val="en-US"/>
        </w:rPr>
        <w:t xml:space="preserve"> configuration was also tested at 55</w:t>
      </w:r>
      <w:r w:rsidR="001A581A">
        <w:rPr>
          <w:lang w:val="en-US"/>
        </w:rPr>
        <w:t xml:space="preserve"> °</w:t>
      </w:r>
      <w:r w:rsidR="001A581A" w:rsidRPr="005F5FE3">
        <w:rPr>
          <w:lang w:val="en-US"/>
        </w:rPr>
        <w:t>C and that package passed the test. The package never exceeded a 6</w:t>
      </w:r>
      <w:r w:rsidR="001A581A">
        <w:rPr>
          <w:lang w:val="en-US"/>
        </w:rPr>
        <w:t xml:space="preserve"> °C </w:t>
      </w:r>
      <w:r w:rsidR="001A581A" w:rsidRPr="005F5FE3">
        <w:rPr>
          <w:lang w:val="en-US"/>
        </w:rPr>
        <w:t>rise in temperature. There was no change in the package after testing. Therefore, it makes sense for these products, to test the package used for transport instead of a 50 kg package.</w:t>
      </w:r>
    </w:p>
    <w:p w14:paraId="16A2B17C" w14:textId="6D0B899D" w:rsidR="001A581A" w:rsidRPr="001A581A" w:rsidRDefault="001A581A" w:rsidP="001A581A">
      <w:pPr>
        <w:spacing w:before="240"/>
        <w:ind w:left="1134" w:right="1134"/>
        <w:jc w:val="center"/>
        <w:rPr>
          <w:u w:val="single"/>
        </w:rPr>
      </w:pPr>
      <w:r>
        <w:rPr>
          <w:u w:val="single"/>
        </w:rPr>
        <w:tab/>
      </w:r>
      <w:r>
        <w:rPr>
          <w:u w:val="single"/>
        </w:rPr>
        <w:tab/>
      </w:r>
      <w:r>
        <w:rPr>
          <w:u w:val="single"/>
        </w:rPr>
        <w:tab/>
      </w:r>
    </w:p>
    <w:sectPr w:rsidR="001A581A" w:rsidRPr="001A581A" w:rsidSect="00D86516">
      <w:headerReference w:type="even" r:id="rId15"/>
      <w:headerReference w:type="default" r:id="rId16"/>
      <w:footerReference w:type="even" r:id="rId17"/>
      <w:footerReference w:type="default" r:id="rId18"/>
      <w:headerReference w:type="first" r:id="rId19"/>
      <w:footerReference w:type="first" r:id="rId20"/>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A79DE" w14:textId="77777777" w:rsidR="009D1120" w:rsidRDefault="009D1120"/>
  </w:endnote>
  <w:endnote w:type="continuationSeparator" w:id="0">
    <w:p w14:paraId="5AAF7F68" w14:textId="77777777" w:rsidR="009D1120" w:rsidRDefault="009D1120"/>
  </w:endnote>
  <w:endnote w:type="continuationNotice" w:id="1">
    <w:p w14:paraId="325B511E" w14:textId="77777777" w:rsidR="009D1120" w:rsidRDefault="009D11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9184" w14:textId="51DE797B" w:rsidR="00CD10CD" w:rsidRPr="009C67CC" w:rsidRDefault="00CD10CD">
    <w:pPr>
      <w:pStyle w:val="Footer"/>
      <w:rPr>
        <w:b/>
      </w:rPr>
    </w:pPr>
    <w:r w:rsidRPr="009C67CC">
      <w:rPr>
        <w:b/>
      </w:rPr>
      <w:fldChar w:fldCharType="begin"/>
    </w:r>
    <w:r w:rsidRPr="009C67CC">
      <w:rPr>
        <w:b/>
      </w:rPr>
      <w:instrText xml:space="preserve"> PAGE   \* MERGEFORMAT </w:instrText>
    </w:r>
    <w:r w:rsidRPr="009C67CC">
      <w:rPr>
        <w:b/>
      </w:rPr>
      <w:fldChar w:fldCharType="separate"/>
    </w:r>
    <w:r w:rsidR="00BA7E8B">
      <w:rPr>
        <w:b/>
        <w:noProof/>
      </w:rPr>
      <w:t>2</w:t>
    </w:r>
    <w:r w:rsidRPr="009C67CC">
      <w:rPr>
        <w:b/>
        <w:noProof/>
      </w:rPr>
      <w:fldChar w:fldCharType="end"/>
    </w:r>
  </w:p>
  <w:p w14:paraId="73296404" w14:textId="77777777" w:rsidR="00CD10CD" w:rsidRDefault="00CD1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E28F" w14:textId="6B8E688D" w:rsidR="00CD10CD" w:rsidRPr="009D58C1" w:rsidRDefault="00CD10CD">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BA7E8B">
      <w:rPr>
        <w:b/>
        <w:noProof/>
        <w:sz w:val="18"/>
        <w:szCs w:val="18"/>
      </w:rPr>
      <w:t>3</w:t>
    </w:r>
    <w:r w:rsidRPr="009D58C1">
      <w:rPr>
        <w:b/>
        <w:noProof/>
        <w:sz w:val="18"/>
        <w:szCs w:val="18"/>
      </w:rPr>
      <w:fldChar w:fldCharType="end"/>
    </w:r>
  </w:p>
  <w:p w14:paraId="0ABBA8CE" w14:textId="77777777" w:rsidR="00CD10CD" w:rsidRPr="00432CFD" w:rsidRDefault="00CD10CD" w:rsidP="009D58C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4E37C" w14:textId="77777777" w:rsidR="00D051AC" w:rsidRDefault="00D051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4E32" w14:textId="77777777" w:rsidR="009D1120" w:rsidRPr="000B175B" w:rsidRDefault="009D1120" w:rsidP="000B175B">
      <w:pPr>
        <w:tabs>
          <w:tab w:val="right" w:pos="2155"/>
        </w:tabs>
        <w:spacing w:after="80"/>
        <w:ind w:left="680"/>
        <w:rPr>
          <w:u w:val="single"/>
        </w:rPr>
      </w:pPr>
      <w:r>
        <w:rPr>
          <w:u w:val="single"/>
        </w:rPr>
        <w:tab/>
      </w:r>
    </w:p>
  </w:footnote>
  <w:footnote w:type="continuationSeparator" w:id="0">
    <w:p w14:paraId="65CBE571" w14:textId="77777777" w:rsidR="009D1120" w:rsidRPr="00FC68B7" w:rsidRDefault="009D1120" w:rsidP="00FC68B7">
      <w:pPr>
        <w:tabs>
          <w:tab w:val="left" w:pos="2155"/>
        </w:tabs>
        <w:spacing w:after="80"/>
        <w:ind w:left="680"/>
        <w:rPr>
          <w:u w:val="single"/>
        </w:rPr>
      </w:pPr>
      <w:r>
        <w:rPr>
          <w:u w:val="single"/>
        </w:rPr>
        <w:tab/>
      </w:r>
    </w:p>
  </w:footnote>
  <w:footnote w:type="continuationNotice" w:id="1">
    <w:p w14:paraId="3353B4EC" w14:textId="77777777" w:rsidR="009D1120" w:rsidRDefault="009D1120"/>
  </w:footnote>
  <w:footnote w:id="2">
    <w:p w14:paraId="2271FC3A" w14:textId="048EE574" w:rsidR="00CD10CD" w:rsidRPr="001A581A" w:rsidRDefault="00CD10CD" w:rsidP="001A581A">
      <w:pPr>
        <w:pStyle w:val="FootnoteText"/>
        <w:tabs>
          <w:tab w:val="left" w:pos="1418"/>
        </w:tabs>
        <w:ind w:firstLine="0"/>
        <w:rPr>
          <w:lang w:val="fr-CH"/>
        </w:rPr>
      </w:pPr>
      <w:r>
        <w:rPr>
          <w:rStyle w:val="FootnoteReference"/>
        </w:rPr>
        <w:t>*</w:t>
      </w:r>
      <w:r>
        <w:t xml:space="preserve"> </w:t>
      </w:r>
      <w:r>
        <w:tab/>
      </w:r>
      <w:r w:rsidR="00E55D8D">
        <w:rPr>
          <w:lang w:val="en-US"/>
        </w:rPr>
        <w:t xml:space="preserve">In accordance with </w:t>
      </w:r>
      <w:r w:rsidR="00E55D8D" w:rsidRPr="00C77DF8">
        <w:t>the programme</w:t>
      </w:r>
      <w:r w:rsidR="00E55D8D">
        <w:rPr>
          <w:lang w:val="en-US"/>
        </w:rPr>
        <w:t xml:space="preserve"> of work of the Sub-Committee for 2019-2020 approved by the Committee at its ninth session (see ST/SG/AC.10/C.3/108, paragraph 141 and ST/SG/AC.10/46,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98B37" w14:textId="7928E2EE" w:rsidR="00CD10CD" w:rsidRPr="00432CFD" w:rsidRDefault="00CD10CD">
    <w:pPr>
      <w:pStyle w:val="Header"/>
      <w:rPr>
        <w:lang w:val="fr-CH"/>
      </w:rPr>
    </w:pPr>
    <w:r>
      <w:rPr>
        <w:lang w:val="fr-CH"/>
      </w:rPr>
      <w:t>ST/SG/AC.10/C.3/201</w:t>
    </w:r>
    <w:r w:rsidR="006E6FC6">
      <w:rPr>
        <w:lang w:val="fr-CH"/>
      </w:rPr>
      <w:t>9</w:t>
    </w:r>
    <w:r>
      <w:rPr>
        <w:lang w:val="fr-CH"/>
      </w:rPr>
      <w:t>/</w:t>
    </w:r>
    <w:r w:rsidR="00D051AC">
      <w:rPr>
        <w:lang w:val="fr-CH"/>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10980" w14:textId="4F2D9E09" w:rsidR="00CD10CD" w:rsidRPr="009D58C1" w:rsidRDefault="00CD10CD" w:rsidP="009D58C1">
    <w:pPr>
      <w:pStyle w:val="Header"/>
      <w:pBdr>
        <w:bottom w:val="single" w:sz="4" w:space="1" w:color="auto"/>
      </w:pBdr>
      <w:jc w:val="right"/>
      <w:rPr>
        <w:lang w:val="fr-CH"/>
      </w:rPr>
    </w:pPr>
    <w:r>
      <w:rPr>
        <w:lang w:val="fr-CH"/>
      </w:rPr>
      <w:t>ST/SG/AC.10/C.3/201</w:t>
    </w:r>
    <w:r w:rsidR="006E6FC6">
      <w:rPr>
        <w:lang w:val="fr-CH"/>
      </w:rPr>
      <w:t>9</w:t>
    </w:r>
    <w:r>
      <w:rPr>
        <w:lang w:val="fr-CH"/>
      </w:rPr>
      <w:t>/</w:t>
    </w:r>
    <w:r w:rsidR="00D051AC">
      <w:rPr>
        <w:lang w:val="fr-CH"/>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1FD6D" w14:textId="77777777" w:rsidR="00D051AC" w:rsidRDefault="00D05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2202"/>
        </w:tabs>
        <w:ind w:left="220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603E"/>
    <w:multiLevelType w:val="hybridMultilevel"/>
    <w:tmpl w:val="9BCC5204"/>
    <w:lvl w:ilvl="0" w:tplc="EE34E1C4">
      <w:start w:val="1"/>
      <w:numFmt w:val="decimal"/>
      <w:lvlText w:val="(%1)"/>
      <w:lvlJc w:val="left"/>
      <w:pPr>
        <w:ind w:left="2061" w:hanging="360"/>
      </w:pPr>
      <w:rPr>
        <w:rFonts w:hint="default"/>
        <w:i w:val="0"/>
        <w:iCs/>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1" w15:restartNumberingAfterBreak="0">
    <w:nsid w:val="025F367B"/>
    <w:multiLevelType w:val="hybridMultilevel"/>
    <w:tmpl w:val="2500F038"/>
    <w:lvl w:ilvl="0" w:tplc="E02A51C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03627469"/>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089D32B8"/>
    <w:multiLevelType w:val="hybridMultilevel"/>
    <w:tmpl w:val="3CD889FE"/>
    <w:lvl w:ilvl="0" w:tplc="4664D14E">
      <w:start w:val="3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4A6171"/>
    <w:multiLevelType w:val="hybridMultilevel"/>
    <w:tmpl w:val="F572D808"/>
    <w:lvl w:ilvl="0" w:tplc="001C8B80">
      <w:start w:val="1"/>
      <w:numFmt w:val="lowerRoman"/>
      <w:lvlText w:val="(%1)"/>
      <w:lvlJc w:val="left"/>
      <w:pPr>
        <w:ind w:left="1854" w:hanging="360"/>
      </w:pPr>
      <w:rPr>
        <w:rFonts w:hint="default"/>
      </w:r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6DF1450"/>
    <w:multiLevelType w:val="hybridMultilevel"/>
    <w:tmpl w:val="9AFAD11A"/>
    <w:lvl w:ilvl="0" w:tplc="4240DF22">
      <w:start w:val="9"/>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8" w15:restartNumberingAfterBreak="0">
    <w:nsid w:val="175A0F7C"/>
    <w:multiLevelType w:val="hybridMultilevel"/>
    <w:tmpl w:val="926CBC78"/>
    <w:lvl w:ilvl="0" w:tplc="C6C62F08">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9" w15:restartNumberingAfterBreak="0">
    <w:nsid w:val="298F191A"/>
    <w:multiLevelType w:val="hybridMultilevel"/>
    <w:tmpl w:val="2B1ADD9E"/>
    <w:lvl w:ilvl="0" w:tplc="B8BCB884">
      <w:start w:val="9"/>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38A14934"/>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4ABE1E11"/>
    <w:multiLevelType w:val="hybridMultilevel"/>
    <w:tmpl w:val="367EF882"/>
    <w:lvl w:ilvl="0" w:tplc="C59A5018">
      <w:start w:val="9"/>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15:restartNumberingAfterBreak="0">
    <w:nsid w:val="4B8157A2"/>
    <w:multiLevelType w:val="hybridMultilevel"/>
    <w:tmpl w:val="748E0422"/>
    <w:lvl w:ilvl="0" w:tplc="001C8B80">
      <w:start w:val="1"/>
      <w:numFmt w:val="lowerRoman"/>
      <w:lvlText w:val="(%1)"/>
      <w:lvlJc w:val="left"/>
      <w:pPr>
        <w:ind w:left="2934" w:hanging="360"/>
      </w:pPr>
      <w:rPr>
        <w:rFonts w:hint="default"/>
      </w:rPr>
    </w:lvl>
    <w:lvl w:ilvl="1" w:tplc="04070019" w:tentative="1">
      <w:start w:val="1"/>
      <w:numFmt w:val="lowerLetter"/>
      <w:lvlText w:val="%2."/>
      <w:lvlJc w:val="left"/>
      <w:pPr>
        <w:ind w:left="3654" w:hanging="360"/>
      </w:pPr>
    </w:lvl>
    <w:lvl w:ilvl="2" w:tplc="0407001B" w:tentative="1">
      <w:start w:val="1"/>
      <w:numFmt w:val="lowerRoman"/>
      <w:lvlText w:val="%3."/>
      <w:lvlJc w:val="right"/>
      <w:pPr>
        <w:ind w:left="4374" w:hanging="180"/>
      </w:pPr>
    </w:lvl>
    <w:lvl w:ilvl="3" w:tplc="0407000F" w:tentative="1">
      <w:start w:val="1"/>
      <w:numFmt w:val="decimal"/>
      <w:lvlText w:val="%4."/>
      <w:lvlJc w:val="left"/>
      <w:pPr>
        <w:ind w:left="5094" w:hanging="360"/>
      </w:pPr>
    </w:lvl>
    <w:lvl w:ilvl="4" w:tplc="04070019" w:tentative="1">
      <w:start w:val="1"/>
      <w:numFmt w:val="lowerLetter"/>
      <w:lvlText w:val="%5."/>
      <w:lvlJc w:val="left"/>
      <w:pPr>
        <w:ind w:left="5814" w:hanging="360"/>
      </w:pPr>
    </w:lvl>
    <w:lvl w:ilvl="5" w:tplc="0407001B" w:tentative="1">
      <w:start w:val="1"/>
      <w:numFmt w:val="lowerRoman"/>
      <w:lvlText w:val="%6."/>
      <w:lvlJc w:val="right"/>
      <w:pPr>
        <w:ind w:left="6534" w:hanging="180"/>
      </w:pPr>
    </w:lvl>
    <w:lvl w:ilvl="6" w:tplc="0407000F" w:tentative="1">
      <w:start w:val="1"/>
      <w:numFmt w:val="decimal"/>
      <w:lvlText w:val="%7."/>
      <w:lvlJc w:val="left"/>
      <w:pPr>
        <w:ind w:left="7254" w:hanging="360"/>
      </w:pPr>
    </w:lvl>
    <w:lvl w:ilvl="7" w:tplc="04070019" w:tentative="1">
      <w:start w:val="1"/>
      <w:numFmt w:val="lowerLetter"/>
      <w:lvlText w:val="%8."/>
      <w:lvlJc w:val="left"/>
      <w:pPr>
        <w:ind w:left="7974" w:hanging="360"/>
      </w:pPr>
    </w:lvl>
    <w:lvl w:ilvl="8" w:tplc="0407001B" w:tentative="1">
      <w:start w:val="1"/>
      <w:numFmt w:val="lowerRoman"/>
      <w:lvlText w:val="%9."/>
      <w:lvlJc w:val="right"/>
      <w:pPr>
        <w:ind w:left="8694" w:hanging="180"/>
      </w:pPr>
    </w:lvl>
  </w:abstractNum>
  <w:abstractNum w:abstractNumId="24" w15:restartNumberingAfterBreak="0">
    <w:nsid w:val="4CA517BD"/>
    <w:multiLevelType w:val="multilevel"/>
    <w:tmpl w:val="6D30530E"/>
    <w:lvl w:ilvl="0">
      <w:start w:val="1"/>
      <w:numFmt w:val="decimal"/>
      <w:lvlText w:val="%1."/>
      <w:lvlJc w:val="left"/>
      <w:pPr>
        <w:ind w:left="1854" w:hanging="360"/>
      </w:pPr>
    </w:lvl>
    <w:lvl w:ilvl="1">
      <w:start w:val="1"/>
      <w:numFmt w:val="lowerLetter"/>
      <w:lvlText w:val="(%2)"/>
      <w:lvlJc w:val="left"/>
      <w:pPr>
        <w:ind w:left="2574" w:hanging="360"/>
      </w:pPr>
      <w:rPr>
        <w:rFonts w:hint="default"/>
      </w:rPr>
    </w:lvl>
    <w:lvl w:ilvl="2">
      <w:start w:val="2"/>
      <w:numFmt w:val="bullet"/>
      <w:lvlText w:val="-"/>
      <w:lvlJc w:val="left"/>
      <w:pPr>
        <w:ind w:left="3474" w:hanging="360"/>
      </w:pPr>
      <w:rPr>
        <w:rFonts w:ascii="Times New Roman" w:eastAsia="Times New Roman" w:hAnsi="Times New Roman" w:cs="Times New Roman" w:hint="default"/>
      </w:r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25" w15:restartNumberingAfterBreak="0">
    <w:nsid w:val="4E76534F"/>
    <w:multiLevelType w:val="hybridMultilevel"/>
    <w:tmpl w:val="A572AA9C"/>
    <w:lvl w:ilvl="0" w:tplc="F0DCCFB0">
      <w:start w:val="1"/>
      <w:numFmt w:val="lowerLetter"/>
      <w:lvlText w:val="(%1)"/>
      <w:lvlJc w:val="left"/>
      <w:pPr>
        <w:ind w:left="257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6C05CE0"/>
    <w:multiLevelType w:val="hybridMultilevel"/>
    <w:tmpl w:val="E51CF2DE"/>
    <w:lvl w:ilvl="0" w:tplc="AC8037B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3F5FD1"/>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15:restartNumberingAfterBreak="0">
    <w:nsid w:val="735F448C"/>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BF2387B"/>
    <w:multiLevelType w:val="hybridMultilevel"/>
    <w:tmpl w:val="32DEDAE0"/>
    <w:lvl w:ilvl="0" w:tplc="76984B1E">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7C232A02"/>
    <w:multiLevelType w:val="hybridMultilevel"/>
    <w:tmpl w:val="6D30530E"/>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6"/>
  </w:num>
  <w:num w:numId="13">
    <w:abstractNumId w:val="13"/>
  </w:num>
  <w:num w:numId="14">
    <w:abstractNumId w:val="28"/>
  </w:num>
  <w:num w:numId="15">
    <w:abstractNumId w:val="31"/>
  </w:num>
  <w:num w:numId="16">
    <w:abstractNumId w:val="20"/>
  </w:num>
  <w:num w:numId="17">
    <w:abstractNumId w:val="30"/>
  </w:num>
  <w:num w:numId="18">
    <w:abstractNumId w:val="15"/>
  </w:num>
  <w:num w:numId="19">
    <w:abstractNumId w:val="22"/>
  </w:num>
  <w:num w:numId="20">
    <w:abstractNumId w:val="29"/>
  </w:num>
  <w:num w:numId="21">
    <w:abstractNumId w:val="33"/>
  </w:num>
  <w:num w:numId="22">
    <w:abstractNumId w:val="21"/>
  </w:num>
  <w:num w:numId="23">
    <w:abstractNumId w:val="24"/>
  </w:num>
  <w:num w:numId="24">
    <w:abstractNumId w:val="23"/>
  </w:num>
  <w:num w:numId="25">
    <w:abstractNumId w:val="25"/>
  </w:num>
  <w:num w:numId="26">
    <w:abstractNumId w:val="12"/>
  </w:num>
  <w:num w:numId="27">
    <w:abstractNumId w:val="17"/>
  </w:num>
  <w:num w:numId="28">
    <w:abstractNumId w:val="14"/>
  </w:num>
  <w:num w:numId="29">
    <w:abstractNumId w:val="19"/>
  </w:num>
  <w:num w:numId="30">
    <w:abstractNumId w:val="18"/>
  </w:num>
  <w:num w:numId="31">
    <w:abstractNumId w:val="32"/>
  </w:num>
  <w:num w:numId="32">
    <w:abstractNumId w:val="26"/>
  </w:num>
  <w:num w:numId="33">
    <w:abstractNumId w:val="11"/>
  </w:num>
  <w:num w:numId="34">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482"/>
    <w:rsid w:val="00001E98"/>
    <w:rsid w:val="0000447A"/>
    <w:rsid w:val="00010403"/>
    <w:rsid w:val="00010840"/>
    <w:rsid w:val="000115A4"/>
    <w:rsid w:val="000134CF"/>
    <w:rsid w:val="00014BA7"/>
    <w:rsid w:val="00021A34"/>
    <w:rsid w:val="000230A1"/>
    <w:rsid w:val="00025E4D"/>
    <w:rsid w:val="00026046"/>
    <w:rsid w:val="0002626C"/>
    <w:rsid w:val="00027FBE"/>
    <w:rsid w:val="00030CFD"/>
    <w:rsid w:val="00031FF3"/>
    <w:rsid w:val="00034B57"/>
    <w:rsid w:val="00037FD8"/>
    <w:rsid w:val="00044B65"/>
    <w:rsid w:val="00044DE9"/>
    <w:rsid w:val="00050F6B"/>
    <w:rsid w:val="00051062"/>
    <w:rsid w:val="00052876"/>
    <w:rsid w:val="000540AC"/>
    <w:rsid w:val="00056542"/>
    <w:rsid w:val="00060E74"/>
    <w:rsid w:val="00062F47"/>
    <w:rsid w:val="00064A74"/>
    <w:rsid w:val="00066A19"/>
    <w:rsid w:val="000675CC"/>
    <w:rsid w:val="00071BCB"/>
    <w:rsid w:val="00072C8C"/>
    <w:rsid w:val="0007360D"/>
    <w:rsid w:val="000737C7"/>
    <w:rsid w:val="00074065"/>
    <w:rsid w:val="000809F3"/>
    <w:rsid w:val="00080A0C"/>
    <w:rsid w:val="00086FBE"/>
    <w:rsid w:val="000900D2"/>
    <w:rsid w:val="00091419"/>
    <w:rsid w:val="000931C0"/>
    <w:rsid w:val="00094B11"/>
    <w:rsid w:val="000A25EF"/>
    <w:rsid w:val="000A47C9"/>
    <w:rsid w:val="000A57F2"/>
    <w:rsid w:val="000B0A3E"/>
    <w:rsid w:val="000B175B"/>
    <w:rsid w:val="000B3A0F"/>
    <w:rsid w:val="000C0BD8"/>
    <w:rsid w:val="000C52A3"/>
    <w:rsid w:val="000C633A"/>
    <w:rsid w:val="000C7CC1"/>
    <w:rsid w:val="000D21CE"/>
    <w:rsid w:val="000D2DB2"/>
    <w:rsid w:val="000D5F16"/>
    <w:rsid w:val="000E0415"/>
    <w:rsid w:val="000E2643"/>
    <w:rsid w:val="000E5FF1"/>
    <w:rsid w:val="000F2380"/>
    <w:rsid w:val="000F5031"/>
    <w:rsid w:val="00100242"/>
    <w:rsid w:val="001047A4"/>
    <w:rsid w:val="00105D5C"/>
    <w:rsid w:val="0010735D"/>
    <w:rsid w:val="00115198"/>
    <w:rsid w:val="00117787"/>
    <w:rsid w:val="00130B2B"/>
    <w:rsid w:val="00131714"/>
    <w:rsid w:val="00131767"/>
    <w:rsid w:val="00131D42"/>
    <w:rsid w:val="001329B7"/>
    <w:rsid w:val="00134644"/>
    <w:rsid w:val="001359E2"/>
    <w:rsid w:val="001415AC"/>
    <w:rsid w:val="00141AC5"/>
    <w:rsid w:val="0014274C"/>
    <w:rsid w:val="00144544"/>
    <w:rsid w:val="0014749F"/>
    <w:rsid w:val="00147BFD"/>
    <w:rsid w:val="00150A37"/>
    <w:rsid w:val="0015390C"/>
    <w:rsid w:val="001559C5"/>
    <w:rsid w:val="00155A9F"/>
    <w:rsid w:val="00156941"/>
    <w:rsid w:val="0016239A"/>
    <w:rsid w:val="001633FB"/>
    <w:rsid w:val="001860B4"/>
    <w:rsid w:val="00186AE8"/>
    <w:rsid w:val="0018709C"/>
    <w:rsid w:val="00191FC2"/>
    <w:rsid w:val="00193025"/>
    <w:rsid w:val="001A08B8"/>
    <w:rsid w:val="001A0D51"/>
    <w:rsid w:val="001A543B"/>
    <w:rsid w:val="001A581A"/>
    <w:rsid w:val="001B1A57"/>
    <w:rsid w:val="001B4B04"/>
    <w:rsid w:val="001C08BC"/>
    <w:rsid w:val="001C3F03"/>
    <w:rsid w:val="001C4992"/>
    <w:rsid w:val="001C6663"/>
    <w:rsid w:val="001C70FB"/>
    <w:rsid w:val="001C7895"/>
    <w:rsid w:val="001D029A"/>
    <w:rsid w:val="001D26DF"/>
    <w:rsid w:val="001D2FDC"/>
    <w:rsid w:val="001D510E"/>
    <w:rsid w:val="001D5121"/>
    <w:rsid w:val="001D5BCE"/>
    <w:rsid w:val="001E5B82"/>
    <w:rsid w:val="001F7DAC"/>
    <w:rsid w:val="00202885"/>
    <w:rsid w:val="00204D75"/>
    <w:rsid w:val="002054BE"/>
    <w:rsid w:val="0020640F"/>
    <w:rsid w:val="00211E0B"/>
    <w:rsid w:val="00212046"/>
    <w:rsid w:val="002213FA"/>
    <w:rsid w:val="0022446F"/>
    <w:rsid w:val="002262D3"/>
    <w:rsid w:val="002309A7"/>
    <w:rsid w:val="00230CED"/>
    <w:rsid w:val="00230F2E"/>
    <w:rsid w:val="00235937"/>
    <w:rsid w:val="00235CD8"/>
    <w:rsid w:val="002370FA"/>
    <w:rsid w:val="00237785"/>
    <w:rsid w:val="00241466"/>
    <w:rsid w:val="002414B0"/>
    <w:rsid w:val="002417A0"/>
    <w:rsid w:val="0024188D"/>
    <w:rsid w:val="00244BA0"/>
    <w:rsid w:val="00253374"/>
    <w:rsid w:val="002568BA"/>
    <w:rsid w:val="002643EE"/>
    <w:rsid w:val="00265251"/>
    <w:rsid w:val="00265A8C"/>
    <w:rsid w:val="00271844"/>
    <w:rsid w:val="00271FD4"/>
    <w:rsid w:val="002725CA"/>
    <w:rsid w:val="00273765"/>
    <w:rsid w:val="00276796"/>
    <w:rsid w:val="0027776D"/>
    <w:rsid w:val="002807B9"/>
    <w:rsid w:val="00280EB7"/>
    <w:rsid w:val="00283B0C"/>
    <w:rsid w:val="002845E7"/>
    <w:rsid w:val="00285581"/>
    <w:rsid w:val="00287C9D"/>
    <w:rsid w:val="00291742"/>
    <w:rsid w:val="00297FDB"/>
    <w:rsid w:val="002A2457"/>
    <w:rsid w:val="002A3034"/>
    <w:rsid w:val="002A60CE"/>
    <w:rsid w:val="002A60F8"/>
    <w:rsid w:val="002A6E0B"/>
    <w:rsid w:val="002A7BC0"/>
    <w:rsid w:val="002B1A41"/>
    <w:rsid w:val="002B1CDA"/>
    <w:rsid w:val="002B26CF"/>
    <w:rsid w:val="002B37F5"/>
    <w:rsid w:val="002C56EC"/>
    <w:rsid w:val="002C638D"/>
    <w:rsid w:val="002D027D"/>
    <w:rsid w:val="002D19D2"/>
    <w:rsid w:val="002D30CC"/>
    <w:rsid w:val="002D767C"/>
    <w:rsid w:val="002E0A46"/>
    <w:rsid w:val="002E10DE"/>
    <w:rsid w:val="002E1F2B"/>
    <w:rsid w:val="002F0ACF"/>
    <w:rsid w:val="002F7AAF"/>
    <w:rsid w:val="002F7F51"/>
    <w:rsid w:val="00301F46"/>
    <w:rsid w:val="003107FA"/>
    <w:rsid w:val="00316CDE"/>
    <w:rsid w:val="003229D8"/>
    <w:rsid w:val="00323B8F"/>
    <w:rsid w:val="0034413C"/>
    <w:rsid w:val="00350C40"/>
    <w:rsid w:val="00363CCA"/>
    <w:rsid w:val="00364DED"/>
    <w:rsid w:val="00374AA4"/>
    <w:rsid w:val="00376216"/>
    <w:rsid w:val="0037785D"/>
    <w:rsid w:val="00377A8E"/>
    <w:rsid w:val="00381151"/>
    <w:rsid w:val="00383CC3"/>
    <w:rsid w:val="0039277A"/>
    <w:rsid w:val="003972E0"/>
    <w:rsid w:val="0039791F"/>
    <w:rsid w:val="003A2736"/>
    <w:rsid w:val="003A4A7A"/>
    <w:rsid w:val="003B5E83"/>
    <w:rsid w:val="003C247C"/>
    <w:rsid w:val="003C2CC4"/>
    <w:rsid w:val="003D4B23"/>
    <w:rsid w:val="003E5E81"/>
    <w:rsid w:val="003F347E"/>
    <w:rsid w:val="003F66B7"/>
    <w:rsid w:val="004028F0"/>
    <w:rsid w:val="0041748B"/>
    <w:rsid w:val="004227F2"/>
    <w:rsid w:val="0042740D"/>
    <w:rsid w:val="00430BC1"/>
    <w:rsid w:val="004325CB"/>
    <w:rsid w:val="004325EC"/>
    <w:rsid w:val="00432CFD"/>
    <w:rsid w:val="00434D54"/>
    <w:rsid w:val="00437F3F"/>
    <w:rsid w:val="00443E7D"/>
    <w:rsid w:val="004444D3"/>
    <w:rsid w:val="00445784"/>
    <w:rsid w:val="00446DE4"/>
    <w:rsid w:val="00447A01"/>
    <w:rsid w:val="00454036"/>
    <w:rsid w:val="00454348"/>
    <w:rsid w:val="00457ED8"/>
    <w:rsid w:val="00462EB7"/>
    <w:rsid w:val="00463344"/>
    <w:rsid w:val="00471D64"/>
    <w:rsid w:val="0047206D"/>
    <w:rsid w:val="00474B1C"/>
    <w:rsid w:val="0048040E"/>
    <w:rsid w:val="004815BC"/>
    <w:rsid w:val="00486F0C"/>
    <w:rsid w:val="004906B4"/>
    <w:rsid w:val="00495374"/>
    <w:rsid w:val="004A411D"/>
    <w:rsid w:val="004A72B1"/>
    <w:rsid w:val="004B2C9D"/>
    <w:rsid w:val="004B4C10"/>
    <w:rsid w:val="004C008C"/>
    <w:rsid w:val="004C3287"/>
    <w:rsid w:val="004C5AF0"/>
    <w:rsid w:val="004C6CF4"/>
    <w:rsid w:val="004D0FBF"/>
    <w:rsid w:val="004D4698"/>
    <w:rsid w:val="004E2C23"/>
    <w:rsid w:val="004E4B6B"/>
    <w:rsid w:val="004E795A"/>
    <w:rsid w:val="004F3884"/>
    <w:rsid w:val="00503B9C"/>
    <w:rsid w:val="00505366"/>
    <w:rsid w:val="005123DA"/>
    <w:rsid w:val="0051390D"/>
    <w:rsid w:val="00515F83"/>
    <w:rsid w:val="00516993"/>
    <w:rsid w:val="00517A3F"/>
    <w:rsid w:val="00517DA6"/>
    <w:rsid w:val="005203EB"/>
    <w:rsid w:val="00522D44"/>
    <w:rsid w:val="00524600"/>
    <w:rsid w:val="00527910"/>
    <w:rsid w:val="00532908"/>
    <w:rsid w:val="00534DA8"/>
    <w:rsid w:val="005420F2"/>
    <w:rsid w:val="00547520"/>
    <w:rsid w:val="00553BE1"/>
    <w:rsid w:val="00553F25"/>
    <w:rsid w:val="00555BB3"/>
    <w:rsid w:val="005616F9"/>
    <w:rsid w:val="00572388"/>
    <w:rsid w:val="005725A0"/>
    <w:rsid w:val="0057266D"/>
    <w:rsid w:val="00573567"/>
    <w:rsid w:val="00574827"/>
    <w:rsid w:val="005802FE"/>
    <w:rsid w:val="00581D79"/>
    <w:rsid w:val="005872A8"/>
    <w:rsid w:val="00590144"/>
    <w:rsid w:val="005962B5"/>
    <w:rsid w:val="00596AFB"/>
    <w:rsid w:val="005A4D8F"/>
    <w:rsid w:val="005A585F"/>
    <w:rsid w:val="005A58DB"/>
    <w:rsid w:val="005B3DB3"/>
    <w:rsid w:val="005C5058"/>
    <w:rsid w:val="005C5AE3"/>
    <w:rsid w:val="005C67A3"/>
    <w:rsid w:val="005D1CA6"/>
    <w:rsid w:val="005D476B"/>
    <w:rsid w:val="005D5296"/>
    <w:rsid w:val="005D5E45"/>
    <w:rsid w:val="005E0F7B"/>
    <w:rsid w:val="005E482E"/>
    <w:rsid w:val="005E5BFE"/>
    <w:rsid w:val="005F16B8"/>
    <w:rsid w:val="00601025"/>
    <w:rsid w:val="006014D2"/>
    <w:rsid w:val="006033C3"/>
    <w:rsid w:val="00606BD8"/>
    <w:rsid w:val="006119AE"/>
    <w:rsid w:val="00611FC4"/>
    <w:rsid w:val="0061691B"/>
    <w:rsid w:val="006176FB"/>
    <w:rsid w:val="0063419C"/>
    <w:rsid w:val="00640B26"/>
    <w:rsid w:val="00641CE9"/>
    <w:rsid w:val="006420B1"/>
    <w:rsid w:val="00643F7D"/>
    <w:rsid w:val="006500BA"/>
    <w:rsid w:val="00650DBA"/>
    <w:rsid w:val="006612FE"/>
    <w:rsid w:val="00663B47"/>
    <w:rsid w:val="00675EEF"/>
    <w:rsid w:val="006804E7"/>
    <w:rsid w:val="00680EC5"/>
    <w:rsid w:val="00681546"/>
    <w:rsid w:val="00681628"/>
    <w:rsid w:val="00681744"/>
    <w:rsid w:val="0068403D"/>
    <w:rsid w:val="00684E8C"/>
    <w:rsid w:val="00687D2F"/>
    <w:rsid w:val="0069492F"/>
    <w:rsid w:val="0069552B"/>
    <w:rsid w:val="00696595"/>
    <w:rsid w:val="00696A72"/>
    <w:rsid w:val="00697525"/>
    <w:rsid w:val="006A3BD5"/>
    <w:rsid w:val="006A5661"/>
    <w:rsid w:val="006A7392"/>
    <w:rsid w:val="006B7933"/>
    <w:rsid w:val="006C0D34"/>
    <w:rsid w:val="006C1CA0"/>
    <w:rsid w:val="006C7E11"/>
    <w:rsid w:val="006D247B"/>
    <w:rsid w:val="006D5191"/>
    <w:rsid w:val="006E31BF"/>
    <w:rsid w:val="006E564B"/>
    <w:rsid w:val="006E6FBD"/>
    <w:rsid w:val="006E6FC6"/>
    <w:rsid w:val="006F4D74"/>
    <w:rsid w:val="006F4ED5"/>
    <w:rsid w:val="007012C4"/>
    <w:rsid w:val="0070311F"/>
    <w:rsid w:val="00704A7F"/>
    <w:rsid w:val="00704F3F"/>
    <w:rsid w:val="007102D9"/>
    <w:rsid w:val="00712FCE"/>
    <w:rsid w:val="0071747D"/>
    <w:rsid w:val="00721A06"/>
    <w:rsid w:val="007227B6"/>
    <w:rsid w:val="00725848"/>
    <w:rsid w:val="0072632A"/>
    <w:rsid w:val="007267E0"/>
    <w:rsid w:val="0073039D"/>
    <w:rsid w:val="007319D5"/>
    <w:rsid w:val="00731BEA"/>
    <w:rsid w:val="00731C26"/>
    <w:rsid w:val="007348BB"/>
    <w:rsid w:val="00741915"/>
    <w:rsid w:val="0075116C"/>
    <w:rsid w:val="00753201"/>
    <w:rsid w:val="007548D5"/>
    <w:rsid w:val="007612E0"/>
    <w:rsid w:val="00761389"/>
    <w:rsid w:val="00762706"/>
    <w:rsid w:val="007665DE"/>
    <w:rsid w:val="00771113"/>
    <w:rsid w:val="007713F2"/>
    <w:rsid w:val="00775393"/>
    <w:rsid w:val="00776CA4"/>
    <w:rsid w:val="00777356"/>
    <w:rsid w:val="00780921"/>
    <w:rsid w:val="0078270D"/>
    <w:rsid w:val="007857CD"/>
    <w:rsid w:val="00790791"/>
    <w:rsid w:val="00791404"/>
    <w:rsid w:val="00791FA9"/>
    <w:rsid w:val="007947F2"/>
    <w:rsid w:val="007A66B2"/>
    <w:rsid w:val="007B6BA5"/>
    <w:rsid w:val="007B6FE6"/>
    <w:rsid w:val="007C3390"/>
    <w:rsid w:val="007C4F4B"/>
    <w:rsid w:val="007E3A92"/>
    <w:rsid w:val="007E51DE"/>
    <w:rsid w:val="007E5760"/>
    <w:rsid w:val="007F25B3"/>
    <w:rsid w:val="007F28CB"/>
    <w:rsid w:val="007F6611"/>
    <w:rsid w:val="00800138"/>
    <w:rsid w:val="0080387F"/>
    <w:rsid w:val="008041BA"/>
    <w:rsid w:val="00811614"/>
    <w:rsid w:val="008124A5"/>
    <w:rsid w:val="008129F0"/>
    <w:rsid w:val="008175E9"/>
    <w:rsid w:val="008213BB"/>
    <w:rsid w:val="00821946"/>
    <w:rsid w:val="00822225"/>
    <w:rsid w:val="008242D7"/>
    <w:rsid w:val="0083337A"/>
    <w:rsid w:val="00841A1B"/>
    <w:rsid w:val="00841AB4"/>
    <w:rsid w:val="00846136"/>
    <w:rsid w:val="00853FAE"/>
    <w:rsid w:val="008548B3"/>
    <w:rsid w:val="008554E7"/>
    <w:rsid w:val="00855967"/>
    <w:rsid w:val="00861ACC"/>
    <w:rsid w:val="00866523"/>
    <w:rsid w:val="00871F18"/>
    <w:rsid w:val="00871FD5"/>
    <w:rsid w:val="00874782"/>
    <w:rsid w:val="00874C3C"/>
    <w:rsid w:val="00880DE7"/>
    <w:rsid w:val="008828E0"/>
    <w:rsid w:val="00884B25"/>
    <w:rsid w:val="00885E87"/>
    <w:rsid w:val="00887213"/>
    <w:rsid w:val="008876A7"/>
    <w:rsid w:val="00893828"/>
    <w:rsid w:val="008947E2"/>
    <w:rsid w:val="00894C13"/>
    <w:rsid w:val="008979B1"/>
    <w:rsid w:val="008A1350"/>
    <w:rsid w:val="008A29F7"/>
    <w:rsid w:val="008A5C06"/>
    <w:rsid w:val="008A6B25"/>
    <w:rsid w:val="008A6B52"/>
    <w:rsid w:val="008A6C4F"/>
    <w:rsid w:val="008B174F"/>
    <w:rsid w:val="008C0C4E"/>
    <w:rsid w:val="008C3133"/>
    <w:rsid w:val="008C4A16"/>
    <w:rsid w:val="008C518D"/>
    <w:rsid w:val="008C7398"/>
    <w:rsid w:val="008D16E8"/>
    <w:rsid w:val="008D16EF"/>
    <w:rsid w:val="008D5AB6"/>
    <w:rsid w:val="008D67AF"/>
    <w:rsid w:val="008D6FE1"/>
    <w:rsid w:val="008D713B"/>
    <w:rsid w:val="008D7973"/>
    <w:rsid w:val="008D7AB3"/>
    <w:rsid w:val="008E0E46"/>
    <w:rsid w:val="008E3B3C"/>
    <w:rsid w:val="008E5E1A"/>
    <w:rsid w:val="008F596C"/>
    <w:rsid w:val="008F671F"/>
    <w:rsid w:val="009019F7"/>
    <w:rsid w:val="00904592"/>
    <w:rsid w:val="00910F3B"/>
    <w:rsid w:val="009128F8"/>
    <w:rsid w:val="0091444D"/>
    <w:rsid w:val="00915A89"/>
    <w:rsid w:val="00916F49"/>
    <w:rsid w:val="009213A3"/>
    <w:rsid w:val="0092169C"/>
    <w:rsid w:val="00921A36"/>
    <w:rsid w:val="00921FDE"/>
    <w:rsid w:val="00924C9C"/>
    <w:rsid w:val="00927142"/>
    <w:rsid w:val="0093272D"/>
    <w:rsid w:val="009338EE"/>
    <w:rsid w:val="009346DE"/>
    <w:rsid w:val="00940479"/>
    <w:rsid w:val="0094213D"/>
    <w:rsid w:val="00943B65"/>
    <w:rsid w:val="00945553"/>
    <w:rsid w:val="00945A5D"/>
    <w:rsid w:val="009502B6"/>
    <w:rsid w:val="00953FD3"/>
    <w:rsid w:val="00956CAD"/>
    <w:rsid w:val="00957C6D"/>
    <w:rsid w:val="00963CBA"/>
    <w:rsid w:val="00964B10"/>
    <w:rsid w:val="00967AC9"/>
    <w:rsid w:val="00971136"/>
    <w:rsid w:val="009815DF"/>
    <w:rsid w:val="009848AB"/>
    <w:rsid w:val="00987C24"/>
    <w:rsid w:val="00987E8A"/>
    <w:rsid w:val="00987EBF"/>
    <w:rsid w:val="0099124E"/>
    <w:rsid w:val="00991261"/>
    <w:rsid w:val="0099166D"/>
    <w:rsid w:val="00992985"/>
    <w:rsid w:val="0099483C"/>
    <w:rsid w:val="009967A1"/>
    <w:rsid w:val="009A3CB7"/>
    <w:rsid w:val="009A478E"/>
    <w:rsid w:val="009A681A"/>
    <w:rsid w:val="009B007F"/>
    <w:rsid w:val="009B0ED1"/>
    <w:rsid w:val="009B35D8"/>
    <w:rsid w:val="009B3CAF"/>
    <w:rsid w:val="009B44F5"/>
    <w:rsid w:val="009B47DE"/>
    <w:rsid w:val="009C25D5"/>
    <w:rsid w:val="009C2953"/>
    <w:rsid w:val="009C3671"/>
    <w:rsid w:val="009C46C7"/>
    <w:rsid w:val="009C67CC"/>
    <w:rsid w:val="009C767D"/>
    <w:rsid w:val="009D1120"/>
    <w:rsid w:val="009D58C1"/>
    <w:rsid w:val="009E5E43"/>
    <w:rsid w:val="009F0F06"/>
    <w:rsid w:val="00A04323"/>
    <w:rsid w:val="00A06582"/>
    <w:rsid w:val="00A065BA"/>
    <w:rsid w:val="00A120B4"/>
    <w:rsid w:val="00A13C36"/>
    <w:rsid w:val="00A1427D"/>
    <w:rsid w:val="00A16D4D"/>
    <w:rsid w:val="00A176C2"/>
    <w:rsid w:val="00A22DA5"/>
    <w:rsid w:val="00A23130"/>
    <w:rsid w:val="00A23A0D"/>
    <w:rsid w:val="00A250A4"/>
    <w:rsid w:val="00A27434"/>
    <w:rsid w:val="00A27707"/>
    <w:rsid w:val="00A36313"/>
    <w:rsid w:val="00A37F8B"/>
    <w:rsid w:val="00A40024"/>
    <w:rsid w:val="00A47B65"/>
    <w:rsid w:val="00A60EB5"/>
    <w:rsid w:val="00A62DE3"/>
    <w:rsid w:val="00A67BA6"/>
    <w:rsid w:val="00A72F22"/>
    <w:rsid w:val="00A7341F"/>
    <w:rsid w:val="00A748A6"/>
    <w:rsid w:val="00A74F3D"/>
    <w:rsid w:val="00A75EC9"/>
    <w:rsid w:val="00A879A4"/>
    <w:rsid w:val="00AA2C89"/>
    <w:rsid w:val="00AA7910"/>
    <w:rsid w:val="00AB48E3"/>
    <w:rsid w:val="00AB521F"/>
    <w:rsid w:val="00AB79D3"/>
    <w:rsid w:val="00AC1947"/>
    <w:rsid w:val="00AC47CB"/>
    <w:rsid w:val="00AC4B78"/>
    <w:rsid w:val="00AC71C1"/>
    <w:rsid w:val="00AD06C7"/>
    <w:rsid w:val="00AD29A4"/>
    <w:rsid w:val="00AD6445"/>
    <w:rsid w:val="00AE5607"/>
    <w:rsid w:val="00AE71B9"/>
    <w:rsid w:val="00AF2A45"/>
    <w:rsid w:val="00AF2B6B"/>
    <w:rsid w:val="00AF3B55"/>
    <w:rsid w:val="00B045D1"/>
    <w:rsid w:val="00B062A6"/>
    <w:rsid w:val="00B07928"/>
    <w:rsid w:val="00B253B8"/>
    <w:rsid w:val="00B27DFF"/>
    <w:rsid w:val="00B30179"/>
    <w:rsid w:val="00B32C5C"/>
    <w:rsid w:val="00B3317B"/>
    <w:rsid w:val="00B355CF"/>
    <w:rsid w:val="00B3750B"/>
    <w:rsid w:val="00B41EB4"/>
    <w:rsid w:val="00B43E15"/>
    <w:rsid w:val="00B44874"/>
    <w:rsid w:val="00B44D1E"/>
    <w:rsid w:val="00B501B7"/>
    <w:rsid w:val="00B50F43"/>
    <w:rsid w:val="00B6429F"/>
    <w:rsid w:val="00B656F0"/>
    <w:rsid w:val="00B725B8"/>
    <w:rsid w:val="00B73FEA"/>
    <w:rsid w:val="00B742CD"/>
    <w:rsid w:val="00B74841"/>
    <w:rsid w:val="00B77E99"/>
    <w:rsid w:val="00B81E12"/>
    <w:rsid w:val="00B83CFE"/>
    <w:rsid w:val="00B85580"/>
    <w:rsid w:val="00B91DEF"/>
    <w:rsid w:val="00B920A4"/>
    <w:rsid w:val="00B93068"/>
    <w:rsid w:val="00BA7E8B"/>
    <w:rsid w:val="00BB0818"/>
    <w:rsid w:val="00BB418D"/>
    <w:rsid w:val="00BB7FCC"/>
    <w:rsid w:val="00BC193A"/>
    <w:rsid w:val="00BC1C5D"/>
    <w:rsid w:val="00BC46ED"/>
    <w:rsid w:val="00BC498D"/>
    <w:rsid w:val="00BC5429"/>
    <w:rsid w:val="00BC6F35"/>
    <w:rsid w:val="00BC74E9"/>
    <w:rsid w:val="00BC7EFB"/>
    <w:rsid w:val="00BD0017"/>
    <w:rsid w:val="00BD011C"/>
    <w:rsid w:val="00BD4883"/>
    <w:rsid w:val="00BE3C13"/>
    <w:rsid w:val="00BE447C"/>
    <w:rsid w:val="00BE5B7F"/>
    <w:rsid w:val="00BE5E81"/>
    <w:rsid w:val="00BE618E"/>
    <w:rsid w:val="00BF5F47"/>
    <w:rsid w:val="00BF6D59"/>
    <w:rsid w:val="00BF7A1A"/>
    <w:rsid w:val="00C029EA"/>
    <w:rsid w:val="00C02B2A"/>
    <w:rsid w:val="00C0407C"/>
    <w:rsid w:val="00C06DFB"/>
    <w:rsid w:val="00C13534"/>
    <w:rsid w:val="00C13800"/>
    <w:rsid w:val="00C14780"/>
    <w:rsid w:val="00C15D9D"/>
    <w:rsid w:val="00C16149"/>
    <w:rsid w:val="00C208C6"/>
    <w:rsid w:val="00C20967"/>
    <w:rsid w:val="00C214B4"/>
    <w:rsid w:val="00C223FD"/>
    <w:rsid w:val="00C26657"/>
    <w:rsid w:val="00C302B4"/>
    <w:rsid w:val="00C35597"/>
    <w:rsid w:val="00C35AE7"/>
    <w:rsid w:val="00C44685"/>
    <w:rsid w:val="00C463DD"/>
    <w:rsid w:val="00C4716A"/>
    <w:rsid w:val="00C47173"/>
    <w:rsid w:val="00C47787"/>
    <w:rsid w:val="00C53C82"/>
    <w:rsid w:val="00C622ED"/>
    <w:rsid w:val="00C62F76"/>
    <w:rsid w:val="00C638AC"/>
    <w:rsid w:val="00C65026"/>
    <w:rsid w:val="00C65A7B"/>
    <w:rsid w:val="00C662AA"/>
    <w:rsid w:val="00C72005"/>
    <w:rsid w:val="00C72E02"/>
    <w:rsid w:val="00C740DA"/>
    <w:rsid w:val="00C745C3"/>
    <w:rsid w:val="00C74A11"/>
    <w:rsid w:val="00C76C20"/>
    <w:rsid w:val="00C8384C"/>
    <w:rsid w:val="00C846D1"/>
    <w:rsid w:val="00C85F8B"/>
    <w:rsid w:val="00C90796"/>
    <w:rsid w:val="00C927AC"/>
    <w:rsid w:val="00CA1183"/>
    <w:rsid w:val="00CA1F88"/>
    <w:rsid w:val="00CA516D"/>
    <w:rsid w:val="00CB03EB"/>
    <w:rsid w:val="00CB12A8"/>
    <w:rsid w:val="00CB26B3"/>
    <w:rsid w:val="00CB51FE"/>
    <w:rsid w:val="00CB699B"/>
    <w:rsid w:val="00CC2702"/>
    <w:rsid w:val="00CC78A6"/>
    <w:rsid w:val="00CD10CD"/>
    <w:rsid w:val="00CD20A1"/>
    <w:rsid w:val="00CD2916"/>
    <w:rsid w:val="00CD3225"/>
    <w:rsid w:val="00CD64B5"/>
    <w:rsid w:val="00CD747F"/>
    <w:rsid w:val="00CE1382"/>
    <w:rsid w:val="00CE4A8F"/>
    <w:rsid w:val="00CF03F4"/>
    <w:rsid w:val="00CF0AEF"/>
    <w:rsid w:val="00CF0D7F"/>
    <w:rsid w:val="00CF3DF4"/>
    <w:rsid w:val="00CF657E"/>
    <w:rsid w:val="00D01A4C"/>
    <w:rsid w:val="00D038EE"/>
    <w:rsid w:val="00D051AC"/>
    <w:rsid w:val="00D06940"/>
    <w:rsid w:val="00D102AE"/>
    <w:rsid w:val="00D1075E"/>
    <w:rsid w:val="00D16FDE"/>
    <w:rsid w:val="00D2031B"/>
    <w:rsid w:val="00D20EF4"/>
    <w:rsid w:val="00D21AA4"/>
    <w:rsid w:val="00D234A9"/>
    <w:rsid w:val="00D25FE2"/>
    <w:rsid w:val="00D34FB3"/>
    <w:rsid w:val="00D351EB"/>
    <w:rsid w:val="00D37904"/>
    <w:rsid w:val="00D42F53"/>
    <w:rsid w:val="00D43252"/>
    <w:rsid w:val="00D4764D"/>
    <w:rsid w:val="00D50452"/>
    <w:rsid w:val="00D573E1"/>
    <w:rsid w:val="00D673BA"/>
    <w:rsid w:val="00D673D9"/>
    <w:rsid w:val="00D72DC1"/>
    <w:rsid w:val="00D753D8"/>
    <w:rsid w:val="00D76673"/>
    <w:rsid w:val="00D76841"/>
    <w:rsid w:val="00D80431"/>
    <w:rsid w:val="00D80A99"/>
    <w:rsid w:val="00D8153A"/>
    <w:rsid w:val="00D86516"/>
    <w:rsid w:val="00D87F4C"/>
    <w:rsid w:val="00D94B0C"/>
    <w:rsid w:val="00D96CC5"/>
    <w:rsid w:val="00D978C6"/>
    <w:rsid w:val="00DA67AD"/>
    <w:rsid w:val="00DA6941"/>
    <w:rsid w:val="00DB0CD3"/>
    <w:rsid w:val="00DB0CF8"/>
    <w:rsid w:val="00DB1F53"/>
    <w:rsid w:val="00DC1449"/>
    <w:rsid w:val="00DC1AA4"/>
    <w:rsid w:val="00DC5166"/>
    <w:rsid w:val="00DC5FBA"/>
    <w:rsid w:val="00DD2BDB"/>
    <w:rsid w:val="00DD5C8B"/>
    <w:rsid w:val="00DD6E77"/>
    <w:rsid w:val="00DE0613"/>
    <w:rsid w:val="00DE112D"/>
    <w:rsid w:val="00DF2772"/>
    <w:rsid w:val="00DF2823"/>
    <w:rsid w:val="00DF3CF2"/>
    <w:rsid w:val="00DF453A"/>
    <w:rsid w:val="00DF498E"/>
    <w:rsid w:val="00DF662C"/>
    <w:rsid w:val="00E000AD"/>
    <w:rsid w:val="00E02F47"/>
    <w:rsid w:val="00E07564"/>
    <w:rsid w:val="00E1169F"/>
    <w:rsid w:val="00E130AB"/>
    <w:rsid w:val="00E147D5"/>
    <w:rsid w:val="00E14CFE"/>
    <w:rsid w:val="00E201D5"/>
    <w:rsid w:val="00E23AA7"/>
    <w:rsid w:val="00E241E1"/>
    <w:rsid w:val="00E24D7E"/>
    <w:rsid w:val="00E26278"/>
    <w:rsid w:val="00E328FE"/>
    <w:rsid w:val="00E335A4"/>
    <w:rsid w:val="00E35C1C"/>
    <w:rsid w:val="00E41283"/>
    <w:rsid w:val="00E43CE3"/>
    <w:rsid w:val="00E549B7"/>
    <w:rsid w:val="00E55D8D"/>
    <w:rsid w:val="00E5644E"/>
    <w:rsid w:val="00E60AC0"/>
    <w:rsid w:val="00E62EA5"/>
    <w:rsid w:val="00E62F12"/>
    <w:rsid w:val="00E631DD"/>
    <w:rsid w:val="00E63654"/>
    <w:rsid w:val="00E6387D"/>
    <w:rsid w:val="00E65EF4"/>
    <w:rsid w:val="00E70AD0"/>
    <w:rsid w:val="00E71852"/>
    <w:rsid w:val="00E7260F"/>
    <w:rsid w:val="00E747A5"/>
    <w:rsid w:val="00E7485D"/>
    <w:rsid w:val="00E8535A"/>
    <w:rsid w:val="00E856CE"/>
    <w:rsid w:val="00E9059F"/>
    <w:rsid w:val="00E90F23"/>
    <w:rsid w:val="00E96630"/>
    <w:rsid w:val="00EA392B"/>
    <w:rsid w:val="00EA6C65"/>
    <w:rsid w:val="00EA772F"/>
    <w:rsid w:val="00EB18D7"/>
    <w:rsid w:val="00EB30C3"/>
    <w:rsid w:val="00EB5EFC"/>
    <w:rsid w:val="00EB6832"/>
    <w:rsid w:val="00EB70E2"/>
    <w:rsid w:val="00EC5BC7"/>
    <w:rsid w:val="00EC7146"/>
    <w:rsid w:val="00ED355F"/>
    <w:rsid w:val="00ED6D82"/>
    <w:rsid w:val="00ED7A2A"/>
    <w:rsid w:val="00EE5771"/>
    <w:rsid w:val="00EE639C"/>
    <w:rsid w:val="00EF0B5A"/>
    <w:rsid w:val="00EF1D7F"/>
    <w:rsid w:val="00EF2383"/>
    <w:rsid w:val="00EF497D"/>
    <w:rsid w:val="00EF6834"/>
    <w:rsid w:val="00F02B07"/>
    <w:rsid w:val="00F04741"/>
    <w:rsid w:val="00F13EC4"/>
    <w:rsid w:val="00F14AAA"/>
    <w:rsid w:val="00F16818"/>
    <w:rsid w:val="00F179DE"/>
    <w:rsid w:val="00F20E52"/>
    <w:rsid w:val="00F236CE"/>
    <w:rsid w:val="00F30427"/>
    <w:rsid w:val="00F345D5"/>
    <w:rsid w:val="00F36C76"/>
    <w:rsid w:val="00F3711E"/>
    <w:rsid w:val="00F40E75"/>
    <w:rsid w:val="00F41498"/>
    <w:rsid w:val="00F42066"/>
    <w:rsid w:val="00F51379"/>
    <w:rsid w:val="00F518F7"/>
    <w:rsid w:val="00F532F9"/>
    <w:rsid w:val="00F54674"/>
    <w:rsid w:val="00F556D3"/>
    <w:rsid w:val="00F55A1F"/>
    <w:rsid w:val="00F55FD3"/>
    <w:rsid w:val="00F5673A"/>
    <w:rsid w:val="00F61B05"/>
    <w:rsid w:val="00F623B0"/>
    <w:rsid w:val="00F6529B"/>
    <w:rsid w:val="00F6628E"/>
    <w:rsid w:val="00F66F59"/>
    <w:rsid w:val="00F701A2"/>
    <w:rsid w:val="00F70522"/>
    <w:rsid w:val="00F7224B"/>
    <w:rsid w:val="00F729F2"/>
    <w:rsid w:val="00F75373"/>
    <w:rsid w:val="00F76BC5"/>
    <w:rsid w:val="00F778FA"/>
    <w:rsid w:val="00F81292"/>
    <w:rsid w:val="00F826CB"/>
    <w:rsid w:val="00F85B4A"/>
    <w:rsid w:val="00F85DBE"/>
    <w:rsid w:val="00F91C7F"/>
    <w:rsid w:val="00F942CB"/>
    <w:rsid w:val="00F94942"/>
    <w:rsid w:val="00F954BA"/>
    <w:rsid w:val="00F96E38"/>
    <w:rsid w:val="00FA4B97"/>
    <w:rsid w:val="00FB016C"/>
    <w:rsid w:val="00FB09F1"/>
    <w:rsid w:val="00FB2719"/>
    <w:rsid w:val="00FB4352"/>
    <w:rsid w:val="00FB5227"/>
    <w:rsid w:val="00FC2B0A"/>
    <w:rsid w:val="00FC5E08"/>
    <w:rsid w:val="00FC68B7"/>
    <w:rsid w:val="00FD199B"/>
    <w:rsid w:val="00FD21A9"/>
    <w:rsid w:val="00FD59E3"/>
    <w:rsid w:val="00FD6B2B"/>
    <w:rsid w:val="00FE26FA"/>
    <w:rsid w:val="00FE5DFF"/>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08A794F"/>
  <w15:docId w15:val="{8ED53BDD-8728-48C0-9000-2F98D32C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6"/>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paragraph" w:styleId="Caption">
    <w:name w:val="caption"/>
    <w:basedOn w:val="Normal"/>
    <w:next w:val="Normal"/>
    <w:unhideWhenUsed/>
    <w:qFormat/>
    <w:rsid w:val="00FA4B97"/>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14103">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56057804">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 w:id="184196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22.jpg@01D4E4C2.4CDFF10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6525F-F8DB-43A8-9795-6854AF8A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1185</Words>
  <Characters>6212</Characters>
  <Application>Microsoft Office Word</Application>
  <DocSecurity>0</DocSecurity>
  <Lines>124</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8</cp:revision>
  <cp:lastPrinted>2019-04-08T14:17:00Z</cp:lastPrinted>
  <dcterms:created xsi:type="dcterms:W3CDTF">2019-04-05T08:52:00Z</dcterms:created>
  <dcterms:modified xsi:type="dcterms:W3CDTF">2019-04-08T14:17:00Z</dcterms:modified>
</cp:coreProperties>
</file>