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66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6602" w:rsidP="008C6602">
            <w:pPr>
              <w:jc w:val="right"/>
            </w:pPr>
            <w:r w:rsidRPr="008C6602">
              <w:rPr>
                <w:sz w:val="40"/>
              </w:rPr>
              <w:t>ECE</w:t>
            </w:r>
            <w:r>
              <w:t>/TRANS/WP.5/2018/3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C66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C6602" w:rsidRDefault="008C6602" w:rsidP="008C66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2018</w:t>
            </w:r>
          </w:p>
          <w:p w:rsidR="008C6602" w:rsidRDefault="008C6602" w:rsidP="008C66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C6602" w:rsidRPr="008D53B6" w:rsidRDefault="008C6602" w:rsidP="008C66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C6602" w:rsidRPr="008C6602" w:rsidRDefault="008C6602" w:rsidP="008C6602">
      <w:pPr>
        <w:spacing w:before="120"/>
        <w:rPr>
          <w:sz w:val="28"/>
          <w:szCs w:val="28"/>
        </w:rPr>
      </w:pPr>
      <w:r w:rsidRPr="008C6602">
        <w:rPr>
          <w:sz w:val="28"/>
          <w:szCs w:val="28"/>
        </w:rPr>
        <w:t>Комитет по внутреннему транспорту</w:t>
      </w:r>
    </w:p>
    <w:p w:rsidR="008C6602" w:rsidRPr="008C6602" w:rsidRDefault="008C6602" w:rsidP="008C6602">
      <w:pPr>
        <w:spacing w:before="120"/>
        <w:rPr>
          <w:b/>
          <w:bCs/>
          <w:sz w:val="24"/>
          <w:szCs w:val="24"/>
        </w:rPr>
      </w:pPr>
      <w:r w:rsidRPr="008C6602">
        <w:rPr>
          <w:b/>
          <w:bCs/>
          <w:sz w:val="24"/>
          <w:szCs w:val="24"/>
        </w:rPr>
        <w:t xml:space="preserve">Рабочая группа по тенденциям </w:t>
      </w:r>
      <w:r>
        <w:rPr>
          <w:b/>
          <w:bCs/>
          <w:sz w:val="24"/>
          <w:szCs w:val="24"/>
        </w:rPr>
        <w:br/>
      </w:r>
      <w:r w:rsidRPr="008C6602">
        <w:rPr>
          <w:b/>
          <w:bCs/>
          <w:sz w:val="24"/>
          <w:szCs w:val="24"/>
        </w:rPr>
        <w:t>и экономике транспорта</w:t>
      </w:r>
    </w:p>
    <w:p w:rsidR="008C6602" w:rsidRPr="00651B09" w:rsidRDefault="008C6602" w:rsidP="008C6602">
      <w:pPr>
        <w:spacing w:before="120"/>
        <w:rPr>
          <w:b/>
          <w:bCs/>
        </w:rPr>
      </w:pPr>
      <w:r w:rsidRPr="00651B09">
        <w:rPr>
          <w:b/>
          <w:bCs/>
        </w:rPr>
        <w:t>Тридцать первая сессия</w:t>
      </w:r>
    </w:p>
    <w:p w:rsidR="008C6602" w:rsidRPr="00651B09" w:rsidRDefault="008C6602" w:rsidP="008C6602">
      <w:r w:rsidRPr="00651B09">
        <w:t>Женева, 3–5 сентября 2018 года</w:t>
      </w:r>
    </w:p>
    <w:p w:rsidR="008C6602" w:rsidRPr="00651B09" w:rsidRDefault="008C6602" w:rsidP="008C6602">
      <w:r w:rsidRPr="00651B09">
        <w:t>Пункт 5 b) предварительной повестки дня</w:t>
      </w:r>
    </w:p>
    <w:p w:rsidR="008C6602" w:rsidRPr="00651B09" w:rsidRDefault="008C6602" w:rsidP="008C6602">
      <w:r w:rsidRPr="00651B09">
        <w:rPr>
          <w:b/>
          <w:bCs/>
        </w:rPr>
        <w:t xml:space="preserve">Отслеживание изменений в общеевропейских </w:t>
      </w:r>
      <w:r w:rsidR="001F4A9F">
        <w:rPr>
          <w:b/>
          <w:bCs/>
        </w:rPr>
        <w:br/>
      </w:r>
      <w:r w:rsidRPr="00651B09">
        <w:rPr>
          <w:b/>
          <w:bCs/>
        </w:rPr>
        <w:t xml:space="preserve">транспортных сетях: проекты Трансъевропейской </w:t>
      </w:r>
      <w:r w:rsidR="001F4A9F">
        <w:rPr>
          <w:b/>
          <w:bCs/>
        </w:rPr>
        <w:br/>
      </w:r>
      <w:r w:rsidRPr="00651B09">
        <w:rPr>
          <w:b/>
          <w:bCs/>
        </w:rPr>
        <w:t xml:space="preserve">автомагистрали и Трансъевропейской </w:t>
      </w:r>
      <w:r w:rsidR="001F4A9F">
        <w:rPr>
          <w:b/>
          <w:bCs/>
        </w:rPr>
        <w:br/>
      </w:r>
      <w:r w:rsidRPr="00651B09">
        <w:rPr>
          <w:b/>
          <w:bCs/>
        </w:rPr>
        <w:t>железнодорожной магистрали</w:t>
      </w:r>
    </w:p>
    <w:p w:rsidR="008C6602" w:rsidRPr="00651B09" w:rsidRDefault="008C6602" w:rsidP="008C660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Информация о ходе реализации проекта Трансъевропейской железнодорожной магистрали</w:t>
      </w:r>
      <w:r w:rsidRPr="008C6602">
        <w:rPr>
          <w:b w:val="0"/>
          <w:sz w:val="20"/>
          <w:lang w:eastAsia="ru-RU"/>
        </w:rPr>
        <w:footnoteReference w:customMarkFollows="1" w:id="1"/>
        <w:t>*</w:t>
      </w:r>
    </w:p>
    <w:p w:rsidR="008C6602" w:rsidRPr="00651B09" w:rsidRDefault="008C6602" w:rsidP="008C6602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Представлено Управляющим проекта ТЕЖ</w:t>
      </w:r>
    </w:p>
    <w:p w:rsidR="008C6602" w:rsidRPr="00651B09" w:rsidRDefault="008C6602" w:rsidP="008C6602">
      <w:pPr>
        <w:pStyle w:val="HChG"/>
        <w:rPr>
          <w:lang w:val="ru-RU"/>
        </w:rPr>
      </w:pPr>
      <w:r>
        <w:rPr>
          <w:lang w:val="ru-RU"/>
        </w:rPr>
        <w:tab/>
        <w:t>I.</w:t>
      </w:r>
      <w:r>
        <w:rPr>
          <w:lang w:val="ru-RU"/>
        </w:rPr>
        <w:tab/>
        <w:t>Цели проекта</w:t>
      </w:r>
    </w:p>
    <w:p w:rsidR="008C6602" w:rsidRPr="00651B09" w:rsidRDefault="008C6602" w:rsidP="008C6602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Основная цель проекта Трансъевропейской железнодорожной магистрали (ТЕЖ) состоит в повышении качества и эффективности транспортных операций, оказании содействия процессу интеграции европейских систем транспортной инфраструктуры и развитии взаимосвязанной и эффективной системы железнодорожных и комбинированных перевозок в соответствии с общеевропейскими соглашениями по вопросам развития инфраструктуры под эгидой Европейской экономической комиссии Организации Объединенных Наций.</w:t>
      </w:r>
    </w:p>
    <w:p w:rsidR="008C6602" w:rsidRPr="00651B09" w:rsidRDefault="008C6602" w:rsidP="008C6602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числе различных задач проекта ТЕЖ можно отметить следующее: содействие в создании и развитии взаимосвязанной и эффективной международной системы железнодорожных и комбинированных перевозок между странами Центральной и Восточной Европы (по территории стран ТЕЖ, а также между этими и другими европейскими странами); участие в перераспределении значительного объема перевозок для снижения перегруженности транспортных систем Центральной и Восточной Европы и в смягчении остроты проблем в сфере окружающей среды и безопасности на основных международных железнодорожных маршрутах этих стран.</w:t>
      </w:r>
    </w:p>
    <w:p w:rsidR="008C6602" w:rsidRPr="00651B09" w:rsidRDefault="008C6602" w:rsidP="008C6602">
      <w:pPr>
        <w:pStyle w:val="HChG"/>
        <w:rPr>
          <w:lang w:val="ru-RU"/>
        </w:rPr>
      </w:pPr>
      <w:r>
        <w:rPr>
          <w:lang w:val="ru-RU"/>
        </w:rPr>
        <w:lastRenderedPageBreak/>
        <w:tab/>
        <w:t>II.</w:t>
      </w:r>
      <w:r>
        <w:rPr>
          <w:lang w:val="ru-RU"/>
        </w:rPr>
        <w:tab/>
        <w:t>Развитие и деятельность ТЕЖ в 2017 году</w:t>
      </w:r>
    </w:p>
    <w:p w:rsidR="008C6602" w:rsidRPr="00651B09" w:rsidRDefault="008C6602" w:rsidP="008C6602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Руководящий комитет ТЕЖ на своей сорок первой сессии (Женева, </w:t>
      </w:r>
      <w:r>
        <w:rPr>
          <w:lang w:val="ru-RU"/>
        </w:rPr>
        <w:br/>
        <w:t>21–22 ноября 2016 года) утвердил следующие виды деятельности для осуществления в рамках программы работы ТЕЖ на 2017 год:</w:t>
      </w:r>
    </w:p>
    <w:p w:rsidR="008C6602" w:rsidRDefault="008C6602" w:rsidP="008C6602">
      <w:pPr>
        <w:pStyle w:val="SingleTxtG"/>
        <w:ind w:firstLine="567"/>
      </w:pPr>
      <w:r>
        <w:rPr>
          <w:lang w:val="ru-RU"/>
        </w:rPr>
        <w:t>a)</w:t>
      </w:r>
      <w:r>
        <w:rPr>
          <w:lang w:val="ru-RU"/>
        </w:rPr>
        <w:tab/>
        <w:t>Транспортная связанность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участие в международных совещаниях руководящей группы (Европейская комиссия (ЕК), Комитет Организации сотрудничества железных дорог (ОСЖД), Европейское железнодорожное агентство (ЕЖДА) и т.</w:t>
      </w:r>
      <w:r>
        <w:rPr>
          <w:lang w:val="en-US"/>
        </w:rPr>
        <w:t> </w:t>
      </w:r>
      <w:r>
        <w:rPr>
          <w:lang w:val="ru-RU"/>
        </w:rPr>
        <w:t>д.);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 xml:space="preserve">всеобъемлющее исследование по вопросу о возможных высокоскоростных линиях для Генерального плана для </w:t>
      </w:r>
      <w:r w:rsidR="0045757F">
        <w:rPr>
          <w:lang w:val="ru-RU"/>
        </w:rPr>
        <w:t>высокоскоростных железных дорог.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b)</w:t>
      </w:r>
      <w:r>
        <w:rPr>
          <w:lang w:val="ru-RU"/>
        </w:rPr>
        <w:tab/>
        <w:t>Информированность</w:t>
      </w:r>
    </w:p>
    <w:p w:rsidR="008C6602" w:rsidRPr="00651B09" w:rsidRDefault="008C6602" w:rsidP="008C6602">
      <w:pPr>
        <w:pStyle w:val="Bullet1G"/>
        <w:rPr>
          <w:rFonts w:eastAsia="Calibri"/>
          <w:u w:color="000000"/>
          <w:bdr w:val="nil"/>
          <w:lang w:val="ru-RU"/>
        </w:rPr>
      </w:pPr>
      <w:r>
        <w:rPr>
          <w:lang w:val="ru-RU"/>
        </w:rPr>
        <w:t>мероприятия, направленные на увеличение числа стран – участниц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новое оформление и обновление веб-страницы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завершение подготовки, печатание и распространение информационной брошюры ТЕЖ.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c)</w:t>
      </w:r>
      <w:r>
        <w:rPr>
          <w:lang w:val="ru-RU"/>
        </w:rPr>
        <w:tab/>
        <w:t>Укрепление потенциала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выявление узких мест в инфраструктуре и активизация усилий в целях их устранения;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инициирование международных сопоставительных исследований по уровню инфраструктурных услуг;</w:t>
      </w:r>
    </w:p>
    <w:p w:rsidR="008C6602" w:rsidRDefault="008C6602" w:rsidP="008C6602">
      <w:pPr>
        <w:pStyle w:val="Bullet1G"/>
      </w:pPr>
      <w:r>
        <w:rPr>
          <w:lang w:val="ru-RU"/>
        </w:rPr>
        <w:t xml:space="preserve">организация рабочего совещания ТЕЖ. 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d)</w:t>
      </w:r>
      <w:r>
        <w:rPr>
          <w:lang w:val="ru-RU"/>
        </w:rPr>
        <w:tab/>
        <w:t>Развитие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проведение мониторинга последующей деятельности в контексте Генерального плана ТЕЖ 2011 года;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промежуточные отчеты о результатах мониторинга пересмотра Генерального плана ТЕЖ и состояния магистральной сети в 2017 году;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сбор и обработка данных, возможное расширение системы ТЕЖ за счет стран, не являющихся участницами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представление результатов пересмотра Генерального плана на веб-сайте ЕЭК</w:t>
      </w:r>
      <w:r w:rsidR="00741E74">
        <w:rPr>
          <w:lang w:val="en-US"/>
        </w:rPr>
        <w:t> </w:t>
      </w:r>
      <w:r>
        <w:rPr>
          <w:lang w:val="ru-RU"/>
        </w:rPr>
        <w:t>ООН/ТЕЖ.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e)</w:t>
      </w:r>
      <w:r>
        <w:rPr>
          <w:lang w:val="ru-RU"/>
        </w:rPr>
        <w:tab/>
        <w:t>Управление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функционирование Центрального управления проекта (ЦУП);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деятельность, направленная на заключение нового соглашения с принимающей страной (СПС);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деятельность по заключению новых контрактов для руководства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организация двух сессий Руководящего комитета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проект бюджета и программы работы ТЕЖ на 2018 год.</w:t>
      </w:r>
    </w:p>
    <w:p w:rsidR="008C6602" w:rsidRPr="00651B09" w:rsidRDefault="008C6602" w:rsidP="008C6602">
      <w:pPr>
        <w:pStyle w:val="Bullet2G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В ходе сорок второй сессии Руководящего комитета ТЕЖ (Белград, 3–4 апреля 2017 года) были обсуждены и согласованы следующие вопросы: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 xml:space="preserve">руководство сосредоточило свои усилия на обсуждениях и переговорах с правительствами Азербайджана, Беларуси, Венгрии, Грузии и Казахстана, с тем чтобы эти страны стали участницами проекта;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представлен проект доклада по этапу 1 Генерального плана для высокоскоростных железных дорог, который подлежит утверждению после получения и учета замечаний членов Руководящего комитета (РК);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 xml:space="preserve">одобрен исправленный предварительный вариант брошюры ТЕЖ, представленный на сессии, для печатания и распространения. Эта брошюра будет также размещена на веб-сайте ТЕЖ;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осуществляется пересмотр магистральной сети ТЕЖ; консультантом подготовлены проекты карт, отражающих состояние сети в 2016–2017 годах;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было официально открыто и начало работу Центральное управление проекта ТЕЖ в Белграде;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f)</w:t>
      </w:r>
      <w:r>
        <w:rPr>
          <w:lang w:val="ru-RU"/>
        </w:rPr>
        <w:tab/>
        <w:t>был доработан и официально подписан контракт с заместителем Управляющего проекта ТЕЖ;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g)</w:t>
      </w:r>
      <w:r>
        <w:rPr>
          <w:lang w:val="ru-RU"/>
        </w:rPr>
        <w:tab/>
        <w:t>в октябре 2017 года в Карловых Варах (Чешская Республика) состоится рабочее совещание ТЕЖ по международным грузовым перевозкам – препятствия и возможности.</w:t>
      </w:r>
    </w:p>
    <w:p w:rsidR="008C6602" w:rsidRPr="00651B09" w:rsidRDefault="008C6602" w:rsidP="008C6602">
      <w:pPr>
        <w:pStyle w:val="HChG"/>
        <w:rPr>
          <w:lang w:val="ru-RU"/>
        </w:rPr>
      </w:pPr>
      <w:r>
        <w:rPr>
          <w:lang w:val="ru-RU"/>
        </w:rPr>
        <w:tab/>
        <w:t>III.</w:t>
      </w:r>
      <w:r>
        <w:rPr>
          <w:lang w:val="ru-RU"/>
        </w:rPr>
        <w:tab/>
        <w:t>Деятельность в 2018 году</w:t>
      </w:r>
    </w:p>
    <w:p w:rsidR="008C6602" w:rsidRPr="00651B09" w:rsidRDefault="008C6602" w:rsidP="008C6602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Руководящий комитет ТЕЖ на своей сорок третьей сессии (Женева, 27 ноября 2017 года) утвердил следующие виды деятельности для осуществления в рамках программы работы ТЕЖ на 2018 год:</w:t>
      </w:r>
    </w:p>
    <w:p w:rsidR="008C6602" w:rsidRDefault="008C6602" w:rsidP="008C6602">
      <w:pPr>
        <w:pStyle w:val="SingleTxtG"/>
        <w:ind w:firstLine="567"/>
      </w:pPr>
      <w:r>
        <w:rPr>
          <w:lang w:val="ru-RU"/>
        </w:rPr>
        <w:t>а)</w:t>
      </w:r>
      <w:r>
        <w:rPr>
          <w:lang w:val="ru-RU"/>
        </w:rPr>
        <w:tab/>
        <w:t>Транспортная связанность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участие в международных совещаниях руководящей группы ЕК, ОСЖД, ЕЖДА и т.</w:t>
      </w:r>
      <w:r>
        <w:rPr>
          <w:lang w:val="en-US"/>
        </w:rPr>
        <w:t> </w:t>
      </w:r>
      <w:r>
        <w:rPr>
          <w:lang w:val="ru-RU"/>
        </w:rPr>
        <w:t>д.);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 xml:space="preserve">всестороннее исследование по этапу II в рамках осуществления проекта по Генеральному плану для </w:t>
      </w:r>
      <w:r w:rsidR="00741E74">
        <w:rPr>
          <w:lang w:val="ru-RU"/>
        </w:rPr>
        <w:t>высокоскоростных железных дорог.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b)</w:t>
      </w:r>
      <w:r>
        <w:rPr>
          <w:lang w:val="ru-RU"/>
        </w:rPr>
        <w:tab/>
        <w:t>Информированность</w:t>
      </w:r>
    </w:p>
    <w:p w:rsidR="008C6602" w:rsidRPr="00651B09" w:rsidRDefault="008C6602" w:rsidP="008C6602">
      <w:pPr>
        <w:pStyle w:val="Bullet1G"/>
        <w:rPr>
          <w:rFonts w:eastAsia="Calibri"/>
          <w:u w:color="000000"/>
          <w:bdr w:val="nil"/>
          <w:lang w:val="ru-RU"/>
        </w:rPr>
      </w:pPr>
      <w:r>
        <w:rPr>
          <w:lang w:val="ru-RU"/>
        </w:rPr>
        <w:t>мероприятия, направленные на увеличение числа стран – участниц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новое оформление и обновление веб-страницы ТЕЖ;</w:t>
      </w:r>
    </w:p>
    <w:p w:rsidR="008C6602" w:rsidRDefault="008C6602" w:rsidP="008C6602">
      <w:pPr>
        <w:pStyle w:val="Bullet1G"/>
      </w:pPr>
      <w:r>
        <w:rPr>
          <w:lang w:val="ru-RU"/>
        </w:rPr>
        <w:t>распространение информационной брошюры ТЕЖ.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c)</w:t>
      </w:r>
      <w:r>
        <w:rPr>
          <w:lang w:val="ru-RU"/>
        </w:rPr>
        <w:tab/>
        <w:t>Укрепление потенциала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выявление узких мест в инфраструктуре и активизация усилий в целях их устранения;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инициирование международных сопоставительных исследований по уровню инфраструктурных услуг;</w:t>
      </w:r>
    </w:p>
    <w:p w:rsidR="008C6602" w:rsidRDefault="008C6602" w:rsidP="008C6602">
      <w:pPr>
        <w:pStyle w:val="Bullet1G"/>
      </w:pPr>
      <w:r>
        <w:rPr>
          <w:lang w:val="ru-RU"/>
        </w:rPr>
        <w:t xml:space="preserve">организация рабочего совещания ТЕЖ. 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d)</w:t>
      </w:r>
      <w:r>
        <w:rPr>
          <w:lang w:val="ru-RU"/>
        </w:rPr>
        <w:tab/>
        <w:t>Развитие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проведение мониторинга последующей деятельности в контексте Генерального плана ТЕЖ 2011 года;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промежуточные доклады о результатах мониторинга пересмотра Генерального плана ТЕЖ и состояния магистральной сети в 2018 году;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сбор и обработка данных, возможное расширение системы ТЕЖ за счет стран, не являющихся участницами ТЕЖ;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представление результатов пересмотра Генерального плана на веб-сайте ЕЭК</w:t>
      </w:r>
      <w:r w:rsidR="007D3901">
        <w:rPr>
          <w:lang w:val="en-US"/>
        </w:rPr>
        <w:t> </w:t>
      </w:r>
      <w:r>
        <w:rPr>
          <w:lang w:val="ru-RU"/>
        </w:rPr>
        <w:t>ООН/ТЕЖ.</w:t>
      </w:r>
    </w:p>
    <w:p w:rsidR="008C6602" w:rsidRDefault="008C6602" w:rsidP="008C6602">
      <w:pPr>
        <w:pStyle w:val="SingleTxtG"/>
        <w:ind w:left="1701"/>
      </w:pPr>
      <w:r>
        <w:rPr>
          <w:lang w:val="ru-RU"/>
        </w:rPr>
        <w:t>e)</w:t>
      </w:r>
      <w:r>
        <w:rPr>
          <w:lang w:val="ru-RU"/>
        </w:rPr>
        <w:tab/>
        <w:t>Управление</w:t>
      </w:r>
    </w:p>
    <w:p w:rsidR="008C6602" w:rsidRPr="002D1D0C" w:rsidRDefault="008C6602" w:rsidP="008C6602">
      <w:pPr>
        <w:pStyle w:val="Bullet1G"/>
      </w:pPr>
      <w:r>
        <w:rPr>
          <w:lang w:val="ru-RU"/>
        </w:rPr>
        <w:t>функционирование ЦУП;</w:t>
      </w:r>
    </w:p>
    <w:p w:rsidR="008C6602" w:rsidRPr="00651B09" w:rsidRDefault="008C6602" w:rsidP="008C6602">
      <w:pPr>
        <w:pStyle w:val="Bullet1G"/>
        <w:rPr>
          <w:lang w:val="ru-RU"/>
        </w:rPr>
      </w:pPr>
      <w:r>
        <w:rPr>
          <w:lang w:val="ru-RU"/>
        </w:rPr>
        <w:t>работа по заключению нового СПС;</w:t>
      </w:r>
    </w:p>
    <w:p w:rsidR="008C6602" w:rsidRPr="00651B09" w:rsidRDefault="008C6602" w:rsidP="007D3901">
      <w:pPr>
        <w:pStyle w:val="Bullet1G"/>
        <w:keepNext/>
        <w:keepLines/>
        <w:rPr>
          <w:lang w:val="ru-RU"/>
        </w:rPr>
      </w:pPr>
      <w:r>
        <w:rPr>
          <w:lang w:val="ru-RU"/>
        </w:rPr>
        <w:t>организация двух сессий Руководящего комитета ТЕЖ;</w:t>
      </w:r>
    </w:p>
    <w:p w:rsidR="008C6602" w:rsidRPr="00651B09" w:rsidRDefault="008C6602" w:rsidP="007D3901">
      <w:pPr>
        <w:pStyle w:val="Bullet1G"/>
        <w:keepNext/>
        <w:keepLines/>
        <w:rPr>
          <w:lang w:val="ru-RU"/>
        </w:rPr>
      </w:pPr>
      <w:r>
        <w:rPr>
          <w:lang w:val="ru-RU"/>
        </w:rPr>
        <w:t>проект бюджета и программы работы ТЕЖ на 2018 и 2019 годы.</w:t>
      </w:r>
    </w:p>
    <w:p w:rsidR="008C6602" w:rsidRPr="00651B09" w:rsidRDefault="008C6602" w:rsidP="008C6602">
      <w:pPr>
        <w:pStyle w:val="Bullet2G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В ходе сорок четвертой сессии Руководящего комитета ТЕЖ (Вена, 4–5 июня 2018 года) были обсуждены и согласованы следующие вопросы: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 xml:space="preserve">руководство сосредоточило свои усилия на обсуждениях и переговорах с правительствами Азербайджана, Беларуси, Венгрии, Грузии и Казахстана, с тем чтобы эти страны стали участницами проекта;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был представлен и одобрен членами РК проект круга ведения по этапу 2 Генерального плана для высокоскоростных железных дорог;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 xml:space="preserve">на сессии была представлена и распространена среди делегатов, участвующих в сессии РК, печатная версия брошюры ТЕЖ; 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>осуществляется пересмотр магистральной сети ТЕЖ; консультантом подготовлены проекты карт, отражающих состояние сети в 2017–2018 годах;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e)</w:t>
      </w:r>
      <w:r>
        <w:rPr>
          <w:lang w:val="ru-RU"/>
        </w:rPr>
        <w:tab/>
        <w:t>управление ТЕЖ в Белграде продолжает работу, и принимающая страна заявила о своей готовности продлить соответствующее соглашение;</w:t>
      </w:r>
    </w:p>
    <w:p w:rsidR="008C6602" w:rsidRPr="00651B09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f)</w:t>
      </w:r>
      <w:r>
        <w:rPr>
          <w:lang w:val="ru-RU"/>
        </w:rPr>
        <w:tab/>
        <w:t>был доработан и официально подписан контракт с заместителем Управляющего проекта ТЕЖ;</w:t>
      </w:r>
    </w:p>
    <w:p w:rsidR="00E12C5F" w:rsidRDefault="008C6602" w:rsidP="008C6602">
      <w:pPr>
        <w:pStyle w:val="SingleTxtG"/>
        <w:ind w:firstLine="567"/>
        <w:rPr>
          <w:lang w:val="ru-RU"/>
        </w:rPr>
      </w:pPr>
      <w:r>
        <w:rPr>
          <w:lang w:val="ru-RU"/>
        </w:rPr>
        <w:t>g)</w:t>
      </w:r>
      <w:r>
        <w:rPr>
          <w:lang w:val="ru-RU"/>
        </w:rPr>
        <w:tab/>
        <w:t>в октябре/ноябре 2018 года состоится рабочее совещание ТЕЖ по</w:t>
      </w:r>
      <w:r>
        <w:rPr>
          <w:lang w:val="en-US"/>
        </w:rPr>
        <w:t> </w:t>
      </w:r>
      <w:r>
        <w:rPr>
          <w:lang w:val="ru-RU"/>
        </w:rPr>
        <w:t>международным грузовым перевозкам – препятствия и возможности.</w:t>
      </w:r>
    </w:p>
    <w:p w:rsidR="008C6602" w:rsidRPr="008C6602" w:rsidRDefault="008C6602" w:rsidP="008C660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6602" w:rsidRPr="008C6602" w:rsidSect="008C6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23" w:rsidRPr="00A312BC" w:rsidRDefault="00C12B23" w:rsidP="00A312BC"/>
  </w:endnote>
  <w:endnote w:type="continuationSeparator" w:id="0">
    <w:p w:rsidR="00C12B23" w:rsidRPr="00A312BC" w:rsidRDefault="00C12B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02" w:rsidRPr="008C6602" w:rsidRDefault="008C6602">
    <w:pPr>
      <w:pStyle w:val="Footer"/>
    </w:pPr>
    <w:r w:rsidRPr="008C6602">
      <w:rPr>
        <w:b/>
        <w:sz w:val="18"/>
      </w:rPr>
      <w:fldChar w:fldCharType="begin"/>
    </w:r>
    <w:r w:rsidRPr="008C6602">
      <w:rPr>
        <w:b/>
        <w:sz w:val="18"/>
      </w:rPr>
      <w:instrText xml:space="preserve"> PAGE  \* MERGEFORMAT </w:instrText>
    </w:r>
    <w:r w:rsidRPr="008C6602">
      <w:rPr>
        <w:b/>
        <w:sz w:val="18"/>
      </w:rPr>
      <w:fldChar w:fldCharType="separate"/>
    </w:r>
    <w:r w:rsidR="00134E9A">
      <w:rPr>
        <w:b/>
        <w:noProof/>
        <w:sz w:val="18"/>
      </w:rPr>
      <w:t>4</w:t>
    </w:r>
    <w:r w:rsidRPr="008C6602">
      <w:rPr>
        <w:b/>
        <w:sz w:val="18"/>
      </w:rPr>
      <w:fldChar w:fldCharType="end"/>
    </w:r>
    <w:r>
      <w:rPr>
        <w:b/>
        <w:sz w:val="18"/>
      </w:rPr>
      <w:tab/>
    </w:r>
    <w:r>
      <w:t>GE.18-10443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02" w:rsidRPr="008C6602" w:rsidRDefault="008C6602" w:rsidP="008C660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GE.18-10443</w:t>
    </w:r>
    <w:r>
      <w:tab/>
    </w:r>
    <w:r w:rsidRPr="008C6602">
      <w:rPr>
        <w:b/>
        <w:sz w:val="18"/>
      </w:rPr>
      <w:fldChar w:fldCharType="begin"/>
    </w:r>
    <w:r w:rsidRPr="008C6602">
      <w:rPr>
        <w:b/>
        <w:sz w:val="18"/>
      </w:rPr>
      <w:instrText xml:space="preserve"> PAGE  \* MERGEFORMAT </w:instrText>
    </w:r>
    <w:r w:rsidRPr="008C6602">
      <w:rPr>
        <w:b/>
        <w:sz w:val="18"/>
      </w:rPr>
      <w:fldChar w:fldCharType="separate"/>
    </w:r>
    <w:r w:rsidR="00134E9A">
      <w:rPr>
        <w:b/>
        <w:noProof/>
        <w:sz w:val="18"/>
      </w:rPr>
      <w:t>3</w:t>
    </w:r>
    <w:r w:rsidRPr="008C66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C6602" w:rsidRDefault="008C6602" w:rsidP="008C660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18-10443  (R)</w:t>
    </w:r>
    <w:r>
      <w:rPr>
        <w:lang w:val="en-US"/>
      </w:rPr>
      <w:t xml:space="preserve">  060718  090718</w:t>
    </w:r>
    <w:r>
      <w:br/>
    </w:r>
    <w:r w:rsidRPr="008C6602">
      <w:rPr>
        <w:rFonts w:ascii="C39T30Lfz" w:hAnsi="C39T30Lfz"/>
        <w:kern w:val="14"/>
        <w:sz w:val="56"/>
      </w:rPr>
      <w:t></w:t>
    </w:r>
    <w:r w:rsidRPr="008C6602">
      <w:rPr>
        <w:rFonts w:ascii="C39T30Lfz" w:hAnsi="C39T30Lfz"/>
        <w:kern w:val="14"/>
        <w:sz w:val="56"/>
      </w:rPr>
      <w:t></w:t>
    </w:r>
    <w:r w:rsidRPr="008C6602">
      <w:rPr>
        <w:rFonts w:ascii="C39T30Lfz" w:hAnsi="C39T30Lfz"/>
        <w:kern w:val="14"/>
        <w:sz w:val="56"/>
      </w:rPr>
      <w:t></w:t>
    </w:r>
    <w:r w:rsidRPr="008C6602">
      <w:rPr>
        <w:rFonts w:ascii="C39T30Lfz" w:hAnsi="C39T30Lfz"/>
        <w:kern w:val="14"/>
        <w:sz w:val="56"/>
      </w:rPr>
      <w:t></w:t>
    </w:r>
    <w:r w:rsidRPr="008C6602">
      <w:rPr>
        <w:rFonts w:ascii="C39T30Lfz" w:hAnsi="C39T30Lfz"/>
        <w:kern w:val="14"/>
        <w:sz w:val="56"/>
      </w:rPr>
      <w:t></w:t>
    </w:r>
    <w:r w:rsidRPr="008C6602">
      <w:rPr>
        <w:rFonts w:ascii="C39T30Lfz" w:hAnsi="C39T30Lfz"/>
        <w:kern w:val="14"/>
        <w:sz w:val="56"/>
      </w:rPr>
      <w:t></w:t>
    </w:r>
    <w:r w:rsidRPr="008C6602">
      <w:rPr>
        <w:rFonts w:ascii="C39T30Lfz" w:hAnsi="C39T30Lfz"/>
        <w:kern w:val="14"/>
        <w:sz w:val="56"/>
      </w:rPr>
      <w:t></w:t>
    </w:r>
    <w:r w:rsidRPr="008C6602">
      <w:rPr>
        <w:rFonts w:ascii="C39T30Lfz" w:hAnsi="C39T30Lfz"/>
        <w:kern w:val="14"/>
        <w:sz w:val="56"/>
      </w:rPr>
      <w:t></w:t>
    </w:r>
    <w:r w:rsidRPr="008C6602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5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23" w:rsidRPr="001075E9" w:rsidRDefault="00C12B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2B23" w:rsidRDefault="00C12B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6602" w:rsidRPr="00651B09" w:rsidRDefault="008C6602" w:rsidP="008C6602">
      <w:pPr>
        <w:pStyle w:val="FootnoteText"/>
      </w:pPr>
      <w:r>
        <w:tab/>
      </w:r>
      <w:r w:rsidRPr="008C6602">
        <w:rPr>
          <w:sz w:val="20"/>
        </w:rPr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02" w:rsidRPr="008C6602" w:rsidRDefault="008C6602">
    <w:pPr>
      <w:pStyle w:val="Header"/>
    </w:pPr>
    <w:fldSimple w:instr=" TITLE  \* MERGEFORMAT ">
      <w:r w:rsidR="000B231A">
        <w:t>ECE/TRANS/WP.5/2018/3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02" w:rsidRPr="008C6602" w:rsidRDefault="008C6602" w:rsidP="008C6602">
    <w:pPr>
      <w:pStyle w:val="Header"/>
      <w:jc w:val="right"/>
    </w:pPr>
    <w:fldSimple w:instr=" TITLE  \* MERGEFORMAT ">
      <w:r w:rsidR="000B231A">
        <w:t>ECE/TRANS/WP.5/2018/3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02" w:rsidRDefault="008C6602" w:rsidP="008C660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D2C9A"/>
    <w:multiLevelType w:val="hybridMultilevel"/>
    <w:tmpl w:val="C226AC4E"/>
    <w:lvl w:ilvl="0" w:tplc="A5F2AC9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20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23"/>
    <w:rsid w:val="00033EE1"/>
    <w:rsid w:val="00042B72"/>
    <w:rsid w:val="000558BD"/>
    <w:rsid w:val="000B231A"/>
    <w:rsid w:val="000B57E7"/>
    <w:rsid w:val="000B6373"/>
    <w:rsid w:val="000E4E5B"/>
    <w:rsid w:val="000F09DF"/>
    <w:rsid w:val="000F61B2"/>
    <w:rsid w:val="001075E9"/>
    <w:rsid w:val="00134E9A"/>
    <w:rsid w:val="0014152F"/>
    <w:rsid w:val="00180183"/>
    <w:rsid w:val="0018024D"/>
    <w:rsid w:val="0018649F"/>
    <w:rsid w:val="00196389"/>
    <w:rsid w:val="001B3EF6"/>
    <w:rsid w:val="001C4319"/>
    <w:rsid w:val="001C7A89"/>
    <w:rsid w:val="001F4A9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757F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1E74"/>
    <w:rsid w:val="00757357"/>
    <w:rsid w:val="00792497"/>
    <w:rsid w:val="007D3901"/>
    <w:rsid w:val="00806737"/>
    <w:rsid w:val="00825F8D"/>
    <w:rsid w:val="00834B71"/>
    <w:rsid w:val="0086445C"/>
    <w:rsid w:val="00894693"/>
    <w:rsid w:val="008A08D7"/>
    <w:rsid w:val="008A37C8"/>
    <w:rsid w:val="008B6909"/>
    <w:rsid w:val="008C660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21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2B23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74991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8C660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8C66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Normal"/>
    <w:rsid w:val="008C6602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8C6602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8C66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8C660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8C660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8C66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Normal"/>
    <w:rsid w:val="008C6602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8C6602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8C66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8C660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D5DA-D417-4D99-95A7-C057C9F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ECE/TRANS/WP.5/2018/3</vt:lpstr>
      <vt:lpstr>A/</vt:lpstr>
      <vt:lpstr>A/</vt:lpstr>
    </vt:vector>
  </TitlesOfParts>
  <Company>DCM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ECE/TRANS/WP.5/2018/3</dc:title>
  <dc:creator>SHUVALOVA Natalia</dc:creator>
  <cp:lastModifiedBy>Maria Mostovets</cp:lastModifiedBy>
  <cp:revision>2</cp:revision>
  <cp:lastPrinted>2018-07-09T06:56:00Z</cp:lastPrinted>
  <dcterms:created xsi:type="dcterms:W3CDTF">2018-08-22T17:02:00Z</dcterms:created>
  <dcterms:modified xsi:type="dcterms:W3CDTF">2018-08-22T17:02:00Z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