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B2" w:rsidRPr="005B6927" w:rsidRDefault="005B6927" w:rsidP="005B6927">
      <w:pPr>
        <w:pStyle w:val="Default"/>
        <w:adjustRightInd w:val="0"/>
        <w:rPr>
          <w:bCs/>
          <w:color w:val="00000A"/>
          <w:sz w:val="22"/>
          <w:szCs w:val="22"/>
          <w:lang w:val="en-GB"/>
        </w:rPr>
      </w:pPr>
      <w:r w:rsidRPr="005B6927">
        <w:rPr>
          <w:bCs/>
          <w:color w:val="00000A"/>
          <w:sz w:val="22"/>
          <w:szCs w:val="22"/>
          <w:lang w:val="en-GB"/>
        </w:rPr>
        <w:t>Submitted by the experts from CLEPA and OICA</w:t>
      </w:r>
      <w:r w:rsidRPr="005B6927">
        <w:rPr>
          <w:bCs/>
          <w:color w:val="00000A"/>
          <w:sz w:val="22"/>
          <w:szCs w:val="22"/>
          <w:lang w:val="en-GB"/>
        </w:rPr>
        <w:tab/>
      </w:r>
      <w:r w:rsidRPr="005B6927">
        <w:rPr>
          <w:bCs/>
          <w:color w:val="00000A"/>
          <w:sz w:val="22"/>
          <w:szCs w:val="22"/>
          <w:lang w:val="en-GB"/>
        </w:rPr>
        <w:tab/>
      </w:r>
      <w:r>
        <w:rPr>
          <w:bCs/>
          <w:color w:val="00000A"/>
          <w:sz w:val="22"/>
          <w:szCs w:val="22"/>
          <w:lang w:val="en-GB"/>
        </w:rPr>
        <w:t xml:space="preserve">      </w:t>
      </w:r>
      <w:r w:rsidRPr="005B6927">
        <w:rPr>
          <w:bCs/>
          <w:color w:val="00000A"/>
          <w:sz w:val="22"/>
          <w:szCs w:val="22"/>
          <w:u w:val="single"/>
          <w:lang w:val="en-GB"/>
        </w:rPr>
        <w:t>Informal document</w:t>
      </w:r>
      <w:r w:rsidRPr="005B6927">
        <w:rPr>
          <w:bCs/>
          <w:color w:val="00000A"/>
          <w:sz w:val="22"/>
          <w:szCs w:val="22"/>
          <w:lang w:val="en-GB"/>
        </w:rPr>
        <w:t xml:space="preserve"> </w:t>
      </w:r>
      <w:r>
        <w:rPr>
          <w:b/>
          <w:color w:val="00000A"/>
          <w:sz w:val="22"/>
          <w:szCs w:val="22"/>
          <w:lang w:val="en-GB"/>
        </w:rPr>
        <w:t>GRVA-01-22</w:t>
      </w:r>
    </w:p>
    <w:p w:rsidR="000C2DF9" w:rsidRPr="005B6927" w:rsidRDefault="005B6927" w:rsidP="005B6927">
      <w:pPr>
        <w:pStyle w:val="Default"/>
        <w:adjustRightInd w:val="0"/>
        <w:jc w:val="right"/>
        <w:rPr>
          <w:bCs/>
          <w:color w:val="00000A"/>
          <w:sz w:val="22"/>
          <w:szCs w:val="22"/>
          <w:lang w:val="en-GB"/>
        </w:rPr>
      </w:pPr>
      <w:r w:rsidRPr="005B6927">
        <w:rPr>
          <w:bCs/>
          <w:color w:val="00000A"/>
          <w:sz w:val="22"/>
          <w:szCs w:val="22"/>
          <w:lang w:val="en-GB"/>
        </w:rPr>
        <w:t>1st GRVA, 25-28 September 2018</w:t>
      </w:r>
    </w:p>
    <w:p w:rsidR="000C2DF9" w:rsidRPr="005B6927" w:rsidRDefault="005B6927" w:rsidP="005B6927">
      <w:pPr>
        <w:pStyle w:val="Default"/>
        <w:adjustRightInd w:val="0"/>
        <w:jc w:val="right"/>
        <w:rPr>
          <w:bCs/>
          <w:color w:val="00000A"/>
          <w:sz w:val="22"/>
          <w:szCs w:val="22"/>
          <w:lang w:val="en-GB"/>
        </w:rPr>
      </w:pPr>
      <w:r w:rsidRPr="005B6927">
        <w:rPr>
          <w:bCs/>
          <w:color w:val="00000A"/>
          <w:sz w:val="22"/>
          <w:szCs w:val="22"/>
          <w:lang w:val="en-GB"/>
        </w:rPr>
        <w:t>Agenda item 6(d)</w:t>
      </w:r>
    </w:p>
    <w:p w:rsidR="008A0F1D" w:rsidRPr="008A0F1D" w:rsidRDefault="008A0F1D" w:rsidP="008A0F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fr-FR"/>
        </w:rPr>
      </w:pPr>
    </w:p>
    <w:p w:rsidR="007C70B2" w:rsidRDefault="008A0F1D" w:rsidP="008A0F1D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  <w:r w:rsidRPr="008A0F1D">
        <w:rPr>
          <w:rFonts w:eastAsiaTheme="minorHAnsi"/>
          <w:lang w:val="en-US" w:eastAsia="en-US"/>
        </w:rPr>
        <w:t xml:space="preserve"> </w:t>
      </w:r>
      <w:r w:rsidRPr="008A0F1D">
        <w:rPr>
          <w:rFonts w:eastAsiaTheme="minorHAnsi"/>
          <w:b/>
          <w:bCs/>
          <w:sz w:val="28"/>
          <w:szCs w:val="28"/>
          <w:lang w:val="en-US" w:eastAsia="en-US"/>
        </w:rPr>
        <w:t>Proposal for a Supplement to the 0</w:t>
      </w:r>
      <w:r>
        <w:rPr>
          <w:rFonts w:eastAsiaTheme="minorHAnsi"/>
          <w:b/>
          <w:bCs/>
          <w:sz w:val="28"/>
          <w:szCs w:val="28"/>
          <w:lang w:val="en-US" w:eastAsia="en-US"/>
        </w:rPr>
        <w:t>3</w:t>
      </w:r>
      <w:r w:rsidRPr="008A0F1D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="005B6927">
        <w:rPr>
          <w:rFonts w:eastAsiaTheme="minorHAnsi"/>
          <w:b/>
          <w:bCs/>
          <w:sz w:val="28"/>
          <w:szCs w:val="28"/>
          <w:lang w:val="en-US" w:eastAsia="en-US"/>
        </w:rPr>
        <w:t>s</w:t>
      </w:r>
      <w:r w:rsidRPr="008A0F1D">
        <w:rPr>
          <w:rFonts w:eastAsiaTheme="minorHAnsi"/>
          <w:b/>
          <w:bCs/>
          <w:sz w:val="28"/>
          <w:szCs w:val="28"/>
          <w:lang w:val="en-US" w:eastAsia="en-US"/>
        </w:rPr>
        <w:t xml:space="preserve">eries of </w:t>
      </w:r>
      <w:r w:rsidR="005B6927">
        <w:rPr>
          <w:rFonts w:eastAsiaTheme="minorHAnsi"/>
          <w:b/>
          <w:bCs/>
          <w:sz w:val="28"/>
          <w:szCs w:val="28"/>
          <w:lang w:val="en-US" w:eastAsia="en-US"/>
        </w:rPr>
        <w:t>a</w:t>
      </w:r>
      <w:r w:rsidRPr="008A0F1D">
        <w:rPr>
          <w:rFonts w:eastAsiaTheme="minorHAnsi"/>
          <w:b/>
          <w:bCs/>
          <w:sz w:val="28"/>
          <w:szCs w:val="28"/>
          <w:lang w:val="en-US" w:eastAsia="en-US"/>
        </w:rPr>
        <w:t>m</w:t>
      </w:r>
      <w:r>
        <w:rPr>
          <w:rFonts w:eastAsiaTheme="minorHAnsi"/>
          <w:b/>
          <w:bCs/>
          <w:sz w:val="28"/>
          <w:szCs w:val="28"/>
          <w:lang w:val="en-US" w:eastAsia="en-US"/>
        </w:rPr>
        <w:t xml:space="preserve">endments </w:t>
      </w:r>
      <w:r w:rsidR="005B6927">
        <w:rPr>
          <w:rFonts w:eastAsiaTheme="minorHAnsi"/>
          <w:b/>
          <w:bCs/>
          <w:sz w:val="28"/>
          <w:szCs w:val="28"/>
          <w:lang w:val="en-US" w:eastAsia="en-US"/>
        </w:rPr>
        <w:br/>
      </w: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val="en-US" w:eastAsia="en-US"/>
        </w:rPr>
        <w:t>to UN Regulation No. 79</w:t>
      </w:r>
    </w:p>
    <w:p w:rsidR="000C2DF9" w:rsidRPr="00FC2515" w:rsidRDefault="000C2DF9" w:rsidP="007C70B2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</w:p>
    <w:p w:rsidR="008A0F1D" w:rsidRDefault="008A0F1D" w:rsidP="008A0F1D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</w:p>
    <w:p w:rsidR="007C70B2" w:rsidRPr="00FC2515" w:rsidRDefault="007C70B2" w:rsidP="0058682A">
      <w:pPr>
        <w:pStyle w:val="Default"/>
        <w:numPr>
          <w:ilvl w:val="0"/>
          <w:numId w:val="4"/>
        </w:numPr>
        <w:spacing w:before="240" w:after="200"/>
        <w:jc w:val="both"/>
        <w:rPr>
          <w:b/>
          <w:color w:val="00000A"/>
          <w:sz w:val="22"/>
          <w:szCs w:val="22"/>
          <w:u w:val="single"/>
          <w:lang w:val="en-GB"/>
        </w:rPr>
      </w:pPr>
      <w:r w:rsidRPr="00FC2515">
        <w:rPr>
          <w:b/>
          <w:color w:val="00000A"/>
          <w:sz w:val="22"/>
          <w:szCs w:val="22"/>
          <w:u w:val="single"/>
          <w:lang w:val="en-GB"/>
        </w:rPr>
        <w:t>Background</w:t>
      </w:r>
    </w:p>
    <w:p w:rsidR="008A0F1D" w:rsidRDefault="00EF46E8" w:rsidP="008A0F1D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  <w:r w:rsidRPr="00FC2515">
        <w:rPr>
          <w:color w:val="auto"/>
          <w:sz w:val="22"/>
          <w:szCs w:val="22"/>
          <w:lang w:val="en-GB"/>
        </w:rPr>
        <w:t xml:space="preserve">The proposed changes are </w:t>
      </w:r>
      <w:r w:rsidR="000C2DF9">
        <w:rPr>
          <w:color w:val="auto"/>
          <w:sz w:val="22"/>
          <w:szCs w:val="22"/>
          <w:lang w:val="en-GB"/>
        </w:rPr>
        <w:t>in red and based</w:t>
      </w:r>
      <w:r w:rsidRPr="00FC2515">
        <w:rPr>
          <w:color w:val="auto"/>
          <w:sz w:val="22"/>
          <w:szCs w:val="22"/>
          <w:lang w:val="en-GB"/>
        </w:rPr>
        <w:t xml:space="preserve"> on </w:t>
      </w:r>
      <w:r w:rsidR="009475E1">
        <w:rPr>
          <w:color w:val="auto"/>
          <w:sz w:val="22"/>
          <w:szCs w:val="22"/>
          <w:lang w:val="en-GB"/>
        </w:rPr>
        <w:t xml:space="preserve">formal </w:t>
      </w:r>
      <w:r w:rsidRPr="00FC2515">
        <w:rPr>
          <w:color w:val="auto"/>
          <w:sz w:val="22"/>
          <w:szCs w:val="22"/>
          <w:lang w:val="en-GB"/>
        </w:rPr>
        <w:t xml:space="preserve">document </w:t>
      </w:r>
      <w:r w:rsidR="008A0F1D">
        <w:rPr>
          <w:b/>
          <w:color w:val="00000A"/>
          <w:sz w:val="22"/>
          <w:szCs w:val="22"/>
          <w:lang w:val="en-GB"/>
        </w:rPr>
        <w:t>ECE</w:t>
      </w:r>
      <w:r w:rsidR="008A0F1D" w:rsidRPr="000C2DF9">
        <w:rPr>
          <w:b/>
          <w:color w:val="00000A"/>
          <w:sz w:val="22"/>
          <w:szCs w:val="22"/>
          <w:lang w:val="en-GB"/>
        </w:rPr>
        <w:t>/TRANS/WP.29/GRVA/2018/2</w:t>
      </w:r>
      <w:r w:rsidR="001127E6">
        <w:rPr>
          <w:b/>
          <w:color w:val="00000A"/>
          <w:sz w:val="22"/>
          <w:szCs w:val="22"/>
          <w:lang w:val="en-GB"/>
        </w:rPr>
        <w:t>.</w:t>
      </w:r>
    </w:p>
    <w:p w:rsidR="001127E6" w:rsidRDefault="001127E6" w:rsidP="008A0F1D">
      <w:pPr>
        <w:pStyle w:val="Default"/>
        <w:jc w:val="center"/>
        <w:rPr>
          <w:b/>
          <w:color w:val="00000A"/>
          <w:sz w:val="22"/>
          <w:szCs w:val="22"/>
          <w:lang w:val="en-GB"/>
        </w:rPr>
      </w:pPr>
    </w:p>
    <w:p w:rsidR="007C70B2" w:rsidRPr="00FC2515" w:rsidRDefault="0058682A" w:rsidP="0058682A">
      <w:pPr>
        <w:pStyle w:val="Default"/>
        <w:numPr>
          <w:ilvl w:val="0"/>
          <w:numId w:val="4"/>
        </w:numPr>
        <w:spacing w:before="240" w:after="200"/>
        <w:jc w:val="both"/>
        <w:rPr>
          <w:b/>
          <w:color w:val="00000A"/>
          <w:sz w:val="22"/>
          <w:szCs w:val="22"/>
          <w:u w:val="single"/>
          <w:lang w:val="en-GB"/>
        </w:rPr>
      </w:pPr>
      <w:r>
        <w:rPr>
          <w:b/>
          <w:color w:val="00000A"/>
          <w:sz w:val="22"/>
          <w:szCs w:val="22"/>
          <w:u w:val="single"/>
          <w:lang w:val="en-GB"/>
        </w:rPr>
        <w:t>Proposal</w:t>
      </w:r>
    </w:p>
    <w:p w:rsidR="000C2DF9" w:rsidRPr="000C2DF9" w:rsidRDefault="000C2DF9" w:rsidP="000C2DF9">
      <w:pPr>
        <w:rPr>
          <w:rFonts w:ascii="Times New Roman" w:eastAsiaTheme="minorHAnsi" w:hAnsi="Times New Roman"/>
          <w:lang w:val="en-GB"/>
        </w:rPr>
      </w:pPr>
      <w:r w:rsidRPr="000C2DF9">
        <w:rPr>
          <w:lang w:val="en-GB"/>
        </w:rPr>
        <w:t>Amend 5.6.4.6.4.</w:t>
      </w:r>
    </w:p>
    <w:p w:rsidR="000C2DF9" w:rsidRPr="000C2DF9" w:rsidRDefault="000C2DF9" w:rsidP="000C2DF9">
      <w:pPr>
        <w:pStyle w:val="ListParagraph"/>
        <w:spacing w:after="120" w:line="240" w:lineRule="auto"/>
        <w:ind w:right="1134"/>
        <w:jc w:val="both"/>
        <w:rPr>
          <w:lang w:val="en-GB"/>
        </w:rPr>
      </w:pPr>
      <w:r w:rsidRPr="000C2DF9">
        <w:rPr>
          <w:lang w:val="en-GB"/>
        </w:rPr>
        <w:t>5.6.4.6.4.        The lateral movement of the vehicle towards the intended lane shall not start earlier than 1 s</w:t>
      </w:r>
      <w:r w:rsidRPr="000C2DF9">
        <w:rPr>
          <w:b/>
          <w:bCs/>
          <w:lang w:val="en-GB"/>
        </w:rPr>
        <w:t>econd</w:t>
      </w:r>
      <w:r w:rsidRPr="000C2DF9">
        <w:rPr>
          <w:lang w:val="en-GB"/>
        </w:rPr>
        <w:t xml:space="preserve"> after the start of the lane change procedure. Additionally</w:t>
      </w:r>
      <w:r w:rsidRPr="000C2DF9">
        <w:rPr>
          <w:b/>
          <w:bCs/>
          <w:lang w:val="en-GB"/>
        </w:rPr>
        <w:t>,</w:t>
      </w:r>
      <w:r w:rsidRPr="000C2DF9">
        <w:rPr>
          <w:lang w:val="en-GB"/>
        </w:rPr>
        <w:t xml:space="preserve"> the lateral movement to approach the lane marking and the lateral movement necessary to complete the lane change manoeuvre shall be completed as one continuous movement.</w:t>
      </w:r>
    </w:p>
    <w:p w:rsidR="000C2DF9" w:rsidRPr="000C2DF9" w:rsidRDefault="000C2DF9" w:rsidP="000C2DF9">
      <w:pPr>
        <w:pStyle w:val="ListParagraph"/>
        <w:spacing w:after="120"/>
        <w:ind w:right="1134"/>
        <w:jc w:val="both"/>
        <w:rPr>
          <w:lang w:val="en-GB"/>
        </w:rPr>
      </w:pPr>
      <w:r w:rsidRPr="000C2DF9">
        <w:rPr>
          <w:strike/>
          <w:lang w:val="en-GB"/>
        </w:rPr>
        <w:t>The lane change manoeuvre shall not be initiated before a period of 3.0 seconds and not later than 5.0 seconds after the deliberate action of the driver described in paragraph 5.6.4.6.2. above</w:t>
      </w:r>
      <w:r w:rsidRPr="000C2DF9">
        <w:rPr>
          <w:lang w:val="en-GB"/>
        </w:rPr>
        <w:t>.</w:t>
      </w:r>
    </w:p>
    <w:p w:rsidR="000C2DF9" w:rsidRPr="000C2DF9" w:rsidRDefault="000C2DF9" w:rsidP="000C2DF9">
      <w:pPr>
        <w:pStyle w:val="ListParagraph"/>
        <w:spacing w:after="120" w:line="240" w:lineRule="auto"/>
        <w:ind w:right="1134"/>
        <w:jc w:val="both"/>
        <w:rPr>
          <w:b/>
          <w:bCs/>
          <w:color w:val="FF0000"/>
          <w:lang w:val="en-GB"/>
        </w:rPr>
      </w:pPr>
      <w:r w:rsidRPr="000C2DF9">
        <w:rPr>
          <w:b/>
          <w:bCs/>
          <w:lang w:val="en-GB"/>
        </w:rPr>
        <w:t>The lateral movement may be initiated automatically or by a second deliberate action of the driver</w:t>
      </w:r>
      <w:r>
        <w:rPr>
          <w:b/>
          <w:bCs/>
          <w:color w:val="FF0000"/>
          <w:lang w:val="en-GB"/>
        </w:rPr>
        <w:t>, as per Annex 9</w:t>
      </w:r>
      <w:r w:rsidRPr="000C2DF9">
        <w:rPr>
          <w:b/>
          <w:bCs/>
          <w:color w:val="FF0000"/>
          <w:lang w:val="en-GB"/>
        </w:rPr>
        <w:t xml:space="preserve">. </w:t>
      </w:r>
    </w:p>
    <w:p w:rsidR="000C2DF9" w:rsidRPr="000C2DF9" w:rsidRDefault="000C2DF9" w:rsidP="000C2DF9">
      <w:pPr>
        <w:pStyle w:val="ListParagraph"/>
        <w:rPr>
          <w:lang w:val="en-GB"/>
        </w:rPr>
      </w:pPr>
    </w:p>
    <w:p w:rsidR="000C2DF9" w:rsidRPr="000C2DF9" w:rsidRDefault="000C2DF9" w:rsidP="000C2DF9">
      <w:pPr>
        <w:spacing w:after="120" w:line="240" w:lineRule="auto"/>
        <w:ind w:right="1134"/>
        <w:jc w:val="both"/>
        <w:rPr>
          <w:i/>
          <w:iCs/>
          <w:lang w:val="en-GB"/>
        </w:rPr>
      </w:pPr>
      <w:r w:rsidRPr="000C2DF9">
        <w:rPr>
          <w:i/>
          <w:iCs/>
          <w:lang w:val="en-GB"/>
        </w:rPr>
        <w:t xml:space="preserve">Paragraph 5.6.4.6.7., </w:t>
      </w:r>
      <w:r w:rsidRPr="000C2DF9">
        <w:rPr>
          <w:lang w:val="en-GB"/>
        </w:rPr>
        <w:t>amend to read:</w:t>
      </w:r>
      <w:r w:rsidRPr="000C2DF9">
        <w:rPr>
          <w:i/>
          <w:iCs/>
          <w:lang w:val="en-GB"/>
        </w:rPr>
        <w:t xml:space="preserve"> </w:t>
      </w:r>
    </w:p>
    <w:p w:rsidR="000C2DF9" w:rsidRDefault="000C2DF9" w:rsidP="000C2DF9">
      <w:pPr>
        <w:pStyle w:val="SingleTxtG"/>
        <w:spacing w:line="240" w:lineRule="auto"/>
        <w:ind w:left="720"/>
        <w:rPr>
          <w:b/>
          <w:bCs/>
          <w:lang w:val="en-IN"/>
        </w:rPr>
      </w:pPr>
      <w:r>
        <w:rPr>
          <w:lang w:val="en-IN"/>
        </w:rPr>
        <w:t xml:space="preserve">5.6.4.6.7.     The direction indicator shall remain active throughout the whole period of the lane change manoeuvre and shall be </w:t>
      </w:r>
      <w:r>
        <w:rPr>
          <w:b/>
          <w:bCs/>
          <w:color w:val="FF0000"/>
          <w:lang w:val="en-IN"/>
        </w:rPr>
        <w:t xml:space="preserve">automatically </w:t>
      </w:r>
      <w:r>
        <w:rPr>
          <w:lang w:val="en-IN"/>
        </w:rPr>
        <w:t>deactivated by the system no later than 0.5 seconds after the resumption of ACSF of Category B1 lane keeping function as described in paragraph 5.6.4.6.6 above.</w:t>
      </w:r>
      <w:r>
        <w:rPr>
          <w:b/>
          <w:bCs/>
          <w:lang w:val="en-IN"/>
        </w:rPr>
        <w:t xml:space="preserve"> Automatic deactivation </w:t>
      </w:r>
      <w:r>
        <w:rPr>
          <w:b/>
          <w:bCs/>
          <w:color w:val="FF0000"/>
          <w:lang w:val="en-IN"/>
        </w:rPr>
        <w:t>by the system</w:t>
      </w:r>
      <w:r>
        <w:rPr>
          <w:b/>
          <w:bCs/>
          <w:lang w:val="en-IN"/>
        </w:rPr>
        <w:t xml:space="preserve"> of the direction indicator is only required if the lane change manoeuvre is initiated automatically without a second deliberate action.</w:t>
      </w:r>
      <w:r>
        <w:rPr>
          <w:lang w:val="en-IN"/>
        </w:rPr>
        <w:t>"</w:t>
      </w: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Default="000C2DF9" w:rsidP="000C2DF9">
      <w:pPr>
        <w:rPr>
          <w:color w:val="FF0000"/>
          <w:lang w:val="en-GB"/>
        </w:rPr>
      </w:pPr>
    </w:p>
    <w:p w:rsidR="000C2DF9" w:rsidRPr="000C2DF9" w:rsidRDefault="000C2DF9" w:rsidP="000C2DF9">
      <w:pPr>
        <w:rPr>
          <w:color w:val="FF0000"/>
          <w:lang w:val="en-GB"/>
        </w:rPr>
      </w:pPr>
      <w:r w:rsidRPr="000C2DF9">
        <w:rPr>
          <w:color w:val="FF0000"/>
          <w:lang w:val="en-GB"/>
        </w:rPr>
        <w:t>Add a new</w:t>
      </w:r>
      <w:r>
        <w:rPr>
          <w:color w:val="FF0000"/>
          <w:lang w:val="en-GB"/>
        </w:rPr>
        <w:t xml:space="preserve"> Annex 9</w:t>
      </w:r>
      <w:r w:rsidRPr="000C2DF9">
        <w:rPr>
          <w:color w:val="FF0000"/>
          <w:lang w:val="en-GB"/>
        </w:rPr>
        <w:t>:</w:t>
      </w:r>
    </w:p>
    <w:p w:rsidR="000C2DF9" w:rsidRPr="000C2DF9" w:rsidRDefault="000C2DF9" w:rsidP="000C2DF9">
      <w:pPr>
        <w:pStyle w:val="ListParagraph"/>
        <w:rPr>
          <w:color w:val="FF0000"/>
          <w:lang w:val="en-GB"/>
        </w:rPr>
      </w:pPr>
    </w:p>
    <w:p w:rsidR="000C2DF9" w:rsidRPr="000C2DF9" w:rsidRDefault="000C2DF9" w:rsidP="000C2DF9">
      <w:pPr>
        <w:pStyle w:val="ListParagraph"/>
        <w:rPr>
          <w:b/>
          <w:bCs/>
          <w:color w:val="FF0000"/>
          <w:lang w:val="en-GB"/>
        </w:rPr>
      </w:pPr>
      <w:r w:rsidRPr="000C2DF9">
        <w:rPr>
          <w:b/>
          <w:bCs/>
          <w:color w:val="FF0000"/>
          <w:lang w:val="en-GB"/>
        </w:rPr>
        <w:t xml:space="preserve">Annex </w:t>
      </w:r>
      <w:r>
        <w:rPr>
          <w:b/>
          <w:bCs/>
          <w:color w:val="FF0000"/>
          <w:lang w:val="en-GB"/>
        </w:rPr>
        <w:t>9</w:t>
      </w:r>
      <w:r w:rsidRPr="000C2DF9">
        <w:rPr>
          <w:b/>
          <w:bCs/>
          <w:color w:val="FF0000"/>
          <w:lang w:val="en-GB"/>
        </w:rPr>
        <w:t xml:space="preserve"> – description of lane change procedure of ACSF category C</w:t>
      </w:r>
    </w:p>
    <w:p w:rsidR="000C2DF9" w:rsidRPr="000C2DF9" w:rsidRDefault="000C2DF9" w:rsidP="000C2DF9">
      <w:pPr>
        <w:rPr>
          <w:b/>
          <w:bCs/>
          <w:color w:val="FF0000"/>
          <w:lang w:val="en-GB"/>
        </w:rPr>
      </w:pPr>
      <w:r w:rsidRPr="000C2DF9">
        <w:rPr>
          <w:b/>
          <w:bCs/>
          <w:color w:val="FF0000"/>
          <w:lang w:val="en-GB"/>
        </w:rPr>
        <w:t>The following drawings summarizes the requirements specified in paragraph 5.6.4.</w:t>
      </w:r>
    </w:p>
    <w:p w:rsidR="000C2DF9" w:rsidRPr="000C2DF9" w:rsidRDefault="00242241" w:rsidP="00242241">
      <w:pPr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1.</w:t>
      </w:r>
      <w:r w:rsidR="00A37E13">
        <w:rPr>
          <w:b/>
          <w:bCs/>
          <w:color w:val="FF0000"/>
          <w:lang w:val="en-GB"/>
        </w:rPr>
        <w:t xml:space="preserve"> </w:t>
      </w:r>
      <w:r w:rsidR="000C2DF9" w:rsidRPr="000C2DF9">
        <w:rPr>
          <w:b/>
          <w:bCs/>
          <w:color w:val="FF0000"/>
          <w:lang w:val="en-GB"/>
        </w:rPr>
        <w:t>Case where the lateral movement is initiated automatically:</w:t>
      </w:r>
    </w:p>
    <w:p w:rsidR="000C2DF9" w:rsidRPr="000C2DF9" w:rsidRDefault="000C2DF9" w:rsidP="000C2DF9">
      <w:pPr>
        <w:pStyle w:val="ListParagraph"/>
        <w:rPr>
          <w:color w:val="FF0000"/>
          <w:lang w:val="en-GB"/>
        </w:rPr>
      </w:pPr>
      <w:r>
        <w:rPr>
          <w:noProof/>
          <w:lang w:val="fr-FR" w:eastAsia="fr-FR"/>
        </w:rPr>
        <w:drawing>
          <wp:inline distT="0" distB="0" distL="0" distR="0" wp14:anchorId="64EFD32F" wp14:editId="00CBB8B0">
            <wp:extent cx="5760720" cy="3173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F9" w:rsidRPr="00242241" w:rsidRDefault="00242241" w:rsidP="00242241">
      <w:pPr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2. C</w:t>
      </w:r>
      <w:r w:rsidR="000C2DF9" w:rsidRPr="00242241">
        <w:rPr>
          <w:b/>
          <w:bCs/>
          <w:color w:val="FF0000"/>
          <w:lang w:val="en-GB"/>
        </w:rPr>
        <w:t>ase where the lateral movement is initiated by a second deliberate action of the driver:</w:t>
      </w:r>
    </w:p>
    <w:p w:rsidR="000C2DF9" w:rsidRDefault="000C2DF9" w:rsidP="000C2DF9">
      <w:pPr>
        <w:pStyle w:val="Default"/>
        <w:spacing w:before="240" w:after="200"/>
        <w:ind w:left="720"/>
        <w:jc w:val="both"/>
        <w:rPr>
          <w:b/>
          <w:color w:val="00000A"/>
          <w:sz w:val="22"/>
          <w:szCs w:val="22"/>
          <w:u w:val="single"/>
          <w:lang w:val="en-GB"/>
        </w:rPr>
      </w:pPr>
      <w:r>
        <w:rPr>
          <w:noProof/>
          <w:lang w:val="fr-FR" w:eastAsia="fr-FR"/>
        </w:rPr>
        <w:drawing>
          <wp:inline distT="0" distB="0" distL="0" distR="0" wp14:anchorId="3568A4D7" wp14:editId="620541F3">
            <wp:extent cx="5760720" cy="31972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DF9" w:rsidSect="00C24BBF">
      <w:pgSz w:w="11906" w:h="16838"/>
      <w:pgMar w:top="426" w:right="1417" w:bottom="56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27" w:rsidRDefault="005B6927" w:rsidP="005B6927">
      <w:pPr>
        <w:spacing w:after="0" w:line="240" w:lineRule="auto"/>
      </w:pPr>
      <w:r>
        <w:separator/>
      </w:r>
    </w:p>
  </w:endnote>
  <w:endnote w:type="continuationSeparator" w:id="0">
    <w:p w:rsidR="005B6927" w:rsidRDefault="005B6927" w:rsidP="005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27" w:rsidRDefault="005B6927" w:rsidP="005B6927">
      <w:pPr>
        <w:spacing w:after="0" w:line="240" w:lineRule="auto"/>
      </w:pPr>
      <w:r>
        <w:separator/>
      </w:r>
    </w:p>
  </w:footnote>
  <w:footnote w:type="continuationSeparator" w:id="0">
    <w:p w:rsidR="005B6927" w:rsidRDefault="005B6927" w:rsidP="005B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3D4"/>
    <w:multiLevelType w:val="hybridMultilevel"/>
    <w:tmpl w:val="D9949876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98E2905"/>
    <w:multiLevelType w:val="hybridMultilevel"/>
    <w:tmpl w:val="B008B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045D"/>
    <w:multiLevelType w:val="hybridMultilevel"/>
    <w:tmpl w:val="FE7EC61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145D"/>
    <w:multiLevelType w:val="hybridMultilevel"/>
    <w:tmpl w:val="D172874A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79FF05E7"/>
    <w:multiLevelType w:val="hybridMultilevel"/>
    <w:tmpl w:val="CAA00482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IN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2"/>
    <w:rsid w:val="000001AD"/>
    <w:rsid w:val="0000027C"/>
    <w:rsid w:val="00010A83"/>
    <w:rsid w:val="000160CA"/>
    <w:rsid w:val="00050555"/>
    <w:rsid w:val="00052C51"/>
    <w:rsid w:val="000A25A7"/>
    <w:rsid w:val="000A3E48"/>
    <w:rsid w:val="000B2349"/>
    <w:rsid w:val="000B4DFD"/>
    <w:rsid w:val="000C061B"/>
    <w:rsid w:val="000C2DF9"/>
    <w:rsid w:val="000E06AA"/>
    <w:rsid w:val="000E1CB4"/>
    <w:rsid w:val="001127E6"/>
    <w:rsid w:val="00140902"/>
    <w:rsid w:val="00171C3D"/>
    <w:rsid w:val="001A53BD"/>
    <w:rsid w:val="001A76C7"/>
    <w:rsid w:val="001C1AB1"/>
    <w:rsid w:val="001C5F7E"/>
    <w:rsid w:val="001E43A4"/>
    <w:rsid w:val="001E5627"/>
    <w:rsid w:val="001F1F8D"/>
    <w:rsid w:val="0020601D"/>
    <w:rsid w:val="00213F81"/>
    <w:rsid w:val="00216479"/>
    <w:rsid w:val="0021794C"/>
    <w:rsid w:val="00242241"/>
    <w:rsid w:val="00295C33"/>
    <w:rsid w:val="002B0D27"/>
    <w:rsid w:val="002C617B"/>
    <w:rsid w:val="00344E29"/>
    <w:rsid w:val="00345087"/>
    <w:rsid w:val="00364691"/>
    <w:rsid w:val="00364DD1"/>
    <w:rsid w:val="003650B2"/>
    <w:rsid w:val="00377B70"/>
    <w:rsid w:val="00380150"/>
    <w:rsid w:val="00387A0C"/>
    <w:rsid w:val="00394F8C"/>
    <w:rsid w:val="003A11E9"/>
    <w:rsid w:val="003A6BED"/>
    <w:rsid w:val="003B514A"/>
    <w:rsid w:val="003C43AE"/>
    <w:rsid w:val="003D1837"/>
    <w:rsid w:val="003F363D"/>
    <w:rsid w:val="00412F19"/>
    <w:rsid w:val="00416FA8"/>
    <w:rsid w:val="00417823"/>
    <w:rsid w:val="00423CB7"/>
    <w:rsid w:val="0043466A"/>
    <w:rsid w:val="00444F81"/>
    <w:rsid w:val="0045295F"/>
    <w:rsid w:val="005019FD"/>
    <w:rsid w:val="00507C15"/>
    <w:rsid w:val="00532C11"/>
    <w:rsid w:val="005623AA"/>
    <w:rsid w:val="005716E9"/>
    <w:rsid w:val="0058628C"/>
    <w:rsid w:val="0058682A"/>
    <w:rsid w:val="005A327D"/>
    <w:rsid w:val="005B6927"/>
    <w:rsid w:val="005C07D8"/>
    <w:rsid w:val="005C2BA7"/>
    <w:rsid w:val="005C6EB9"/>
    <w:rsid w:val="006036C4"/>
    <w:rsid w:val="00623B52"/>
    <w:rsid w:val="0063751C"/>
    <w:rsid w:val="0066376F"/>
    <w:rsid w:val="00672DAD"/>
    <w:rsid w:val="00684CF7"/>
    <w:rsid w:val="0068572E"/>
    <w:rsid w:val="006A2560"/>
    <w:rsid w:val="006C1303"/>
    <w:rsid w:val="006D3EC5"/>
    <w:rsid w:val="006E03AB"/>
    <w:rsid w:val="00711CD2"/>
    <w:rsid w:val="00744099"/>
    <w:rsid w:val="00744F03"/>
    <w:rsid w:val="00760710"/>
    <w:rsid w:val="00764AA2"/>
    <w:rsid w:val="007C70B2"/>
    <w:rsid w:val="007E3B3F"/>
    <w:rsid w:val="00816ACF"/>
    <w:rsid w:val="008228AC"/>
    <w:rsid w:val="00837DEE"/>
    <w:rsid w:val="00842A30"/>
    <w:rsid w:val="00842C32"/>
    <w:rsid w:val="008467DB"/>
    <w:rsid w:val="00860C72"/>
    <w:rsid w:val="00865DC4"/>
    <w:rsid w:val="00876673"/>
    <w:rsid w:val="008809FF"/>
    <w:rsid w:val="00883F89"/>
    <w:rsid w:val="0089105D"/>
    <w:rsid w:val="008937BF"/>
    <w:rsid w:val="00893EE1"/>
    <w:rsid w:val="008A0967"/>
    <w:rsid w:val="008A0F1D"/>
    <w:rsid w:val="008C1971"/>
    <w:rsid w:val="008C2DBC"/>
    <w:rsid w:val="008D1B58"/>
    <w:rsid w:val="008D2371"/>
    <w:rsid w:val="008E5F37"/>
    <w:rsid w:val="008F042A"/>
    <w:rsid w:val="00913AAC"/>
    <w:rsid w:val="00943130"/>
    <w:rsid w:val="00944237"/>
    <w:rsid w:val="009475E1"/>
    <w:rsid w:val="009553E6"/>
    <w:rsid w:val="0096735D"/>
    <w:rsid w:val="009778FB"/>
    <w:rsid w:val="00997A15"/>
    <w:rsid w:val="009A080D"/>
    <w:rsid w:val="009A1826"/>
    <w:rsid w:val="009A471E"/>
    <w:rsid w:val="009B70B2"/>
    <w:rsid w:val="009D5FE6"/>
    <w:rsid w:val="009F714A"/>
    <w:rsid w:val="00A05948"/>
    <w:rsid w:val="00A37E13"/>
    <w:rsid w:val="00A4108B"/>
    <w:rsid w:val="00A977D8"/>
    <w:rsid w:val="00AB3D1F"/>
    <w:rsid w:val="00AD7B59"/>
    <w:rsid w:val="00B13DDE"/>
    <w:rsid w:val="00B25460"/>
    <w:rsid w:val="00B26663"/>
    <w:rsid w:val="00B42532"/>
    <w:rsid w:val="00B46DB0"/>
    <w:rsid w:val="00B776F2"/>
    <w:rsid w:val="00B82FE7"/>
    <w:rsid w:val="00B97CA1"/>
    <w:rsid w:val="00BA308D"/>
    <w:rsid w:val="00BB4878"/>
    <w:rsid w:val="00BB4B9A"/>
    <w:rsid w:val="00BF0E8B"/>
    <w:rsid w:val="00C04017"/>
    <w:rsid w:val="00C121B4"/>
    <w:rsid w:val="00C24BBF"/>
    <w:rsid w:val="00C53194"/>
    <w:rsid w:val="00C61253"/>
    <w:rsid w:val="00C660B4"/>
    <w:rsid w:val="00C70227"/>
    <w:rsid w:val="00C83077"/>
    <w:rsid w:val="00C912EF"/>
    <w:rsid w:val="00CA4C43"/>
    <w:rsid w:val="00CE0579"/>
    <w:rsid w:val="00D13AC1"/>
    <w:rsid w:val="00D14AB0"/>
    <w:rsid w:val="00D31658"/>
    <w:rsid w:val="00D50075"/>
    <w:rsid w:val="00D73BE4"/>
    <w:rsid w:val="00D761C8"/>
    <w:rsid w:val="00E02B3D"/>
    <w:rsid w:val="00E41666"/>
    <w:rsid w:val="00E43C02"/>
    <w:rsid w:val="00E56D69"/>
    <w:rsid w:val="00E61EE7"/>
    <w:rsid w:val="00EB00A6"/>
    <w:rsid w:val="00EB2CDD"/>
    <w:rsid w:val="00EC7FC1"/>
    <w:rsid w:val="00EF46E8"/>
    <w:rsid w:val="00F01A7E"/>
    <w:rsid w:val="00F94E48"/>
    <w:rsid w:val="00FB55CD"/>
    <w:rsid w:val="00FC2515"/>
    <w:rsid w:val="00FC33F5"/>
    <w:rsid w:val="00FD317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9FAF"/>
  <w15:chartTrackingRefBased/>
  <w15:docId w15:val="{C3CCD722-CD72-44D9-801C-4C053D5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B2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qFormat/>
    <w:rsid w:val="007C70B2"/>
    <w:rPr>
      <w:lang w:val="en-GB"/>
    </w:rPr>
  </w:style>
  <w:style w:type="character" w:styleId="CommentReference">
    <w:name w:val="annotation reference"/>
    <w:semiHidden/>
    <w:qFormat/>
    <w:rsid w:val="007C70B2"/>
    <w:rPr>
      <w:sz w:val="6"/>
    </w:rPr>
  </w:style>
  <w:style w:type="character" w:customStyle="1" w:styleId="CommentTextChar">
    <w:name w:val="Comment Text Char"/>
    <w:link w:val="CommentText"/>
    <w:semiHidden/>
    <w:qFormat/>
    <w:rsid w:val="007C70B2"/>
    <w:rPr>
      <w:rFonts w:ascii="Times New Roman" w:eastAsia="MS Mincho" w:hAnsi="Times New Roman"/>
      <w:lang w:val="en-GB"/>
    </w:rPr>
  </w:style>
  <w:style w:type="paragraph" w:customStyle="1" w:styleId="Default">
    <w:name w:val="Default"/>
    <w:qFormat/>
    <w:rsid w:val="007C70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de-DE"/>
    </w:rPr>
  </w:style>
  <w:style w:type="paragraph" w:customStyle="1" w:styleId="SingleTxtG">
    <w:name w:val="_ Single Txt_G"/>
    <w:basedOn w:val="Normal"/>
    <w:link w:val="SingleTxtGChar"/>
    <w:qFormat/>
    <w:rsid w:val="007C70B2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lang w:val="en-GB"/>
    </w:rPr>
  </w:style>
  <w:style w:type="paragraph" w:styleId="CommentText">
    <w:name w:val="annotation text"/>
    <w:basedOn w:val="Normal"/>
    <w:link w:val="CommentTextChar"/>
    <w:semiHidden/>
    <w:qFormat/>
    <w:rsid w:val="007C70B2"/>
    <w:pPr>
      <w:suppressAutoHyphens/>
      <w:spacing w:after="0" w:line="240" w:lineRule="atLeast"/>
    </w:pPr>
    <w:rPr>
      <w:rFonts w:ascii="Times New Roman" w:eastAsia="MS Mincho" w:hAnsi="Times New Roman" w:cstheme="minorBidi"/>
      <w:lang w:val="en-GB"/>
    </w:rPr>
  </w:style>
  <w:style w:type="character" w:customStyle="1" w:styleId="CommentaireCar1">
    <w:name w:val="Commentaire Car1"/>
    <w:basedOn w:val="DefaultParagraphFont"/>
    <w:uiPriority w:val="99"/>
    <w:semiHidden/>
    <w:rsid w:val="007C70B2"/>
    <w:rPr>
      <w:rFonts w:ascii="Calibri" w:eastAsia="Calibri" w:hAnsi="Calibri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C7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2"/>
    <w:rPr>
      <w:rFonts w:ascii="Segoe UI" w:eastAsia="Calibr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27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B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27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7739-265D-4666-BC61-220A1799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1563</Characters>
  <Application>Microsoft Office Word</Application>
  <DocSecurity>0</DocSecurity>
  <Lines>25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PEUGEOT CITROEN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YAHIA - U218365</dc:creator>
  <cp:keywords/>
  <dc:description/>
  <cp:lastModifiedBy>Francois Guichard</cp:lastModifiedBy>
  <cp:revision>9</cp:revision>
  <dcterms:created xsi:type="dcterms:W3CDTF">2018-09-21T16:00:00Z</dcterms:created>
  <dcterms:modified xsi:type="dcterms:W3CDTF">2018-09-24T07:28:00Z</dcterms:modified>
</cp:coreProperties>
</file>