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1122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1122E" w:rsidP="0051122E">
            <w:pPr>
              <w:jc w:val="right"/>
            </w:pPr>
            <w:r w:rsidRPr="0051122E">
              <w:rPr>
                <w:sz w:val="40"/>
              </w:rPr>
              <w:t>ECE</w:t>
            </w:r>
            <w:r>
              <w:t>/TRANS/WP.29/GRVA/2018/12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1122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51122E" w:rsidRDefault="0051122E" w:rsidP="0051122E">
            <w:pPr>
              <w:spacing w:line="240" w:lineRule="exact"/>
            </w:pPr>
            <w:r>
              <w:t>17 juillet 2018</w:t>
            </w:r>
          </w:p>
          <w:p w:rsidR="0051122E" w:rsidRDefault="0051122E" w:rsidP="0051122E">
            <w:pPr>
              <w:spacing w:line="240" w:lineRule="exact"/>
            </w:pPr>
            <w:r>
              <w:t>Français</w:t>
            </w:r>
          </w:p>
          <w:p w:rsidR="0051122E" w:rsidRPr="00DB58B5" w:rsidRDefault="0051122E" w:rsidP="0051122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B657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54D6C" w:rsidRDefault="00D54D6C" w:rsidP="00D54D6C">
      <w:pPr>
        <w:spacing w:before="120" w:after="120"/>
        <w:rPr>
          <w:b/>
          <w:sz w:val="24"/>
          <w:szCs w:val="24"/>
        </w:rPr>
      </w:pPr>
      <w:bookmarkStart w:id="1" w:name="_Hlk518466992"/>
      <w:r w:rsidRPr="00685843">
        <w:rPr>
          <w:b/>
          <w:sz w:val="24"/>
          <w:szCs w:val="24"/>
        </w:rPr>
        <w:t>Forum mondial de l</w:t>
      </w:r>
      <w:r w:rsidR="000B657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54D6C" w:rsidRDefault="00D54D6C" w:rsidP="00D54D6C">
      <w:pPr>
        <w:spacing w:after="120"/>
      </w:pPr>
      <w:r w:rsidRPr="00D54D6C">
        <w:rPr>
          <w:b/>
          <w:lang w:val="fr-FR"/>
        </w:rPr>
        <w:t>Groupe de travail sur les véhicules automatisés/autonomes et connectés</w:t>
      </w:r>
      <w:r w:rsidRPr="002D5C8C">
        <w:rPr>
          <w:rStyle w:val="FootnoteReference"/>
          <w:vertAlign w:val="baseline"/>
          <w:lang w:val="fr-FR"/>
        </w:rPr>
        <w:footnoteReference w:customMarkFollows="1" w:id="2"/>
        <w:t>*</w:t>
      </w:r>
      <w:bookmarkEnd w:id="1"/>
    </w:p>
    <w:p w:rsidR="00D54D6C" w:rsidRPr="00D54D6C" w:rsidRDefault="00D54D6C" w:rsidP="00D54D6C">
      <w:pPr>
        <w:rPr>
          <w:b/>
        </w:rPr>
      </w:pPr>
      <w:r w:rsidRPr="00D54D6C">
        <w:rPr>
          <w:b/>
          <w:lang w:val="fr-FR"/>
        </w:rPr>
        <w:t>Première session</w:t>
      </w:r>
    </w:p>
    <w:p w:rsidR="00D54D6C" w:rsidRPr="004C4906" w:rsidRDefault="00D54D6C" w:rsidP="00D54D6C">
      <w:r>
        <w:rPr>
          <w:lang w:val="fr-FR"/>
        </w:rPr>
        <w:t>Genève, 25-28 septembre 2018</w:t>
      </w:r>
    </w:p>
    <w:p w:rsidR="00D54D6C" w:rsidRPr="003E6B09" w:rsidRDefault="00D54D6C" w:rsidP="00D54D6C">
      <w:r>
        <w:rPr>
          <w:lang w:val="fr-FR"/>
        </w:rPr>
        <w:t>Point 12 de l</w:t>
      </w:r>
      <w:r w:rsidR="000B6574">
        <w:rPr>
          <w:lang w:val="fr-FR"/>
        </w:rPr>
        <w:t>’</w:t>
      </w:r>
      <w:r>
        <w:rPr>
          <w:lang w:val="fr-FR"/>
        </w:rPr>
        <w:t>ordre du jour provisoire</w:t>
      </w:r>
    </w:p>
    <w:p w:rsidR="00D54D6C" w:rsidRPr="00D54D6C" w:rsidRDefault="00D54D6C" w:rsidP="00D54D6C">
      <w:pPr>
        <w:rPr>
          <w:b/>
        </w:rPr>
      </w:pPr>
      <w:r w:rsidRPr="00D54D6C">
        <w:rPr>
          <w:b/>
          <w:lang w:val="fr-FR"/>
        </w:rPr>
        <w:t>Règlement ONU n</w:t>
      </w:r>
      <w:r w:rsidRPr="00D54D6C">
        <w:rPr>
          <w:b/>
          <w:vertAlign w:val="superscript"/>
          <w:lang w:val="fr-FR"/>
        </w:rPr>
        <w:t>o</w:t>
      </w:r>
      <w:r w:rsidRPr="00D54D6C">
        <w:rPr>
          <w:b/>
          <w:lang w:val="fr-FR"/>
        </w:rPr>
        <w:t xml:space="preserve"> 90</w:t>
      </w:r>
    </w:p>
    <w:p w:rsidR="00D54D6C" w:rsidRPr="004C4906" w:rsidRDefault="00D54D6C" w:rsidP="00D54D6C">
      <w:pPr>
        <w:pStyle w:val="HChG"/>
      </w:pPr>
      <w:bookmarkStart w:id="2" w:name="OLE_LINK2"/>
      <w:r>
        <w:rPr>
          <w:lang w:val="fr-FR"/>
        </w:rPr>
        <w:tab/>
      </w:r>
      <w:r>
        <w:rPr>
          <w:lang w:val="fr-FR"/>
        </w:rPr>
        <w:tab/>
        <w:t>Proposition de complément à la série 02 d</w:t>
      </w:r>
      <w:r w:rsidR="000B6574">
        <w:rPr>
          <w:lang w:val="fr-FR"/>
        </w:rPr>
        <w:t>’</w:t>
      </w:r>
      <w:r w:rsidR="00EA4092">
        <w:rPr>
          <w:lang w:val="fr-FR"/>
        </w:rPr>
        <w:t>amendements</w:t>
      </w:r>
      <w:r w:rsidR="00EA4092">
        <w:rPr>
          <w:lang w:val="fr-FR"/>
        </w:rPr>
        <w:br/>
      </w:r>
      <w:r>
        <w:rPr>
          <w:lang w:val="fr-FR"/>
        </w:rPr>
        <w:t>au Règlement ONU n</w:t>
      </w:r>
      <w:r w:rsidRPr="00527164">
        <w:rPr>
          <w:vertAlign w:val="superscript"/>
          <w:lang w:val="fr-FR"/>
        </w:rPr>
        <w:t>o</w:t>
      </w:r>
      <w:r>
        <w:rPr>
          <w:lang w:val="fr-FR"/>
        </w:rPr>
        <w:t xml:space="preserve"> 90 (Garnitures de frein de rechange)</w:t>
      </w:r>
      <w:bookmarkEnd w:id="2"/>
    </w:p>
    <w:p w:rsidR="00D54D6C" w:rsidRDefault="00D54D6C" w:rsidP="00D54D6C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0B6574">
        <w:rPr>
          <w:lang w:val="fr-FR"/>
        </w:rPr>
        <w:t>’</w:t>
      </w:r>
      <w:r>
        <w:rPr>
          <w:lang w:val="fr-FR"/>
        </w:rPr>
        <w:t>expert de l</w:t>
      </w:r>
      <w:r w:rsidR="000B6574">
        <w:rPr>
          <w:lang w:val="fr-FR"/>
        </w:rPr>
        <w:t>’</w:t>
      </w:r>
      <w:r>
        <w:rPr>
          <w:lang w:val="fr-FR"/>
        </w:rPr>
        <w:t>Espagne</w:t>
      </w:r>
      <w:r w:rsidRPr="002D5C8C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:rsidR="00D54D6C" w:rsidRDefault="00D54D6C" w:rsidP="00D54D6C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</w:t>
      </w:r>
      <w:r w:rsidR="000B6574">
        <w:rPr>
          <w:lang w:val="fr-FR"/>
        </w:rPr>
        <w:t>’</w:t>
      </w:r>
      <w:r>
        <w:rPr>
          <w:lang w:val="fr-FR"/>
        </w:rPr>
        <w:t>expert de l</w:t>
      </w:r>
      <w:r w:rsidR="000B6574">
        <w:rPr>
          <w:lang w:val="fr-FR"/>
        </w:rPr>
        <w:t>’</w:t>
      </w:r>
      <w:r>
        <w:rPr>
          <w:lang w:val="fr-FR"/>
        </w:rPr>
        <w:t>Espagne, qui préside le groupe spécial d</w:t>
      </w:r>
      <w:r w:rsidR="000B6574">
        <w:rPr>
          <w:lang w:val="fr-FR"/>
        </w:rPr>
        <w:t>’</w:t>
      </w:r>
      <w:r>
        <w:rPr>
          <w:lang w:val="fr-FR"/>
        </w:rPr>
        <w:t xml:space="preserve">intérêt chargé du Règlement ONU </w:t>
      </w:r>
      <w:r w:rsidRPr="00D54D6C">
        <w:rPr>
          <w:rFonts w:eastAsia="MS Mincho"/>
          <w:lang w:val="fr-FR"/>
        </w:rPr>
        <w:t>n</w:t>
      </w:r>
      <w:r w:rsidRPr="00D54D6C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90, présente des amendements visant à aligner le texte de l</w:t>
      </w:r>
      <w:r w:rsidR="000B6574">
        <w:rPr>
          <w:lang w:val="fr-FR"/>
        </w:rPr>
        <w:t>’</w:t>
      </w:r>
      <w:r>
        <w:rPr>
          <w:lang w:val="fr-FR"/>
        </w:rPr>
        <w:t xml:space="preserve">annexe 7 de ce Règlement sur les dispositions du Règlement ONU </w:t>
      </w:r>
      <w:r w:rsidRPr="00D54D6C">
        <w:rPr>
          <w:rFonts w:eastAsia="MS Mincho"/>
          <w:lang w:val="fr-FR"/>
        </w:rPr>
        <w:t>n</w:t>
      </w:r>
      <w:r w:rsidRPr="00D54D6C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78, sur la base du document GRRF-86-41. Il mentionne également les catégories de véhicules L</w:t>
      </w:r>
      <w:r w:rsidRPr="008519E8">
        <w:rPr>
          <w:vertAlign w:val="subscript"/>
          <w:lang w:val="fr-FR"/>
        </w:rPr>
        <w:t>6</w:t>
      </w:r>
      <w:r>
        <w:rPr>
          <w:lang w:val="fr-FR"/>
        </w:rPr>
        <w:t xml:space="preserve"> et L</w:t>
      </w:r>
      <w:r w:rsidRPr="008519E8">
        <w:rPr>
          <w:vertAlign w:val="subscript"/>
          <w:lang w:val="fr-FR"/>
        </w:rPr>
        <w:t>7</w:t>
      </w:r>
      <w:r>
        <w:rPr>
          <w:lang w:val="fr-FR"/>
        </w:rPr>
        <w:t xml:space="preserve">, pour répondre à </w:t>
      </w:r>
      <w:r w:rsidRPr="00405A09">
        <w:rPr>
          <w:lang w:val="fr-FR"/>
        </w:rPr>
        <w:t>l</w:t>
      </w:r>
      <w:r w:rsidR="000B6574">
        <w:rPr>
          <w:lang w:val="fr-FR"/>
        </w:rPr>
        <w:t>’</w:t>
      </w:r>
      <w:r w:rsidRPr="00405A09">
        <w:rPr>
          <w:lang w:val="fr-FR"/>
        </w:rPr>
        <w:t xml:space="preserve">industrie </w:t>
      </w:r>
      <w:r>
        <w:rPr>
          <w:lang w:val="fr-FR"/>
        </w:rPr>
        <w:t>qui demande</w:t>
      </w:r>
      <w:r w:rsidR="00706910">
        <w:rPr>
          <w:lang w:val="fr-FR"/>
        </w:rPr>
        <w:t xml:space="preserve"> </w:t>
      </w:r>
      <w:r>
        <w:rPr>
          <w:lang w:val="fr-FR"/>
        </w:rPr>
        <w:t>l</w:t>
      </w:r>
      <w:r w:rsidR="000B6574">
        <w:rPr>
          <w:lang w:val="fr-FR"/>
        </w:rPr>
        <w:t>’</w:t>
      </w:r>
      <w:r>
        <w:rPr>
          <w:lang w:val="fr-FR"/>
        </w:rPr>
        <w:t>homologation de type des garnitures de frein assemblées de rechange pour les véhicules des catégories L</w:t>
      </w:r>
      <w:r w:rsidRPr="008519E8">
        <w:rPr>
          <w:vertAlign w:val="subscript"/>
          <w:lang w:val="fr-FR"/>
        </w:rPr>
        <w:t>6</w:t>
      </w:r>
      <w:r>
        <w:rPr>
          <w:lang w:val="fr-FR"/>
        </w:rPr>
        <w:t xml:space="preserve"> et L</w:t>
      </w:r>
      <w:r w:rsidRPr="008519E8">
        <w:rPr>
          <w:vertAlign w:val="subscript"/>
          <w:lang w:val="fr-FR"/>
        </w:rPr>
        <w:t>7</w:t>
      </w:r>
      <w:r>
        <w:rPr>
          <w:lang w:val="fr-FR"/>
        </w:rPr>
        <w:t xml:space="preserve"> qui figurent dans la dernière version du Règlement ONU </w:t>
      </w:r>
      <w:r w:rsidRPr="00D54D6C">
        <w:rPr>
          <w:rFonts w:eastAsia="MS Mincho"/>
          <w:lang w:val="fr-FR"/>
        </w:rPr>
        <w:t>n</w:t>
      </w:r>
      <w:r w:rsidRPr="00D54D6C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78. Les modifications qu</w:t>
      </w:r>
      <w:r w:rsidR="000B6574">
        <w:rPr>
          <w:lang w:val="fr-FR"/>
        </w:rPr>
        <w:t>’</w:t>
      </w:r>
      <w:r>
        <w:rPr>
          <w:lang w:val="fr-FR"/>
        </w:rPr>
        <w:t>il est proposé d</w:t>
      </w:r>
      <w:r w:rsidR="000B6574">
        <w:rPr>
          <w:lang w:val="fr-FR"/>
        </w:rPr>
        <w:t>’</w:t>
      </w:r>
      <w:r>
        <w:rPr>
          <w:lang w:val="fr-FR"/>
        </w:rPr>
        <w:t>apporter au texte actuel du Règlement figurent en caractères gras pour les ajouts et biffés pour les suppressions.</w:t>
      </w:r>
    </w:p>
    <w:p w:rsidR="00D54D6C" w:rsidRDefault="00D54D6C" w:rsidP="00D54D6C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:rsidR="00D54D6C" w:rsidRDefault="00D54D6C" w:rsidP="00D54D6C">
      <w:pPr>
        <w:pStyle w:val="SingleTxtG"/>
      </w:pPr>
      <w:bookmarkStart w:id="3" w:name="_Hlk517881726"/>
      <w:r w:rsidRPr="00D54D6C">
        <w:rPr>
          <w:lang w:val="fr-FR"/>
        </w:rPr>
        <w:t>Annexe 7</w:t>
      </w:r>
      <w:r>
        <w:rPr>
          <w:lang w:val="fr-FR"/>
        </w:rPr>
        <w:t>, modifier comme suit :</w:t>
      </w:r>
    </w:p>
    <w:p w:rsidR="00D54D6C" w:rsidRPr="00A06B0F" w:rsidRDefault="00D54D6C" w:rsidP="00D54D6C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D54D6C">
        <w:rPr>
          <w:b w:val="0"/>
          <w:sz w:val="20"/>
          <w:lang w:val="fr-FR"/>
        </w:rPr>
        <w:t>« </w:t>
      </w:r>
      <w:r>
        <w:rPr>
          <w:lang w:val="fr-FR"/>
        </w:rPr>
        <w:t>Annexe 7</w:t>
      </w:r>
    </w:p>
    <w:p w:rsidR="00D54D6C" w:rsidRPr="000871B2" w:rsidRDefault="00D54D6C" w:rsidP="00D54D6C">
      <w:pPr>
        <w:pStyle w:val="HChG"/>
        <w:rPr>
          <w:lang w:val="fr-FR"/>
        </w:rPr>
      </w:pPr>
      <w:r w:rsidRPr="007761FB">
        <w:tab/>
      </w:r>
      <w:r w:rsidRPr="007761FB">
        <w:tab/>
      </w:r>
      <w:r>
        <w:rPr>
          <w:lang w:val="fr-FR"/>
        </w:rPr>
        <w:t>P</w:t>
      </w:r>
      <w:r w:rsidRPr="000871B2">
        <w:rPr>
          <w:lang w:val="fr-FR"/>
        </w:rPr>
        <w:t>rescriptions applicables aux garnitures de frein assembl</w:t>
      </w:r>
      <w:r>
        <w:rPr>
          <w:lang w:val="fr-FR"/>
        </w:rPr>
        <w:t>é</w:t>
      </w:r>
      <w:r w:rsidRPr="000871B2">
        <w:rPr>
          <w:lang w:val="fr-FR"/>
        </w:rPr>
        <w:t>es de rechange pour les v</w:t>
      </w:r>
      <w:r>
        <w:rPr>
          <w:lang w:val="fr-FR"/>
        </w:rPr>
        <w:t>é</w:t>
      </w:r>
      <w:r w:rsidRPr="000871B2">
        <w:rPr>
          <w:lang w:val="fr-FR"/>
        </w:rPr>
        <w:t>hicules de la cat</w:t>
      </w:r>
      <w:r>
        <w:rPr>
          <w:lang w:val="fr-FR"/>
        </w:rPr>
        <w:t>é</w:t>
      </w:r>
      <w:r w:rsidRPr="000871B2">
        <w:rPr>
          <w:lang w:val="fr-FR"/>
        </w:rPr>
        <w:t xml:space="preserve">gorie </w:t>
      </w:r>
      <w:r>
        <w:rPr>
          <w:lang w:val="fr-FR"/>
        </w:rPr>
        <w:t>L</w:t>
      </w:r>
    </w:p>
    <w:p w:rsidR="00D54D6C" w:rsidRPr="000871B2" w:rsidRDefault="00D54D6C" w:rsidP="00D54D6C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1.</w:t>
      </w:r>
      <w:r w:rsidRPr="000871B2">
        <w:rPr>
          <w:lang w:val="fr-FR"/>
        </w:rPr>
        <w:tab/>
      </w:r>
      <w:r w:rsidRPr="0076304C">
        <w:rPr>
          <w:lang w:val="fr-FR"/>
        </w:rPr>
        <w:t>Conditions d</w:t>
      </w:r>
      <w:r w:rsidR="000B6574">
        <w:rPr>
          <w:lang w:val="fr-FR"/>
        </w:rPr>
        <w:t>’</w:t>
      </w:r>
      <w:r w:rsidRPr="0076304C">
        <w:rPr>
          <w:lang w:val="fr-FR"/>
        </w:rPr>
        <w:t>essai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1.1</w:t>
      </w:r>
      <w:r w:rsidRPr="000871B2">
        <w:rPr>
          <w:lang w:val="fr-FR"/>
        </w:rPr>
        <w:tab/>
        <w:t>Un véhicule représentatif du (des) type(s) pour lequel (lesquels) l</w:t>
      </w:r>
      <w:r w:rsidR="000B6574">
        <w:rPr>
          <w:lang w:val="fr-FR"/>
        </w:rPr>
        <w:t>’</w:t>
      </w:r>
      <w:r w:rsidRPr="000871B2">
        <w:rPr>
          <w:lang w:val="fr-FR"/>
        </w:rPr>
        <w:t>homologation des garnitures de frein assemblées de rechange est demandée doit être équipé de garnitures de frein assemblées du type dont l</w:t>
      </w:r>
      <w:r w:rsidR="000B6574">
        <w:rPr>
          <w:lang w:val="fr-FR"/>
        </w:rPr>
        <w:t>’</w:t>
      </w:r>
      <w:r w:rsidRPr="000871B2">
        <w:rPr>
          <w:lang w:val="fr-FR"/>
        </w:rPr>
        <w:t xml:space="preserve">homologation est demandée et préparé en vue des essais de freinage prescrits par le Règlement </w:t>
      </w:r>
      <w:r w:rsidR="000B6574" w:rsidRPr="00D54D6C">
        <w:rPr>
          <w:rFonts w:eastAsia="MS Mincho"/>
          <w:lang w:val="fr-FR"/>
        </w:rPr>
        <w:t>n</w:t>
      </w:r>
      <w:r w:rsidR="000B6574" w:rsidRPr="00D54D6C">
        <w:rPr>
          <w:rFonts w:eastAsia="MS Mincho"/>
          <w:vertAlign w:val="superscript"/>
          <w:lang w:val="fr-FR"/>
        </w:rPr>
        <w:t>o</w:t>
      </w:r>
      <w:r w:rsidR="000B6574">
        <w:rPr>
          <w:lang w:val="fr-FR"/>
        </w:rPr>
        <w:t> </w:t>
      </w:r>
      <w:r w:rsidRPr="000871B2">
        <w:rPr>
          <w:lang w:val="fr-FR"/>
        </w:rPr>
        <w:t>78.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1.2</w:t>
      </w:r>
      <w:r w:rsidRPr="000871B2">
        <w:rPr>
          <w:lang w:val="fr-FR"/>
        </w:rPr>
        <w:tab/>
        <w:t>Les garnitures de frein assemblées soumises aux essais doivent être montées sur les freins pour lesquels elles ont été conçues et, tant qu</w:t>
      </w:r>
      <w:r w:rsidR="000B6574">
        <w:rPr>
          <w:lang w:val="fr-FR"/>
        </w:rPr>
        <w:t>’</w:t>
      </w:r>
      <w:r w:rsidRPr="000871B2">
        <w:rPr>
          <w:lang w:val="fr-FR"/>
        </w:rPr>
        <w:t>une méthode de rodage précise n</w:t>
      </w:r>
      <w:r w:rsidR="000B6574">
        <w:rPr>
          <w:lang w:val="fr-FR"/>
        </w:rPr>
        <w:t>’</w:t>
      </w:r>
      <w:r w:rsidRPr="000871B2">
        <w:rPr>
          <w:lang w:val="fr-FR"/>
        </w:rPr>
        <w:t>aura pas été établie, rodées conformément aux instructions du fabricant en accord avec le service technique.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1.3</w:t>
      </w:r>
      <w:r w:rsidRPr="000871B2">
        <w:rPr>
          <w:lang w:val="fr-FR"/>
        </w:rPr>
        <w:tab/>
        <w:t>Dans le cas de garnitures de frein assemblées destinées à des véhicules équipés d</w:t>
      </w:r>
      <w:r w:rsidR="000B6574">
        <w:rPr>
          <w:lang w:val="fr-FR"/>
        </w:rPr>
        <w:t>’</w:t>
      </w:r>
      <w:r w:rsidRPr="000871B2">
        <w:rPr>
          <w:lang w:val="fr-FR"/>
        </w:rPr>
        <w:t>un système de freinage combiné au sens du paragraphe </w:t>
      </w:r>
      <w:r w:rsidRPr="002E6FAE">
        <w:rPr>
          <w:strike/>
          <w:lang w:val="fr-FR"/>
        </w:rPr>
        <w:t>2.9</w:t>
      </w:r>
      <w:r w:rsidRPr="000871B2">
        <w:rPr>
          <w:lang w:val="fr-FR"/>
        </w:rPr>
        <w:t xml:space="preserve"> </w:t>
      </w:r>
      <w:r w:rsidRPr="00DE6307">
        <w:rPr>
          <w:b/>
          <w:lang w:val="fr-FR"/>
        </w:rPr>
        <w:t>2.6</w:t>
      </w:r>
      <w:r>
        <w:rPr>
          <w:lang w:val="fr-FR"/>
        </w:rPr>
        <w:t xml:space="preserve"> </w:t>
      </w:r>
      <w:r w:rsidRPr="000871B2">
        <w:rPr>
          <w:lang w:val="fr-FR"/>
        </w:rPr>
        <w:t xml:space="preserve">du Règlement </w:t>
      </w:r>
      <w:r>
        <w:rPr>
          <w:lang w:val="fr-FR"/>
        </w:rPr>
        <w:t xml:space="preserve">ONU </w:t>
      </w:r>
      <w:r w:rsidR="000B6574" w:rsidRPr="00D54D6C">
        <w:rPr>
          <w:rFonts w:eastAsia="MS Mincho"/>
          <w:lang w:val="fr-FR"/>
        </w:rPr>
        <w:t>n</w:t>
      </w:r>
      <w:r w:rsidR="000B6574" w:rsidRPr="00D54D6C">
        <w:rPr>
          <w:rFonts w:eastAsia="MS Mincho"/>
          <w:vertAlign w:val="superscript"/>
          <w:lang w:val="fr-FR"/>
        </w:rPr>
        <w:t>o</w:t>
      </w:r>
      <w:r w:rsidR="000B6574">
        <w:rPr>
          <w:lang w:val="fr-FR"/>
        </w:rPr>
        <w:t> </w:t>
      </w:r>
      <w:r w:rsidRPr="000871B2">
        <w:rPr>
          <w:lang w:val="fr-FR"/>
        </w:rPr>
        <w:t>78, la (les) combinaison(s) des garnitures de frein assemblées de l</w:t>
      </w:r>
      <w:r w:rsidR="000B6574">
        <w:rPr>
          <w:lang w:val="fr-FR"/>
        </w:rPr>
        <w:t>’</w:t>
      </w:r>
      <w:r w:rsidRPr="000871B2">
        <w:rPr>
          <w:lang w:val="fr-FR"/>
        </w:rPr>
        <w:t>essieu avant et de l</w:t>
      </w:r>
      <w:r w:rsidR="000B6574">
        <w:rPr>
          <w:lang w:val="fr-FR"/>
        </w:rPr>
        <w:t>’</w:t>
      </w:r>
      <w:r w:rsidRPr="000871B2">
        <w:rPr>
          <w:lang w:val="fr-FR"/>
        </w:rPr>
        <w:t>essieu arrière dont l</w:t>
      </w:r>
      <w:r w:rsidR="000B6574">
        <w:rPr>
          <w:lang w:val="fr-FR"/>
        </w:rPr>
        <w:t>’</w:t>
      </w:r>
      <w:r w:rsidRPr="000871B2">
        <w:rPr>
          <w:lang w:val="fr-FR"/>
        </w:rPr>
        <w:t>homologation est demandée doit (doivent) être soumise(s) à des essais.</w:t>
      </w:r>
    </w:p>
    <w:p w:rsidR="00D54D6C" w:rsidRPr="000871B2" w:rsidRDefault="00D54D6C" w:rsidP="000B6574">
      <w:pPr>
        <w:pStyle w:val="SingleTxtG"/>
        <w:ind w:left="2268"/>
        <w:rPr>
          <w:lang w:val="fr-FR"/>
        </w:rPr>
      </w:pPr>
      <w:r w:rsidRPr="000871B2">
        <w:rPr>
          <w:lang w:val="fr-FR"/>
        </w:rPr>
        <w:t>Soit les deux essieux sont équipés de garnitures de frein assemblées de rechange, soit l</w:t>
      </w:r>
      <w:r w:rsidR="000B6574">
        <w:rPr>
          <w:lang w:val="fr-FR"/>
        </w:rPr>
        <w:t>’</w:t>
      </w:r>
      <w:r w:rsidRPr="000871B2">
        <w:rPr>
          <w:lang w:val="fr-FR"/>
        </w:rPr>
        <w:t>un est équipé de garnitures de frein assemblées de rechange et l</w:t>
      </w:r>
      <w:r w:rsidR="000B6574">
        <w:rPr>
          <w:lang w:val="fr-FR"/>
        </w:rPr>
        <w:t>’</w:t>
      </w:r>
      <w:r w:rsidRPr="000871B2">
        <w:rPr>
          <w:lang w:val="fr-FR"/>
        </w:rPr>
        <w:t>autre de garnitures de frein assemblées d</w:t>
      </w:r>
      <w:r w:rsidR="000B6574">
        <w:rPr>
          <w:lang w:val="fr-FR"/>
        </w:rPr>
        <w:t>’</w:t>
      </w:r>
      <w:r w:rsidRPr="000871B2">
        <w:rPr>
          <w:lang w:val="fr-FR"/>
        </w:rPr>
        <w:t>origine.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2.</w:t>
      </w:r>
      <w:r w:rsidRPr="000871B2">
        <w:rPr>
          <w:lang w:val="fr-FR"/>
        </w:rPr>
        <w:tab/>
      </w:r>
      <w:r w:rsidRPr="0076304C">
        <w:rPr>
          <w:lang w:val="fr-FR"/>
        </w:rPr>
        <w:t>Essais et prescriptions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2.1</w:t>
      </w:r>
      <w:r w:rsidRPr="000871B2">
        <w:rPr>
          <w:lang w:val="fr-FR"/>
        </w:rPr>
        <w:tab/>
        <w:t xml:space="preserve">En conformité avec le Règlement </w:t>
      </w:r>
      <w:r w:rsidR="00DE6307">
        <w:rPr>
          <w:lang w:val="fr-FR"/>
        </w:rPr>
        <w:t xml:space="preserve">ONU </w:t>
      </w:r>
      <w:r w:rsidR="00DE6307" w:rsidRPr="00DE6307">
        <w:rPr>
          <w:rFonts w:eastAsia="MS Mincho"/>
          <w:lang w:val="fr-FR"/>
        </w:rPr>
        <w:t>n</w:t>
      </w:r>
      <w:r w:rsidR="00DE6307" w:rsidRPr="00DE6307">
        <w:rPr>
          <w:rFonts w:eastAsia="MS Mincho"/>
          <w:vertAlign w:val="superscript"/>
          <w:lang w:val="fr-FR"/>
        </w:rPr>
        <w:t>o</w:t>
      </w:r>
      <w:r w:rsidR="00DE6307">
        <w:rPr>
          <w:lang w:val="fr-FR"/>
        </w:rPr>
        <w:t> </w:t>
      </w:r>
      <w:r w:rsidRPr="000871B2">
        <w:rPr>
          <w:lang w:val="fr-FR"/>
        </w:rPr>
        <w:t>78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2.1.1</w:t>
      </w:r>
      <w:r w:rsidRPr="000871B2">
        <w:rPr>
          <w:lang w:val="fr-FR"/>
        </w:rPr>
        <w:tab/>
        <w:t>Le système de freinage du véhicule doit être soumis à des essais conformément aux prescriptions applicables à la catégorie de véhicules en question (L</w:t>
      </w:r>
      <w:r w:rsidRPr="000871B2">
        <w:rPr>
          <w:vertAlign w:val="subscript"/>
          <w:lang w:val="fr-FR"/>
        </w:rPr>
        <w:t>1</w:t>
      </w:r>
      <w:r w:rsidRPr="000871B2">
        <w:rPr>
          <w:lang w:val="fr-FR"/>
        </w:rPr>
        <w:t>, L</w:t>
      </w:r>
      <w:r w:rsidRPr="000871B2">
        <w:rPr>
          <w:vertAlign w:val="subscript"/>
          <w:lang w:val="fr-FR"/>
        </w:rPr>
        <w:t>2</w:t>
      </w:r>
      <w:r w:rsidRPr="000871B2">
        <w:rPr>
          <w:lang w:val="fr-FR"/>
        </w:rPr>
        <w:t>, L</w:t>
      </w:r>
      <w:r w:rsidRPr="000871B2">
        <w:rPr>
          <w:vertAlign w:val="subscript"/>
          <w:lang w:val="fr-FR"/>
        </w:rPr>
        <w:t>3</w:t>
      </w:r>
      <w:r w:rsidRPr="000871B2">
        <w:rPr>
          <w:lang w:val="fr-FR"/>
        </w:rPr>
        <w:t xml:space="preserve">, </w:t>
      </w:r>
      <w:r w:rsidRPr="002E6FAE">
        <w:rPr>
          <w:lang w:val="fr-FR"/>
        </w:rPr>
        <w:t>L</w:t>
      </w:r>
      <w:r w:rsidRPr="002E6FAE">
        <w:rPr>
          <w:vertAlign w:val="subscript"/>
          <w:lang w:val="fr-FR"/>
        </w:rPr>
        <w:t>4</w:t>
      </w:r>
      <w:r>
        <w:rPr>
          <w:lang w:val="fr-FR"/>
        </w:rPr>
        <w:t xml:space="preserve">, </w:t>
      </w:r>
      <w:r w:rsidRPr="002E6FAE">
        <w:rPr>
          <w:strike/>
          <w:lang w:val="fr-FR"/>
        </w:rPr>
        <w:t>ou</w:t>
      </w:r>
      <w:r w:rsidRPr="000871B2">
        <w:rPr>
          <w:lang w:val="fr-FR"/>
        </w:rPr>
        <w:t xml:space="preserve"> L</w:t>
      </w:r>
      <w:r w:rsidRPr="000871B2">
        <w:rPr>
          <w:vertAlign w:val="subscript"/>
          <w:lang w:val="fr-FR"/>
        </w:rPr>
        <w:t>5</w:t>
      </w:r>
      <w:r w:rsidRPr="002E6FAE">
        <w:rPr>
          <w:lang w:val="fr-FR"/>
        </w:rPr>
        <w:t xml:space="preserve">, </w:t>
      </w:r>
      <w:r w:rsidRPr="00366240">
        <w:rPr>
          <w:b/>
          <w:lang w:val="fr-FR"/>
        </w:rPr>
        <w:t>L</w:t>
      </w:r>
      <w:r w:rsidRPr="00366240">
        <w:rPr>
          <w:b/>
          <w:vertAlign w:val="subscript"/>
          <w:lang w:val="fr-FR"/>
        </w:rPr>
        <w:t>6</w:t>
      </w:r>
      <w:r w:rsidR="00366240">
        <w:rPr>
          <w:b/>
          <w:vertAlign w:val="subscript"/>
          <w:lang w:val="fr-FR"/>
        </w:rPr>
        <w:t>,</w:t>
      </w:r>
      <w:r w:rsidRPr="00366240">
        <w:rPr>
          <w:b/>
          <w:lang w:val="fr-FR"/>
        </w:rPr>
        <w:t xml:space="preserve"> </w:t>
      </w:r>
      <w:r w:rsidR="008839BD">
        <w:rPr>
          <w:b/>
          <w:lang w:val="fr-FR"/>
        </w:rPr>
        <w:t xml:space="preserve">ou </w:t>
      </w:r>
      <w:r w:rsidRPr="00366240">
        <w:rPr>
          <w:b/>
          <w:lang w:val="fr-FR"/>
        </w:rPr>
        <w:t>L</w:t>
      </w:r>
      <w:r w:rsidRPr="00366240">
        <w:rPr>
          <w:b/>
          <w:vertAlign w:val="subscript"/>
          <w:lang w:val="fr-FR"/>
        </w:rPr>
        <w:t>7</w:t>
      </w:r>
      <w:r w:rsidRPr="000871B2">
        <w:rPr>
          <w:lang w:val="fr-FR"/>
        </w:rPr>
        <w:t>) é</w:t>
      </w:r>
      <w:r>
        <w:rPr>
          <w:lang w:val="fr-FR"/>
        </w:rPr>
        <w:t>noncées</w:t>
      </w:r>
      <w:r w:rsidRPr="000871B2">
        <w:rPr>
          <w:lang w:val="fr-FR"/>
        </w:rPr>
        <w:t> au paragraphe</w:t>
      </w:r>
      <w:r w:rsidR="00ED12EE">
        <w:rPr>
          <w:lang w:val="fr-FR"/>
        </w:rPr>
        <w:t> </w:t>
      </w:r>
      <w:r w:rsidRPr="000871B2">
        <w:rPr>
          <w:lang w:val="fr-FR"/>
        </w:rPr>
        <w:t>1 de l</w:t>
      </w:r>
      <w:r w:rsidR="000B6574">
        <w:rPr>
          <w:lang w:val="fr-FR"/>
        </w:rPr>
        <w:t>’</w:t>
      </w:r>
      <w:r w:rsidRPr="000871B2">
        <w:rPr>
          <w:lang w:val="fr-FR"/>
        </w:rPr>
        <w:t xml:space="preserve">annexe 3 du Règlement </w:t>
      </w:r>
      <w:r>
        <w:rPr>
          <w:lang w:val="fr-FR"/>
        </w:rPr>
        <w:t xml:space="preserve">ONU </w:t>
      </w:r>
      <w:r w:rsidR="000B6574" w:rsidRPr="00D54D6C">
        <w:rPr>
          <w:rFonts w:eastAsia="MS Mincho"/>
          <w:lang w:val="fr-FR"/>
        </w:rPr>
        <w:t>n</w:t>
      </w:r>
      <w:r w:rsidR="000B6574" w:rsidRPr="00D54D6C">
        <w:rPr>
          <w:rFonts w:eastAsia="MS Mincho"/>
          <w:vertAlign w:val="superscript"/>
          <w:lang w:val="fr-FR"/>
        </w:rPr>
        <w:t>o</w:t>
      </w:r>
      <w:r w:rsidR="000B6574">
        <w:rPr>
          <w:lang w:val="fr-FR"/>
        </w:rPr>
        <w:t> </w:t>
      </w:r>
      <w:r w:rsidRPr="000871B2">
        <w:rPr>
          <w:lang w:val="fr-FR"/>
        </w:rPr>
        <w:t>78. Les prescriptions ou essais applicables sont les suivants</w:t>
      </w:r>
      <w:r w:rsidR="00706910">
        <w:rPr>
          <w:lang w:val="fr-FR"/>
        </w:rPr>
        <w:t> :</w:t>
      </w:r>
    </w:p>
    <w:p w:rsidR="00D54D6C" w:rsidRPr="007259DA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szCs w:val="24"/>
          <w:lang w:val="fr-FR"/>
        </w:rPr>
      </w:pPr>
      <w:r w:rsidRPr="000871B2">
        <w:rPr>
          <w:lang w:val="fr-FR"/>
        </w:rPr>
        <w:t>2.1.1.1</w:t>
      </w:r>
      <w:r w:rsidRPr="000871B2">
        <w:rPr>
          <w:lang w:val="fr-FR"/>
        </w:rPr>
        <w:tab/>
      </w:r>
      <w:r w:rsidRPr="007259DA">
        <w:rPr>
          <w:strike/>
          <w:lang w:val="fr-FR"/>
        </w:rPr>
        <w:t>Essai du type 0 avec moteur débrayé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A73ACF">
        <w:rPr>
          <w:b/>
          <w:color w:val="333333"/>
          <w:szCs w:val="24"/>
          <w:shd w:val="clear" w:color="auto" w:fill="FFFFFF"/>
        </w:rPr>
        <w:t>Essai de freinage à sec avec actionnement d</w:t>
      </w:r>
      <w:r w:rsidR="000B6574" w:rsidRPr="00A73ACF">
        <w:rPr>
          <w:b/>
          <w:color w:val="333333"/>
          <w:szCs w:val="24"/>
          <w:shd w:val="clear" w:color="auto" w:fill="FFFFFF"/>
        </w:rPr>
        <w:t>’</w:t>
      </w:r>
      <w:r w:rsidRPr="00A73ACF">
        <w:rPr>
          <w:b/>
          <w:color w:val="333333"/>
          <w:szCs w:val="24"/>
          <w:shd w:val="clear" w:color="auto" w:fill="FFFFFF"/>
        </w:rPr>
        <w:t>une commande de frein unique</w:t>
      </w:r>
      <w:r>
        <w:rPr>
          <w:color w:val="333333"/>
          <w:szCs w:val="24"/>
          <w:shd w:val="clear" w:color="auto" w:fill="FFFFFF"/>
        </w:rPr>
        <w:t xml:space="preserve"> </w:t>
      </w:r>
    </w:p>
    <w:p w:rsidR="00D54D6C" w:rsidRDefault="00D54D6C" w:rsidP="000B6574">
      <w:pPr>
        <w:pStyle w:val="SingleTxtG"/>
        <w:ind w:left="2268"/>
        <w:rPr>
          <w:lang w:val="fr-FR"/>
        </w:rPr>
      </w:pPr>
      <w:r w:rsidRPr="000871B2">
        <w:rPr>
          <w:lang w:val="fr-FR"/>
        </w:rPr>
        <w:tab/>
        <w:t xml:space="preserve">Cet essai ne doit être effectué que sur le véhicule en charge. Effectuer </w:t>
      </w:r>
      <w:r w:rsidRPr="007259DA">
        <w:rPr>
          <w:strike/>
          <w:lang w:val="fr-FR"/>
        </w:rPr>
        <w:t>au minimum six</w:t>
      </w:r>
      <w:r w:rsidRPr="000871B2">
        <w:rPr>
          <w:lang w:val="fr-FR"/>
        </w:rPr>
        <w:t xml:space="preserve"> </w:t>
      </w:r>
      <w:proofErr w:type="gramStart"/>
      <w:r w:rsidRPr="00E17B64">
        <w:rPr>
          <w:b/>
          <w:lang w:val="fr-FR"/>
        </w:rPr>
        <w:t>un</w:t>
      </w:r>
      <w:r>
        <w:rPr>
          <w:lang w:val="fr-FR"/>
        </w:rPr>
        <w:t xml:space="preserve"> </w:t>
      </w:r>
      <w:r w:rsidRPr="000871B2">
        <w:rPr>
          <w:lang w:val="fr-FR"/>
        </w:rPr>
        <w:t>freinage</w:t>
      </w:r>
      <w:r w:rsidRPr="007259DA">
        <w:rPr>
          <w:strike/>
          <w:lang w:val="fr-FR"/>
        </w:rPr>
        <w:t>s</w:t>
      </w:r>
      <w:proofErr w:type="gramEnd"/>
      <w:r w:rsidRPr="000871B2">
        <w:rPr>
          <w:lang w:val="fr-FR"/>
        </w:rPr>
        <w:t xml:space="preserve"> </w:t>
      </w:r>
      <w:r w:rsidRPr="007259DA">
        <w:rPr>
          <w:strike/>
          <w:lang w:val="fr-FR"/>
        </w:rPr>
        <w:t>en augmentant à chaque fois la force à la pédale o</w:t>
      </w:r>
      <w:r>
        <w:rPr>
          <w:strike/>
          <w:lang w:val="fr-FR"/>
        </w:rPr>
        <w:t>u la pression dans les conduites</w:t>
      </w:r>
      <w:r w:rsidRPr="007259DA">
        <w:rPr>
          <w:lang w:val="fr-FR"/>
        </w:rPr>
        <w:t>,</w:t>
      </w:r>
      <w:r>
        <w:rPr>
          <w:lang w:val="fr-FR"/>
        </w:rPr>
        <w:t xml:space="preserve"> </w:t>
      </w:r>
      <w:r w:rsidRPr="00E17B64">
        <w:rPr>
          <w:b/>
          <w:lang w:val="fr-FR"/>
        </w:rPr>
        <w:t>conformément aux prescriptions des paragraphes 3.1 et 3.2 de l</w:t>
      </w:r>
      <w:r w:rsidR="000B6574" w:rsidRPr="00E17B64">
        <w:rPr>
          <w:b/>
          <w:lang w:val="fr-FR"/>
        </w:rPr>
        <w:t>’</w:t>
      </w:r>
      <w:r w:rsidRPr="00E17B64">
        <w:rPr>
          <w:b/>
          <w:lang w:val="fr-FR"/>
        </w:rPr>
        <w:t xml:space="preserve">annexe 3 du Règlement ONU </w:t>
      </w:r>
      <w:r w:rsidR="000B6574" w:rsidRPr="00E17B64">
        <w:rPr>
          <w:rFonts w:eastAsia="MS Mincho"/>
          <w:b/>
          <w:lang w:val="fr-FR"/>
        </w:rPr>
        <w:t>n</w:t>
      </w:r>
      <w:r w:rsidR="000B6574" w:rsidRPr="00E17B64">
        <w:rPr>
          <w:rFonts w:eastAsia="MS Mincho"/>
          <w:b/>
          <w:vertAlign w:val="superscript"/>
          <w:lang w:val="fr-FR"/>
        </w:rPr>
        <w:t>o</w:t>
      </w:r>
      <w:r w:rsidR="000B6574" w:rsidRPr="00E17B64">
        <w:rPr>
          <w:b/>
          <w:lang w:val="fr-FR"/>
        </w:rPr>
        <w:t> </w:t>
      </w:r>
      <w:r w:rsidRPr="00E17B64">
        <w:rPr>
          <w:b/>
          <w:lang w:val="fr-FR"/>
        </w:rPr>
        <w:t>78</w:t>
      </w:r>
      <w:r w:rsidRPr="007259DA">
        <w:rPr>
          <w:lang w:val="fr-FR"/>
        </w:rPr>
        <w:t>,</w:t>
      </w:r>
      <w:r>
        <w:rPr>
          <w:lang w:val="fr-FR"/>
        </w:rPr>
        <w:t xml:space="preserve"> </w:t>
      </w:r>
      <w:r w:rsidRPr="000871B2">
        <w:rPr>
          <w:lang w:val="fr-FR"/>
        </w:rPr>
        <w:t>jusqu</w:t>
      </w:r>
      <w:r w:rsidR="000B6574">
        <w:rPr>
          <w:lang w:val="fr-FR"/>
        </w:rPr>
        <w:t>’</w:t>
      </w:r>
      <w:r w:rsidRPr="000871B2">
        <w:rPr>
          <w:lang w:val="fr-FR"/>
        </w:rPr>
        <w:t xml:space="preserve">à obtenir le blocage des roues ou </w:t>
      </w:r>
      <w:r w:rsidRPr="007259DA">
        <w:rPr>
          <w:strike/>
          <w:lang w:val="fr-FR"/>
        </w:rPr>
        <w:t>une</w:t>
      </w:r>
      <w:r w:rsidRPr="000871B2">
        <w:rPr>
          <w:lang w:val="fr-FR"/>
        </w:rPr>
        <w:t xml:space="preserve"> </w:t>
      </w:r>
      <w:r w:rsidRPr="00E17B64">
        <w:rPr>
          <w:b/>
          <w:lang w:val="fr-FR"/>
        </w:rPr>
        <w:t>la</w:t>
      </w:r>
      <w:r w:rsidRPr="007259DA">
        <w:rPr>
          <w:lang w:val="fr-FR"/>
        </w:rPr>
        <w:t xml:space="preserve"> </w:t>
      </w:r>
      <w:r w:rsidRPr="000871B2">
        <w:rPr>
          <w:lang w:val="fr-FR"/>
        </w:rPr>
        <w:t xml:space="preserve">décélération </w:t>
      </w:r>
      <w:r w:rsidRPr="00E17B64">
        <w:rPr>
          <w:b/>
          <w:color w:val="333333"/>
          <w:szCs w:val="24"/>
          <w:shd w:val="clear" w:color="auto" w:fill="FFFFFF"/>
        </w:rPr>
        <w:t>en vertu des prescriptions d</w:t>
      </w:r>
      <w:r w:rsidR="000B6574" w:rsidRPr="00E17B64">
        <w:rPr>
          <w:b/>
          <w:color w:val="333333"/>
          <w:szCs w:val="24"/>
          <w:shd w:val="clear" w:color="auto" w:fill="FFFFFF"/>
        </w:rPr>
        <w:t>’</w:t>
      </w:r>
      <w:r w:rsidRPr="00E17B64">
        <w:rPr>
          <w:b/>
          <w:color w:val="333333"/>
          <w:szCs w:val="24"/>
          <w:shd w:val="clear" w:color="auto" w:fill="FFFFFF"/>
        </w:rPr>
        <w:t>efficacité définies au paragraphe 3.3 de la même annexe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7259DA">
        <w:rPr>
          <w:strike/>
          <w:lang w:val="fr-FR"/>
        </w:rPr>
        <w:t>de 6 m/s</w:t>
      </w:r>
      <w:r w:rsidRPr="007259DA">
        <w:rPr>
          <w:strike/>
          <w:vertAlign w:val="superscript"/>
          <w:lang w:val="fr-FR"/>
        </w:rPr>
        <w:t>2</w:t>
      </w:r>
      <w:r w:rsidRPr="000871B2">
        <w:rPr>
          <w:lang w:val="fr-FR"/>
        </w:rPr>
        <w:t xml:space="preserve"> ou jusqu</w:t>
      </w:r>
      <w:r w:rsidR="000B6574">
        <w:rPr>
          <w:lang w:val="fr-FR"/>
        </w:rPr>
        <w:t>’</w:t>
      </w:r>
      <w:r w:rsidRPr="000871B2">
        <w:rPr>
          <w:lang w:val="fr-FR"/>
        </w:rPr>
        <w:t>à la force maximale autorisée à la pédale.</w:t>
      </w:r>
    </w:p>
    <w:p w:rsidR="00D54D6C" w:rsidRPr="00DA69DB" w:rsidRDefault="00D54D6C" w:rsidP="000B6574">
      <w:pPr>
        <w:pStyle w:val="SingleTxtG"/>
        <w:ind w:left="2268"/>
        <w:rPr>
          <w:b/>
          <w:color w:val="333333"/>
          <w:szCs w:val="24"/>
          <w:shd w:val="clear" w:color="auto" w:fill="FFFFFF"/>
        </w:rPr>
      </w:pPr>
      <w:r w:rsidRPr="00DA69DB">
        <w:rPr>
          <w:b/>
          <w:lang w:val="fr-FR"/>
        </w:rPr>
        <w:tab/>
      </w:r>
      <w:r w:rsidRPr="00DA69DB">
        <w:rPr>
          <w:b/>
          <w:color w:val="333333"/>
          <w:szCs w:val="24"/>
          <w:shd w:val="clear" w:color="auto" w:fill="FFFFFF"/>
        </w:rPr>
        <w:t>Si l</w:t>
      </w:r>
      <w:r w:rsidR="000B6574" w:rsidRPr="00DA69DB">
        <w:rPr>
          <w:b/>
          <w:color w:val="333333"/>
          <w:szCs w:val="24"/>
          <w:shd w:val="clear" w:color="auto" w:fill="FFFFFF"/>
        </w:rPr>
        <w:t>’</w:t>
      </w:r>
      <w:r w:rsidRPr="00DA69DB">
        <w:rPr>
          <w:b/>
          <w:color w:val="333333"/>
          <w:szCs w:val="24"/>
          <w:shd w:val="clear" w:color="auto" w:fill="FFFFFF"/>
        </w:rPr>
        <w:t>homologation des garnitures de frein assemblées de rechange est demandée pour les freins de l</w:t>
      </w:r>
      <w:r w:rsidR="000B6574" w:rsidRPr="00DA69DB">
        <w:rPr>
          <w:b/>
          <w:color w:val="333333"/>
          <w:szCs w:val="24"/>
          <w:shd w:val="clear" w:color="auto" w:fill="FFFFFF"/>
        </w:rPr>
        <w:t>’</w:t>
      </w:r>
      <w:r w:rsidRPr="00DA69DB">
        <w:rPr>
          <w:b/>
          <w:color w:val="333333"/>
          <w:szCs w:val="24"/>
          <w:shd w:val="clear" w:color="auto" w:fill="FFFFFF"/>
        </w:rPr>
        <w:t>essieu avant, l</w:t>
      </w:r>
      <w:r w:rsidR="000B6574" w:rsidRPr="00DA69DB">
        <w:rPr>
          <w:b/>
          <w:color w:val="333333"/>
          <w:szCs w:val="24"/>
          <w:shd w:val="clear" w:color="auto" w:fill="FFFFFF"/>
        </w:rPr>
        <w:t>’</w:t>
      </w:r>
      <w:r w:rsidRPr="00DA69DB">
        <w:rPr>
          <w:b/>
          <w:color w:val="333333"/>
          <w:szCs w:val="24"/>
          <w:shd w:val="clear" w:color="auto" w:fill="FFFFFF"/>
        </w:rPr>
        <w:t>essai doit être effectué sur les freins avant seulement.</w:t>
      </w:r>
    </w:p>
    <w:p w:rsidR="00D54D6C" w:rsidRPr="00DA69DB" w:rsidRDefault="00D54D6C" w:rsidP="000B6574">
      <w:pPr>
        <w:pStyle w:val="SingleTxtG"/>
        <w:ind w:left="2268"/>
        <w:rPr>
          <w:b/>
          <w:lang w:val="fr-FR"/>
        </w:rPr>
      </w:pPr>
      <w:r w:rsidRPr="00DA69DB">
        <w:rPr>
          <w:b/>
          <w:color w:val="333333"/>
          <w:szCs w:val="24"/>
          <w:shd w:val="clear" w:color="auto" w:fill="FFFFFF"/>
        </w:rPr>
        <w:tab/>
        <w:t>Si l</w:t>
      </w:r>
      <w:r w:rsidR="000B6574" w:rsidRPr="00DA69DB">
        <w:rPr>
          <w:b/>
          <w:color w:val="333333"/>
          <w:szCs w:val="24"/>
          <w:shd w:val="clear" w:color="auto" w:fill="FFFFFF"/>
        </w:rPr>
        <w:t>’</w:t>
      </w:r>
      <w:r w:rsidRPr="00DA69DB">
        <w:rPr>
          <w:b/>
          <w:color w:val="333333"/>
          <w:szCs w:val="24"/>
          <w:shd w:val="clear" w:color="auto" w:fill="FFFFFF"/>
        </w:rPr>
        <w:t>homologation des garnitures de frein assemblées de rechange est demandée pour les freins de l</w:t>
      </w:r>
      <w:r w:rsidR="000B6574" w:rsidRPr="00DA69DB">
        <w:rPr>
          <w:b/>
          <w:color w:val="333333"/>
          <w:szCs w:val="24"/>
          <w:shd w:val="clear" w:color="auto" w:fill="FFFFFF"/>
        </w:rPr>
        <w:t>’</w:t>
      </w:r>
      <w:r w:rsidRPr="00DA69DB">
        <w:rPr>
          <w:b/>
          <w:color w:val="333333"/>
          <w:szCs w:val="24"/>
          <w:shd w:val="clear" w:color="auto" w:fill="FFFFFF"/>
        </w:rPr>
        <w:t>essieu arrière, l</w:t>
      </w:r>
      <w:r w:rsidR="000B6574" w:rsidRPr="00DA69DB">
        <w:rPr>
          <w:b/>
          <w:color w:val="333333"/>
          <w:szCs w:val="24"/>
          <w:shd w:val="clear" w:color="auto" w:fill="FFFFFF"/>
        </w:rPr>
        <w:t>’</w:t>
      </w:r>
      <w:r w:rsidRPr="00DA69DB">
        <w:rPr>
          <w:b/>
          <w:color w:val="333333"/>
          <w:szCs w:val="24"/>
          <w:shd w:val="clear" w:color="auto" w:fill="FFFFFF"/>
        </w:rPr>
        <w:t>essai doit être effectué sur les freins arrière seulement.</w:t>
      </w:r>
    </w:p>
    <w:p w:rsidR="00D54D6C" w:rsidRPr="00CA705B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b/>
          <w:color w:val="333333"/>
          <w:szCs w:val="24"/>
          <w:shd w:val="clear" w:color="auto" w:fill="FFFFFF"/>
        </w:rPr>
      </w:pPr>
      <w:r w:rsidRPr="00CA705B">
        <w:rPr>
          <w:b/>
          <w:szCs w:val="24"/>
          <w:lang w:val="fr-FR"/>
        </w:rPr>
        <w:lastRenderedPageBreak/>
        <w:t>2.1.1.2</w:t>
      </w:r>
      <w:r w:rsidRPr="00CA705B">
        <w:rPr>
          <w:b/>
          <w:szCs w:val="24"/>
          <w:lang w:val="fr-FR"/>
        </w:rPr>
        <w:tab/>
      </w:r>
      <w:r w:rsidRPr="00CA705B">
        <w:rPr>
          <w:b/>
          <w:color w:val="333333"/>
          <w:szCs w:val="24"/>
          <w:shd w:val="clear" w:color="auto" w:fill="FFFFFF"/>
        </w:rPr>
        <w:t>Essai de freinage à sec avec actionnement de toutes les commandes de frein de service</w:t>
      </w:r>
    </w:p>
    <w:p w:rsidR="00D54D6C" w:rsidRDefault="00D54D6C" w:rsidP="000B6574">
      <w:pPr>
        <w:pStyle w:val="SingleTxtG"/>
        <w:ind w:left="2268"/>
        <w:rPr>
          <w:color w:val="333333"/>
          <w:szCs w:val="24"/>
        </w:rPr>
      </w:pPr>
      <w:r>
        <w:rPr>
          <w:color w:val="333333"/>
          <w:szCs w:val="24"/>
          <w:shd w:val="clear" w:color="auto" w:fill="FFFFFF"/>
        </w:rPr>
        <w:tab/>
      </w:r>
      <w:r w:rsidRPr="00CA705B">
        <w:rPr>
          <w:b/>
          <w:color w:val="333333"/>
          <w:szCs w:val="24"/>
        </w:rPr>
        <w:t>L</w:t>
      </w:r>
      <w:r w:rsidR="000B6574" w:rsidRPr="00CA705B">
        <w:rPr>
          <w:b/>
          <w:color w:val="333333"/>
          <w:szCs w:val="24"/>
        </w:rPr>
        <w:t>’</w:t>
      </w:r>
      <w:r w:rsidRPr="00CA705B">
        <w:rPr>
          <w:b/>
          <w:color w:val="333333"/>
          <w:szCs w:val="24"/>
        </w:rPr>
        <w:t xml:space="preserve">essai doit être effectué conformément </w:t>
      </w:r>
      <w:r w:rsidR="00ED12EE" w:rsidRPr="00CA705B">
        <w:rPr>
          <w:b/>
          <w:color w:val="333333"/>
          <w:szCs w:val="24"/>
        </w:rPr>
        <w:t>aux prescriptions du</w:t>
      </w:r>
      <w:r w:rsidRPr="00CA705B">
        <w:rPr>
          <w:b/>
          <w:color w:val="333333"/>
          <w:szCs w:val="24"/>
        </w:rPr>
        <w:t xml:space="preserve"> </w:t>
      </w:r>
      <w:r w:rsidRPr="00CA705B">
        <w:rPr>
          <w:b/>
          <w:color w:val="333333"/>
          <w:szCs w:val="24"/>
          <w:shd w:val="clear" w:color="auto" w:fill="FFFFFF"/>
        </w:rPr>
        <w:t>paragraphe</w:t>
      </w:r>
      <w:r w:rsidR="00ED12EE" w:rsidRPr="00CA705B">
        <w:rPr>
          <w:b/>
          <w:color w:val="333333"/>
          <w:szCs w:val="24"/>
          <w:shd w:val="clear" w:color="auto" w:fill="FFFFFF"/>
        </w:rPr>
        <w:t> </w:t>
      </w:r>
      <w:r w:rsidRPr="00CA705B">
        <w:rPr>
          <w:b/>
          <w:color w:val="333333"/>
          <w:szCs w:val="24"/>
          <w:shd w:val="clear" w:color="auto" w:fill="FFFFFF"/>
        </w:rPr>
        <w:t>4 de l</w:t>
      </w:r>
      <w:r w:rsidR="000B6574" w:rsidRPr="00CA705B">
        <w:rPr>
          <w:b/>
          <w:color w:val="333333"/>
          <w:szCs w:val="24"/>
          <w:shd w:val="clear" w:color="auto" w:fill="FFFFFF"/>
        </w:rPr>
        <w:t>’</w:t>
      </w:r>
      <w:r w:rsidR="00ED12EE" w:rsidRPr="00CA705B">
        <w:rPr>
          <w:b/>
          <w:color w:val="333333"/>
          <w:szCs w:val="24"/>
          <w:shd w:val="clear" w:color="auto" w:fill="FFFFFF"/>
        </w:rPr>
        <w:t>annexe </w:t>
      </w:r>
      <w:r w:rsidRPr="00CA705B">
        <w:rPr>
          <w:b/>
          <w:color w:val="333333"/>
          <w:szCs w:val="24"/>
          <w:shd w:val="clear" w:color="auto" w:fill="FFFFFF"/>
        </w:rPr>
        <w:t>3 du Règlement ONU</w:t>
      </w:r>
      <w:r w:rsidRPr="006B76AC">
        <w:t xml:space="preserve"> </w:t>
      </w:r>
      <w:r w:rsidR="000B6574" w:rsidRPr="00CA705B">
        <w:rPr>
          <w:rFonts w:eastAsia="MS Mincho"/>
          <w:b/>
          <w:lang w:val="fr-FR"/>
        </w:rPr>
        <w:t>n</w:t>
      </w:r>
      <w:r w:rsidR="000B6574" w:rsidRPr="00CA705B">
        <w:rPr>
          <w:rFonts w:eastAsia="MS Mincho"/>
          <w:b/>
          <w:vertAlign w:val="superscript"/>
          <w:lang w:val="fr-FR"/>
        </w:rPr>
        <w:t>o</w:t>
      </w:r>
      <w:r w:rsidR="000B6574" w:rsidRPr="00CA705B">
        <w:rPr>
          <w:b/>
          <w:lang w:val="fr-FR"/>
        </w:rPr>
        <w:t> </w:t>
      </w:r>
      <w:r w:rsidRPr="00CA705B">
        <w:rPr>
          <w:b/>
          <w:color w:val="333333"/>
          <w:szCs w:val="24"/>
          <w:shd w:val="clear" w:color="auto" w:fill="FFFFFF"/>
        </w:rPr>
        <w:t>78</w:t>
      </w:r>
      <w:r w:rsidRPr="00CA705B">
        <w:rPr>
          <w:b/>
          <w:color w:val="333333"/>
          <w:szCs w:val="24"/>
        </w:rPr>
        <w:t>.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02304">
        <w:rPr>
          <w:color w:val="333333"/>
          <w:szCs w:val="24"/>
        </w:rPr>
        <w:t>2.1.1</w:t>
      </w:r>
      <w:r w:rsidRPr="00CA705B">
        <w:rPr>
          <w:b/>
          <w:color w:val="333333"/>
          <w:szCs w:val="24"/>
        </w:rPr>
        <w:t>.3</w:t>
      </w:r>
      <w:r>
        <w:rPr>
          <w:color w:val="333333"/>
          <w:szCs w:val="24"/>
        </w:rPr>
        <w:tab/>
      </w:r>
      <w:r w:rsidRPr="00002304">
        <w:rPr>
          <w:strike/>
          <w:lang w:val="fr-FR"/>
        </w:rPr>
        <w:t>Essai du type 0 avec moteur embrayé</w:t>
      </w:r>
      <w:r>
        <w:rPr>
          <w:lang w:val="fr-FR"/>
        </w:rPr>
        <w:t xml:space="preserve"> </w:t>
      </w:r>
      <w:r w:rsidRPr="00CA705B">
        <w:rPr>
          <w:b/>
          <w:lang w:val="fr-FR"/>
        </w:rPr>
        <w:t>Essai à grande vitesse</w:t>
      </w:r>
    </w:p>
    <w:p w:rsidR="00D54D6C" w:rsidRDefault="00D54D6C" w:rsidP="000B6574">
      <w:pPr>
        <w:pStyle w:val="SingleTxtG"/>
        <w:ind w:left="2268"/>
        <w:rPr>
          <w:lang w:val="fr-FR"/>
        </w:rPr>
      </w:pPr>
      <w:r w:rsidRPr="000871B2">
        <w:rPr>
          <w:lang w:val="fr-FR"/>
        </w:rPr>
        <w:tab/>
        <w:t>Applicable uniquement aux véhicules des catégories L</w:t>
      </w:r>
      <w:r w:rsidRPr="000871B2">
        <w:rPr>
          <w:vertAlign w:val="subscript"/>
          <w:lang w:val="fr-FR"/>
        </w:rPr>
        <w:t>3</w:t>
      </w:r>
      <w:r w:rsidRPr="000871B2">
        <w:rPr>
          <w:lang w:val="fr-FR"/>
        </w:rPr>
        <w:t>, L</w:t>
      </w:r>
      <w:r w:rsidRPr="000871B2">
        <w:rPr>
          <w:vertAlign w:val="subscript"/>
          <w:lang w:val="fr-FR"/>
        </w:rPr>
        <w:t>4</w:t>
      </w:r>
      <w:r w:rsidRPr="00002304">
        <w:rPr>
          <w:lang w:val="fr-FR"/>
        </w:rPr>
        <w:t>,</w:t>
      </w:r>
      <w:r w:rsidRPr="000871B2">
        <w:rPr>
          <w:lang w:val="fr-FR"/>
        </w:rPr>
        <w:t xml:space="preserve"> L</w:t>
      </w:r>
      <w:r w:rsidRPr="000871B2">
        <w:rPr>
          <w:vertAlign w:val="subscript"/>
          <w:lang w:val="fr-FR"/>
        </w:rPr>
        <w:t>5</w:t>
      </w:r>
      <w:r>
        <w:rPr>
          <w:vertAlign w:val="subscript"/>
          <w:lang w:val="fr-FR"/>
        </w:rPr>
        <w:t xml:space="preserve"> </w:t>
      </w:r>
      <w:r w:rsidRPr="00CA705B">
        <w:rPr>
          <w:b/>
          <w:lang w:val="fr-FR"/>
        </w:rPr>
        <w:t>et L</w:t>
      </w:r>
      <w:r w:rsidRPr="00CA705B">
        <w:rPr>
          <w:b/>
          <w:vertAlign w:val="subscript"/>
          <w:lang w:val="fr-FR"/>
        </w:rPr>
        <w:t>7</w:t>
      </w:r>
      <w:r w:rsidRPr="000871B2">
        <w:rPr>
          <w:lang w:val="fr-FR"/>
        </w:rPr>
        <w:t>.</w:t>
      </w:r>
    </w:p>
    <w:p w:rsidR="00D54D6C" w:rsidRPr="00CA705B" w:rsidRDefault="00D54D6C" w:rsidP="000B6574">
      <w:pPr>
        <w:pStyle w:val="SingleTxtG"/>
        <w:ind w:left="2268"/>
        <w:rPr>
          <w:b/>
          <w:szCs w:val="24"/>
          <w:lang w:val="fr-FR"/>
        </w:rPr>
      </w:pPr>
      <w:r w:rsidRPr="00CA705B">
        <w:rPr>
          <w:b/>
          <w:lang w:val="fr-FR"/>
        </w:rPr>
        <w:tab/>
      </w:r>
      <w:r w:rsidRPr="00CA705B">
        <w:rPr>
          <w:b/>
          <w:color w:val="333333"/>
          <w:szCs w:val="24"/>
        </w:rPr>
        <w:t>L</w:t>
      </w:r>
      <w:r w:rsidR="000B6574" w:rsidRPr="00CA705B">
        <w:rPr>
          <w:b/>
          <w:color w:val="333333"/>
          <w:szCs w:val="24"/>
        </w:rPr>
        <w:t>’</w:t>
      </w:r>
      <w:r w:rsidRPr="00CA705B">
        <w:rPr>
          <w:b/>
          <w:color w:val="333333"/>
          <w:szCs w:val="24"/>
        </w:rPr>
        <w:t>essai doit être effectué conformément</w:t>
      </w:r>
      <w:r w:rsidR="000B6574" w:rsidRPr="00CA705B">
        <w:rPr>
          <w:b/>
          <w:color w:val="333333"/>
          <w:szCs w:val="24"/>
        </w:rPr>
        <w:t xml:space="preserve"> aux prescriptions du</w:t>
      </w:r>
      <w:r w:rsidRPr="00CA705B">
        <w:rPr>
          <w:b/>
          <w:color w:val="333333"/>
          <w:szCs w:val="24"/>
        </w:rPr>
        <w:t xml:space="preserve"> </w:t>
      </w:r>
      <w:r w:rsidRPr="00CA705B">
        <w:rPr>
          <w:b/>
          <w:color w:val="333333"/>
          <w:szCs w:val="24"/>
          <w:shd w:val="clear" w:color="auto" w:fill="FFFFFF"/>
        </w:rPr>
        <w:t>paragraphe</w:t>
      </w:r>
      <w:r w:rsidR="00ED12EE" w:rsidRPr="00CA705B">
        <w:rPr>
          <w:b/>
          <w:color w:val="333333"/>
          <w:szCs w:val="24"/>
          <w:shd w:val="clear" w:color="auto" w:fill="FFFFFF"/>
        </w:rPr>
        <w:t> </w:t>
      </w:r>
      <w:r w:rsidRPr="00CA705B">
        <w:rPr>
          <w:b/>
          <w:color w:val="333333"/>
          <w:szCs w:val="24"/>
          <w:shd w:val="clear" w:color="auto" w:fill="FFFFFF"/>
        </w:rPr>
        <w:t>5 de l</w:t>
      </w:r>
      <w:r w:rsidR="000B6574" w:rsidRPr="00CA705B">
        <w:rPr>
          <w:b/>
          <w:color w:val="333333"/>
          <w:szCs w:val="24"/>
          <w:shd w:val="clear" w:color="auto" w:fill="FFFFFF"/>
        </w:rPr>
        <w:t>’</w:t>
      </w:r>
      <w:r w:rsidRPr="00CA705B">
        <w:rPr>
          <w:b/>
          <w:color w:val="333333"/>
          <w:szCs w:val="24"/>
          <w:shd w:val="clear" w:color="auto" w:fill="FFFFFF"/>
        </w:rPr>
        <w:t xml:space="preserve">annexe 3 du Règlement ONU </w:t>
      </w:r>
      <w:r w:rsidR="000B6574" w:rsidRPr="00CA705B">
        <w:rPr>
          <w:rFonts w:eastAsia="MS Mincho"/>
          <w:b/>
          <w:lang w:val="fr-FR"/>
        </w:rPr>
        <w:t>n</w:t>
      </w:r>
      <w:r w:rsidR="000B6574" w:rsidRPr="00CA705B">
        <w:rPr>
          <w:rFonts w:eastAsia="MS Mincho"/>
          <w:b/>
          <w:vertAlign w:val="superscript"/>
          <w:lang w:val="fr-FR"/>
        </w:rPr>
        <w:t>o</w:t>
      </w:r>
      <w:r w:rsidR="000B6574" w:rsidRPr="00CA705B">
        <w:rPr>
          <w:b/>
          <w:lang w:val="fr-FR"/>
        </w:rPr>
        <w:t> </w:t>
      </w:r>
      <w:r w:rsidRPr="00CA705B">
        <w:rPr>
          <w:b/>
          <w:color w:val="333333"/>
          <w:szCs w:val="24"/>
          <w:shd w:val="clear" w:color="auto" w:fill="FFFFFF"/>
        </w:rPr>
        <w:t>78</w:t>
      </w:r>
      <w:r w:rsidRPr="00CA705B">
        <w:rPr>
          <w:b/>
          <w:color w:val="333333"/>
          <w:szCs w:val="24"/>
        </w:rPr>
        <w:t>.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2.1.1</w:t>
      </w:r>
      <w:r w:rsidRPr="00CA705B">
        <w:rPr>
          <w:b/>
          <w:lang w:val="fr-FR"/>
        </w:rPr>
        <w:t>.4</w:t>
      </w:r>
      <w:r w:rsidRPr="000871B2">
        <w:rPr>
          <w:lang w:val="fr-FR"/>
        </w:rPr>
        <w:tab/>
      </w:r>
      <w:r w:rsidRPr="00002304">
        <w:rPr>
          <w:strike/>
          <w:lang w:val="fr-FR"/>
        </w:rPr>
        <w:t>Essai du type 0 avec freins mouillés</w:t>
      </w:r>
      <w:r>
        <w:rPr>
          <w:lang w:val="fr-FR"/>
        </w:rPr>
        <w:t xml:space="preserve"> </w:t>
      </w:r>
      <w:r w:rsidRPr="00CA705B">
        <w:rPr>
          <w:b/>
          <w:lang w:val="fr-FR"/>
        </w:rPr>
        <w:t>Essai de freinage freins mouillés</w:t>
      </w:r>
    </w:p>
    <w:p w:rsidR="00D54D6C" w:rsidRPr="00002304" w:rsidRDefault="00D54D6C" w:rsidP="000B6574">
      <w:pPr>
        <w:pStyle w:val="SingleTxtG"/>
        <w:ind w:left="2268"/>
        <w:rPr>
          <w:strike/>
          <w:lang w:val="fr-FR"/>
        </w:rPr>
      </w:pPr>
      <w:r w:rsidRPr="000871B2">
        <w:rPr>
          <w:lang w:val="fr-FR"/>
        </w:rPr>
        <w:tab/>
      </w:r>
      <w:r w:rsidRPr="00002304">
        <w:rPr>
          <w:strike/>
          <w:lang w:val="fr-FR"/>
        </w:rPr>
        <w:t>Ne s</w:t>
      </w:r>
      <w:r w:rsidR="000B6574">
        <w:rPr>
          <w:strike/>
          <w:lang w:val="fr-FR"/>
        </w:rPr>
        <w:t>’</w:t>
      </w:r>
      <w:r w:rsidRPr="00002304">
        <w:rPr>
          <w:strike/>
          <w:lang w:val="fr-FR"/>
        </w:rPr>
        <w:t>applique pas aux véhicules de la catégorie L</w:t>
      </w:r>
      <w:r w:rsidRPr="00002304">
        <w:rPr>
          <w:strike/>
          <w:vertAlign w:val="subscript"/>
          <w:lang w:val="fr-FR"/>
        </w:rPr>
        <w:t>5</w:t>
      </w:r>
      <w:r w:rsidRPr="00002304">
        <w:rPr>
          <w:strike/>
          <w:lang w:val="fr-FR"/>
        </w:rPr>
        <w:t xml:space="preserve"> ni dans les cas des freins à tambour ou des freins à disque entièrement protégés n</w:t>
      </w:r>
      <w:r w:rsidR="000B6574">
        <w:rPr>
          <w:strike/>
          <w:lang w:val="fr-FR"/>
        </w:rPr>
        <w:t>’</w:t>
      </w:r>
      <w:r w:rsidRPr="00002304">
        <w:rPr>
          <w:strike/>
          <w:lang w:val="fr-FR"/>
        </w:rPr>
        <w:t>ayant pas subi cet essai pour l</w:t>
      </w:r>
      <w:r w:rsidR="000B6574">
        <w:rPr>
          <w:strike/>
          <w:lang w:val="fr-FR"/>
        </w:rPr>
        <w:t>’</w:t>
      </w:r>
      <w:r w:rsidRPr="00002304">
        <w:rPr>
          <w:strike/>
          <w:lang w:val="fr-FR"/>
        </w:rPr>
        <w:t xml:space="preserve">homologation conformément au Règlement </w:t>
      </w:r>
      <w:r w:rsidR="000B6574" w:rsidRPr="000B6574">
        <w:rPr>
          <w:rFonts w:eastAsia="MS Mincho"/>
          <w:strike/>
          <w:lang w:val="fr-FR"/>
        </w:rPr>
        <w:t>n</w:t>
      </w:r>
      <w:r w:rsidR="000B6574" w:rsidRPr="000B6574">
        <w:rPr>
          <w:rFonts w:eastAsia="MS Mincho"/>
          <w:strike/>
          <w:vertAlign w:val="superscript"/>
          <w:lang w:val="fr-FR"/>
        </w:rPr>
        <w:t>o</w:t>
      </w:r>
      <w:r w:rsidR="000B6574" w:rsidRPr="000B6574">
        <w:rPr>
          <w:strike/>
          <w:lang w:val="fr-FR"/>
        </w:rPr>
        <w:t> </w:t>
      </w:r>
      <w:r w:rsidRPr="00002304">
        <w:rPr>
          <w:strike/>
          <w:lang w:val="fr-FR"/>
        </w:rPr>
        <w:t>78.</w:t>
      </w:r>
    </w:p>
    <w:p w:rsidR="00D54D6C" w:rsidRPr="00CA705B" w:rsidRDefault="00D54D6C" w:rsidP="000B6574">
      <w:pPr>
        <w:pStyle w:val="SingleTxtG"/>
        <w:ind w:left="2268"/>
        <w:rPr>
          <w:b/>
          <w:szCs w:val="24"/>
          <w:lang w:val="fr-FR"/>
        </w:rPr>
      </w:pPr>
      <w:r w:rsidRPr="00CA705B">
        <w:rPr>
          <w:b/>
          <w:lang w:val="fr-FR"/>
        </w:rPr>
        <w:tab/>
      </w:r>
      <w:r w:rsidRPr="00CA705B">
        <w:rPr>
          <w:b/>
          <w:color w:val="333333"/>
          <w:szCs w:val="24"/>
        </w:rPr>
        <w:t>L</w:t>
      </w:r>
      <w:r w:rsidR="000B6574" w:rsidRPr="00CA705B">
        <w:rPr>
          <w:b/>
          <w:color w:val="333333"/>
          <w:szCs w:val="24"/>
        </w:rPr>
        <w:t>’</w:t>
      </w:r>
      <w:r w:rsidRPr="00CA705B">
        <w:rPr>
          <w:b/>
          <w:color w:val="333333"/>
          <w:szCs w:val="24"/>
        </w:rPr>
        <w:t>essai doit être effectué conformément aux prescriptions du</w:t>
      </w:r>
      <w:r w:rsidR="00706910" w:rsidRPr="00CA705B">
        <w:rPr>
          <w:b/>
          <w:color w:val="333333"/>
          <w:szCs w:val="24"/>
        </w:rPr>
        <w:t xml:space="preserve"> </w:t>
      </w:r>
      <w:r w:rsidRPr="00CA705B">
        <w:rPr>
          <w:b/>
          <w:color w:val="333333"/>
          <w:szCs w:val="24"/>
          <w:shd w:val="clear" w:color="auto" w:fill="FFFFFF"/>
        </w:rPr>
        <w:t>paragraphe 6 de l</w:t>
      </w:r>
      <w:r w:rsidR="000B6574" w:rsidRPr="00CA705B">
        <w:rPr>
          <w:b/>
          <w:color w:val="333333"/>
          <w:szCs w:val="24"/>
          <w:shd w:val="clear" w:color="auto" w:fill="FFFFFF"/>
        </w:rPr>
        <w:t>’</w:t>
      </w:r>
      <w:r w:rsidRPr="00CA705B">
        <w:rPr>
          <w:b/>
          <w:color w:val="333333"/>
          <w:szCs w:val="24"/>
          <w:shd w:val="clear" w:color="auto" w:fill="FFFFFF"/>
        </w:rPr>
        <w:t xml:space="preserve">annexe 3 du Règlement ONU </w:t>
      </w:r>
      <w:r w:rsidR="000B6574" w:rsidRPr="00CA705B">
        <w:rPr>
          <w:rFonts w:eastAsia="MS Mincho"/>
          <w:b/>
          <w:lang w:val="fr-FR"/>
        </w:rPr>
        <w:t>n</w:t>
      </w:r>
      <w:r w:rsidR="000B6574" w:rsidRPr="00CA705B">
        <w:rPr>
          <w:rFonts w:eastAsia="MS Mincho"/>
          <w:b/>
          <w:vertAlign w:val="superscript"/>
          <w:lang w:val="fr-FR"/>
        </w:rPr>
        <w:t>o</w:t>
      </w:r>
      <w:r w:rsidR="000B6574" w:rsidRPr="00CA705B">
        <w:rPr>
          <w:b/>
          <w:lang w:val="fr-FR"/>
        </w:rPr>
        <w:t> </w:t>
      </w:r>
      <w:r w:rsidRPr="00CA705B">
        <w:rPr>
          <w:b/>
          <w:color w:val="333333"/>
          <w:szCs w:val="24"/>
          <w:shd w:val="clear" w:color="auto" w:fill="FFFFFF"/>
        </w:rPr>
        <w:t>78</w:t>
      </w:r>
      <w:r w:rsidRPr="00CA705B">
        <w:rPr>
          <w:b/>
          <w:color w:val="333333"/>
          <w:szCs w:val="24"/>
        </w:rPr>
        <w:t>.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2.1.1</w:t>
      </w:r>
      <w:r w:rsidRPr="00CA705B">
        <w:rPr>
          <w:b/>
          <w:lang w:val="fr-FR"/>
        </w:rPr>
        <w:t>.5</w:t>
      </w:r>
      <w:r w:rsidRPr="000871B2">
        <w:rPr>
          <w:lang w:val="fr-FR"/>
        </w:rPr>
        <w:tab/>
      </w:r>
      <w:r w:rsidRPr="00002304">
        <w:rPr>
          <w:strike/>
          <w:lang w:val="fr-FR"/>
        </w:rPr>
        <w:t>Essai du type I</w:t>
      </w:r>
      <w:r>
        <w:rPr>
          <w:lang w:val="fr-FR"/>
        </w:rPr>
        <w:t xml:space="preserve"> </w:t>
      </w:r>
      <w:r w:rsidRPr="00CA705B">
        <w:rPr>
          <w:b/>
          <w:color w:val="333333"/>
          <w:szCs w:val="24"/>
          <w:shd w:val="clear" w:color="auto" w:fill="FFFFFF"/>
        </w:rPr>
        <w:t>Essai de perte d</w:t>
      </w:r>
      <w:r w:rsidR="000B6574" w:rsidRPr="00CA705B">
        <w:rPr>
          <w:b/>
          <w:color w:val="333333"/>
          <w:szCs w:val="24"/>
          <w:shd w:val="clear" w:color="auto" w:fill="FFFFFF"/>
        </w:rPr>
        <w:t>’</w:t>
      </w:r>
      <w:r w:rsidRPr="00CA705B">
        <w:rPr>
          <w:b/>
          <w:color w:val="333333"/>
          <w:szCs w:val="24"/>
          <w:shd w:val="clear" w:color="auto" w:fill="FFFFFF"/>
        </w:rPr>
        <w:t>efficacité à chaud</w:t>
      </w:r>
    </w:p>
    <w:p w:rsidR="00D54D6C" w:rsidRPr="00002304" w:rsidRDefault="00D54D6C" w:rsidP="000B6574">
      <w:pPr>
        <w:pStyle w:val="SingleTxtG"/>
        <w:ind w:left="2268"/>
        <w:rPr>
          <w:strike/>
          <w:lang w:val="fr-FR"/>
        </w:rPr>
      </w:pPr>
      <w:r w:rsidRPr="000871B2">
        <w:rPr>
          <w:lang w:val="fr-FR"/>
        </w:rPr>
        <w:tab/>
      </w:r>
      <w:r w:rsidRPr="00002304">
        <w:rPr>
          <w:strike/>
          <w:lang w:val="fr-FR"/>
        </w:rPr>
        <w:t>Applicable uniquement aux véhicules des types L</w:t>
      </w:r>
      <w:r w:rsidRPr="00002304">
        <w:rPr>
          <w:strike/>
          <w:vertAlign w:val="subscript"/>
          <w:lang w:val="fr-FR"/>
        </w:rPr>
        <w:t>3</w:t>
      </w:r>
      <w:r w:rsidRPr="00002304">
        <w:rPr>
          <w:strike/>
          <w:lang w:val="fr-FR"/>
        </w:rPr>
        <w:t>, L</w:t>
      </w:r>
      <w:r w:rsidRPr="00002304">
        <w:rPr>
          <w:strike/>
          <w:vertAlign w:val="subscript"/>
          <w:lang w:val="fr-FR"/>
        </w:rPr>
        <w:t>4</w:t>
      </w:r>
      <w:r w:rsidRPr="00002304">
        <w:rPr>
          <w:strike/>
          <w:lang w:val="fr-FR"/>
        </w:rPr>
        <w:t xml:space="preserve"> et L</w:t>
      </w:r>
      <w:r w:rsidRPr="00002304">
        <w:rPr>
          <w:strike/>
          <w:vertAlign w:val="subscript"/>
          <w:lang w:val="fr-FR"/>
        </w:rPr>
        <w:t>5.</w:t>
      </w:r>
    </w:p>
    <w:p w:rsidR="00D54D6C" w:rsidRPr="00CA705B" w:rsidRDefault="00D54D6C" w:rsidP="000B6574">
      <w:pPr>
        <w:pStyle w:val="SingleTxtG"/>
        <w:ind w:left="2268"/>
        <w:rPr>
          <w:b/>
          <w:szCs w:val="24"/>
          <w:lang w:val="fr-FR"/>
        </w:rPr>
      </w:pPr>
      <w:r w:rsidRPr="00CA705B">
        <w:rPr>
          <w:b/>
          <w:lang w:val="fr-FR"/>
        </w:rPr>
        <w:tab/>
      </w:r>
      <w:r w:rsidRPr="00CA705B">
        <w:rPr>
          <w:b/>
          <w:color w:val="333333"/>
          <w:szCs w:val="24"/>
        </w:rPr>
        <w:t>L</w:t>
      </w:r>
      <w:r w:rsidR="000B6574" w:rsidRPr="00CA705B">
        <w:rPr>
          <w:b/>
          <w:color w:val="333333"/>
          <w:szCs w:val="24"/>
        </w:rPr>
        <w:t>’</w:t>
      </w:r>
      <w:r w:rsidRPr="00CA705B">
        <w:rPr>
          <w:b/>
          <w:color w:val="333333"/>
          <w:szCs w:val="24"/>
        </w:rPr>
        <w:t xml:space="preserve">essai doit être effectué conformément aux prescriptions du </w:t>
      </w:r>
      <w:r w:rsidR="00ED12EE" w:rsidRPr="00CA705B">
        <w:rPr>
          <w:b/>
          <w:color w:val="333333"/>
          <w:szCs w:val="24"/>
          <w:shd w:val="clear" w:color="auto" w:fill="FFFFFF"/>
        </w:rPr>
        <w:t>paragraphe </w:t>
      </w:r>
      <w:r w:rsidRPr="00CA705B">
        <w:rPr>
          <w:b/>
          <w:color w:val="333333"/>
          <w:szCs w:val="24"/>
          <w:shd w:val="clear" w:color="auto" w:fill="FFFFFF"/>
        </w:rPr>
        <w:t>7 de l</w:t>
      </w:r>
      <w:r w:rsidR="000B6574" w:rsidRPr="00CA705B">
        <w:rPr>
          <w:b/>
          <w:color w:val="333333"/>
          <w:szCs w:val="24"/>
          <w:shd w:val="clear" w:color="auto" w:fill="FFFFFF"/>
        </w:rPr>
        <w:t>’</w:t>
      </w:r>
      <w:r w:rsidRPr="00CA705B">
        <w:rPr>
          <w:b/>
          <w:color w:val="333333"/>
          <w:szCs w:val="24"/>
          <w:shd w:val="clear" w:color="auto" w:fill="FFFFFF"/>
        </w:rPr>
        <w:t xml:space="preserve">annexe 3 du Règlement ONU </w:t>
      </w:r>
      <w:r w:rsidR="000B6574" w:rsidRPr="00CA705B">
        <w:rPr>
          <w:rFonts w:eastAsia="MS Mincho"/>
          <w:b/>
          <w:lang w:val="fr-FR"/>
        </w:rPr>
        <w:t>n</w:t>
      </w:r>
      <w:r w:rsidR="000B6574" w:rsidRPr="00CA705B">
        <w:rPr>
          <w:rFonts w:eastAsia="MS Mincho"/>
          <w:b/>
          <w:vertAlign w:val="superscript"/>
          <w:lang w:val="fr-FR"/>
        </w:rPr>
        <w:t>o</w:t>
      </w:r>
      <w:r w:rsidR="000B6574" w:rsidRPr="00CA705B">
        <w:rPr>
          <w:b/>
          <w:lang w:val="fr-FR"/>
        </w:rPr>
        <w:t> </w:t>
      </w:r>
      <w:r w:rsidRPr="00CA705B">
        <w:rPr>
          <w:b/>
          <w:color w:val="333333"/>
          <w:szCs w:val="24"/>
          <w:shd w:val="clear" w:color="auto" w:fill="FFFFFF"/>
        </w:rPr>
        <w:t>78</w:t>
      </w:r>
      <w:r w:rsidRPr="00CA705B">
        <w:rPr>
          <w:b/>
          <w:color w:val="333333"/>
          <w:szCs w:val="24"/>
        </w:rPr>
        <w:t>.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2.1.2</w:t>
      </w:r>
      <w:r w:rsidRPr="000871B2">
        <w:rPr>
          <w:lang w:val="fr-FR"/>
        </w:rPr>
        <w:tab/>
        <w:t xml:space="preserve">Le véhicule doit satisfaire à toutes les prescriptions pertinentes figurant dans le Règlement </w:t>
      </w:r>
      <w:r>
        <w:rPr>
          <w:lang w:val="fr-FR"/>
        </w:rPr>
        <w:t xml:space="preserve">ONU </w:t>
      </w:r>
      <w:r w:rsidR="000B6574" w:rsidRPr="00D54D6C">
        <w:rPr>
          <w:rFonts w:eastAsia="MS Mincho"/>
          <w:lang w:val="fr-FR"/>
        </w:rPr>
        <w:t>n</w:t>
      </w:r>
      <w:r w:rsidR="000B6574" w:rsidRPr="00D54D6C">
        <w:rPr>
          <w:rFonts w:eastAsia="MS Mincho"/>
          <w:vertAlign w:val="superscript"/>
          <w:lang w:val="fr-FR"/>
        </w:rPr>
        <w:t>o</w:t>
      </w:r>
      <w:r w:rsidR="000B6574">
        <w:rPr>
          <w:lang w:val="fr-FR"/>
        </w:rPr>
        <w:t> </w:t>
      </w:r>
      <w:r w:rsidRPr="000871B2">
        <w:rPr>
          <w:lang w:val="fr-FR"/>
        </w:rPr>
        <w:t>78, annexe 3, paragraphe 2 pour cette catégorie de véhicules.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2.2</w:t>
      </w:r>
      <w:r w:rsidRPr="000871B2">
        <w:rPr>
          <w:lang w:val="fr-FR"/>
        </w:rPr>
        <w:tab/>
        <w:t>Prescriptions supplémentaires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2.2.1</w:t>
      </w:r>
      <w:r w:rsidRPr="000871B2">
        <w:rPr>
          <w:lang w:val="fr-FR"/>
        </w:rPr>
        <w:tab/>
        <w:t>Essai d</w:t>
      </w:r>
      <w:r w:rsidR="000B6574">
        <w:rPr>
          <w:lang w:val="fr-FR"/>
        </w:rPr>
        <w:t>’</w:t>
      </w:r>
      <w:r w:rsidRPr="000871B2">
        <w:rPr>
          <w:lang w:val="fr-FR"/>
        </w:rPr>
        <w:t>équivalence pour l</w:t>
      </w:r>
      <w:r w:rsidR="000B6574">
        <w:rPr>
          <w:lang w:val="fr-FR"/>
        </w:rPr>
        <w:t>’</w:t>
      </w:r>
      <w:r w:rsidRPr="000871B2">
        <w:rPr>
          <w:lang w:val="fr-FR"/>
        </w:rPr>
        <w:t>efficacité à froid</w:t>
      </w:r>
    </w:p>
    <w:p w:rsidR="00D54D6C" w:rsidRPr="004538C1" w:rsidRDefault="00D54D6C" w:rsidP="000B6574">
      <w:pPr>
        <w:pStyle w:val="SingleTxtG"/>
        <w:ind w:left="2268"/>
        <w:rPr>
          <w:lang w:val="fr-FR"/>
        </w:rPr>
      </w:pPr>
      <w:r w:rsidRPr="000871B2">
        <w:rPr>
          <w:lang w:val="fr-FR"/>
        </w:rPr>
        <w:tab/>
        <w:t>On compare l</w:t>
      </w:r>
      <w:r w:rsidR="000B6574">
        <w:rPr>
          <w:lang w:val="fr-FR"/>
        </w:rPr>
        <w:t>’</w:t>
      </w:r>
      <w:r w:rsidRPr="000871B2">
        <w:rPr>
          <w:lang w:val="fr-FR"/>
        </w:rPr>
        <w:t>efficacité à froid de la garniture de frein assemblée de rechange et de la garniture de frein assemblée d</w:t>
      </w:r>
      <w:r w:rsidR="000B6574">
        <w:rPr>
          <w:lang w:val="fr-FR"/>
        </w:rPr>
        <w:t>’</w:t>
      </w:r>
      <w:r w:rsidRPr="000871B2">
        <w:rPr>
          <w:lang w:val="fr-FR"/>
        </w:rPr>
        <w:t>origine en comparant les résultats de l</w:t>
      </w:r>
      <w:r w:rsidR="000B6574">
        <w:rPr>
          <w:lang w:val="fr-FR"/>
        </w:rPr>
        <w:t>’</w:t>
      </w:r>
      <w:r w:rsidRPr="000871B2">
        <w:rPr>
          <w:lang w:val="fr-FR"/>
        </w:rPr>
        <w:t xml:space="preserve">essai </w:t>
      </w:r>
      <w:r w:rsidRPr="004538C1">
        <w:rPr>
          <w:strike/>
          <w:lang w:val="fr-FR"/>
        </w:rPr>
        <w:t>du type 0 décrits dans le paragraphe 2.1.1.1</w:t>
      </w:r>
      <w:r w:rsidRPr="004538C1">
        <w:rPr>
          <w:lang w:val="fr-FR"/>
        </w:rPr>
        <w:t>.</w:t>
      </w:r>
    </w:p>
    <w:p w:rsidR="00D54D6C" w:rsidRPr="008C4E41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2.2.1.1</w:t>
      </w:r>
      <w:r w:rsidRPr="000871B2">
        <w:rPr>
          <w:lang w:val="fr-FR"/>
        </w:rPr>
        <w:tab/>
      </w:r>
      <w:r w:rsidRPr="00CA705B">
        <w:rPr>
          <w:b/>
          <w:lang w:val="fr-FR"/>
        </w:rPr>
        <w:t>Effectuer au moins six freinages en augmentant à chaque fois la force à la pédale ou la pression dans les conduites, jusqu</w:t>
      </w:r>
      <w:r w:rsidR="000B6574" w:rsidRPr="00CA705B">
        <w:rPr>
          <w:b/>
          <w:lang w:val="fr-FR"/>
        </w:rPr>
        <w:t>’</w:t>
      </w:r>
      <w:r w:rsidRPr="00CA705B">
        <w:rPr>
          <w:b/>
          <w:lang w:val="fr-FR"/>
        </w:rPr>
        <w:t>à obtenir le blocage des roues ou une décélération moyenne en régime, conformément aux p</w:t>
      </w:r>
      <w:proofErr w:type="spellStart"/>
      <w:r w:rsidRPr="00CA705B">
        <w:rPr>
          <w:b/>
          <w:color w:val="333333"/>
          <w:szCs w:val="24"/>
          <w:shd w:val="clear" w:color="auto" w:fill="FFFFFF"/>
        </w:rPr>
        <w:t>rescriptions</w:t>
      </w:r>
      <w:proofErr w:type="spellEnd"/>
      <w:r w:rsidRPr="00CA705B">
        <w:rPr>
          <w:b/>
          <w:color w:val="333333"/>
          <w:szCs w:val="24"/>
          <w:shd w:val="clear" w:color="auto" w:fill="FFFFFF"/>
        </w:rPr>
        <w:t xml:space="preserve"> </w:t>
      </w:r>
      <w:r w:rsidRPr="00CA705B">
        <w:rPr>
          <w:b/>
          <w:color w:val="333333"/>
          <w:shd w:val="clear" w:color="auto" w:fill="FFFFFF"/>
        </w:rPr>
        <w:t>minimales définies au paragraphe 3.3 de l</w:t>
      </w:r>
      <w:r w:rsidR="000B6574" w:rsidRPr="00CA705B">
        <w:rPr>
          <w:b/>
          <w:color w:val="333333"/>
          <w:shd w:val="clear" w:color="auto" w:fill="FFFFFF"/>
        </w:rPr>
        <w:t>’</w:t>
      </w:r>
      <w:r w:rsidRPr="00CA705B">
        <w:rPr>
          <w:b/>
          <w:color w:val="333333"/>
          <w:shd w:val="clear" w:color="auto" w:fill="FFFFFF"/>
        </w:rPr>
        <w:t xml:space="preserve">annexe 3 du Règlement ONU </w:t>
      </w:r>
      <w:r w:rsidR="000B6574" w:rsidRPr="00CA705B">
        <w:rPr>
          <w:rFonts w:eastAsia="MS Mincho"/>
          <w:b/>
          <w:lang w:val="fr-FR"/>
        </w:rPr>
        <w:t>n</w:t>
      </w:r>
      <w:r w:rsidR="000B6574" w:rsidRPr="00CA705B">
        <w:rPr>
          <w:rFonts w:eastAsia="MS Mincho"/>
          <w:b/>
          <w:vertAlign w:val="superscript"/>
          <w:lang w:val="fr-FR"/>
        </w:rPr>
        <w:t>o</w:t>
      </w:r>
      <w:r w:rsidR="000B6574" w:rsidRPr="00CA705B">
        <w:rPr>
          <w:b/>
          <w:lang w:val="fr-FR"/>
        </w:rPr>
        <w:t> </w:t>
      </w:r>
      <w:r w:rsidRPr="00CA705B">
        <w:rPr>
          <w:b/>
          <w:color w:val="333333"/>
          <w:shd w:val="clear" w:color="auto" w:fill="FFFFFF"/>
        </w:rPr>
        <w:t xml:space="preserve">78, </w:t>
      </w:r>
      <w:r w:rsidRPr="00CA705B">
        <w:rPr>
          <w:b/>
          <w:lang w:val="fr-FR"/>
        </w:rPr>
        <w:t>ou jusqu</w:t>
      </w:r>
      <w:r w:rsidR="000B6574" w:rsidRPr="00CA705B">
        <w:rPr>
          <w:b/>
          <w:lang w:val="fr-FR"/>
        </w:rPr>
        <w:t>’</w:t>
      </w:r>
      <w:r w:rsidRPr="00CA705B">
        <w:rPr>
          <w:b/>
          <w:lang w:val="fr-FR"/>
        </w:rPr>
        <w:t>à la force maximale autorisée à la pédale pour la catégorie de véhicules dont il s</w:t>
      </w:r>
      <w:r w:rsidR="000B6574" w:rsidRPr="00CA705B">
        <w:rPr>
          <w:b/>
          <w:lang w:val="fr-FR"/>
        </w:rPr>
        <w:t>’</w:t>
      </w:r>
      <w:r w:rsidRPr="00CA705B">
        <w:rPr>
          <w:b/>
          <w:lang w:val="fr-FR"/>
        </w:rPr>
        <w:t>agit à partir d</w:t>
      </w:r>
      <w:r w:rsidR="000B6574" w:rsidRPr="00CA705B">
        <w:rPr>
          <w:b/>
          <w:lang w:val="fr-FR"/>
        </w:rPr>
        <w:t>’</w:t>
      </w:r>
      <w:r w:rsidRPr="00CA705B">
        <w:rPr>
          <w:b/>
          <w:lang w:val="fr-FR"/>
        </w:rPr>
        <w:t xml:space="preserve">une vitesse initiale conforme au </w:t>
      </w:r>
      <w:r w:rsidR="000B6574" w:rsidRPr="00CA705B">
        <w:rPr>
          <w:b/>
          <w:lang w:val="fr-FR"/>
        </w:rPr>
        <w:t>paragraphe </w:t>
      </w:r>
      <w:r w:rsidRPr="00CA705B">
        <w:rPr>
          <w:b/>
          <w:lang w:val="fr-FR"/>
        </w:rPr>
        <w:t>3.2 de la même annexe.</w:t>
      </w:r>
    </w:p>
    <w:p w:rsidR="00D54D6C" w:rsidRPr="00A94D87" w:rsidRDefault="00D54D6C" w:rsidP="000B6574">
      <w:pPr>
        <w:pStyle w:val="SingleTxtG"/>
        <w:ind w:left="2268"/>
        <w:rPr>
          <w:strike/>
          <w:lang w:val="fr-FR"/>
        </w:rPr>
      </w:pPr>
      <w:r>
        <w:rPr>
          <w:lang w:val="fr-FR"/>
        </w:rPr>
        <w:tab/>
      </w:r>
      <w:r w:rsidRPr="00A94D87">
        <w:rPr>
          <w:strike/>
          <w:lang w:val="fr-FR"/>
        </w:rPr>
        <w:t>L</w:t>
      </w:r>
      <w:r w:rsidR="000B6574">
        <w:rPr>
          <w:strike/>
          <w:lang w:val="fr-FR"/>
        </w:rPr>
        <w:t>’</w:t>
      </w:r>
      <w:r w:rsidRPr="00A94D87">
        <w:rPr>
          <w:strike/>
          <w:lang w:val="fr-FR"/>
        </w:rPr>
        <w:t>essai de type 0 prescrit au paragraphe 2.1.1.1 doit être effectué avec un jeu de garnitures de frein assemblées d</w:t>
      </w:r>
      <w:r w:rsidR="000B6574">
        <w:rPr>
          <w:strike/>
          <w:lang w:val="fr-FR"/>
        </w:rPr>
        <w:t>’</w:t>
      </w:r>
      <w:r w:rsidRPr="00A94D87">
        <w:rPr>
          <w:strike/>
          <w:lang w:val="fr-FR"/>
        </w:rPr>
        <w:t>origine.</w:t>
      </w:r>
    </w:p>
    <w:p w:rsidR="00D54D6C" w:rsidRPr="00CA705B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b/>
          <w:lang w:val="fr-FR"/>
        </w:rPr>
      </w:pPr>
      <w:r w:rsidRPr="000871B2">
        <w:rPr>
          <w:lang w:val="fr-FR"/>
        </w:rPr>
        <w:t>2.2.1.2</w:t>
      </w:r>
      <w:r>
        <w:rPr>
          <w:lang w:val="fr-FR"/>
        </w:rPr>
        <w:tab/>
      </w:r>
      <w:r w:rsidRPr="00CA705B">
        <w:rPr>
          <w:b/>
          <w:color w:val="333333"/>
          <w:szCs w:val="24"/>
        </w:rPr>
        <w:t>Relever et représenter graphiquement la force à la pédale ou la pression dans les conduites et la décélération moyenne en régime à chaque freinage</w:t>
      </w:r>
      <w:r w:rsidRPr="00CA705B">
        <w:rPr>
          <w:b/>
          <w:color w:val="333333"/>
          <w:sz w:val="21"/>
          <w:szCs w:val="21"/>
        </w:rPr>
        <w:t>.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594818">
        <w:rPr>
          <w:b/>
          <w:lang w:val="fr-FR"/>
        </w:rPr>
        <w:t>2.2.1.3</w:t>
      </w:r>
      <w:r w:rsidRPr="00594818">
        <w:rPr>
          <w:b/>
          <w:lang w:val="fr-FR"/>
        </w:rPr>
        <w:tab/>
      </w:r>
      <w:r w:rsidRPr="000871B2">
        <w:rPr>
          <w:lang w:val="fr-FR"/>
        </w:rPr>
        <w:t>On considère que les garnitures de frein assemblées de rechange ont des caractéristiques d</w:t>
      </w:r>
      <w:r w:rsidR="000B6574">
        <w:rPr>
          <w:lang w:val="fr-FR"/>
        </w:rPr>
        <w:t>’</w:t>
      </w:r>
      <w:r w:rsidRPr="000871B2">
        <w:rPr>
          <w:lang w:val="fr-FR"/>
        </w:rPr>
        <w:t>efficacité équivalentes à celles des garnitures de frein assemblées d</w:t>
      </w:r>
      <w:r w:rsidR="000B6574">
        <w:rPr>
          <w:lang w:val="fr-FR"/>
        </w:rPr>
        <w:t>’</w:t>
      </w:r>
      <w:r w:rsidRPr="000871B2">
        <w:rPr>
          <w:lang w:val="fr-FR"/>
        </w:rPr>
        <w:t>origine si les valeurs de décélération en régime à la même pression dans les conduites dans les deux tiers supérieurs de la courbe obtenue ne s</w:t>
      </w:r>
      <w:r w:rsidR="000B6574">
        <w:rPr>
          <w:lang w:val="fr-FR"/>
        </w:rPr>
        <w:t>’</w:t>
      </w:r>
      <w:r w:rsidRPr="000871B2">
        <w:rPr>
          <w:lang w:val="fr-FR"/>
        </w:rPr>
        <w:t>écartent pas de plus de 15</w:t>
      </w:r>
      <w:r>
        <w:rPr>
          <w:lang w:val="fr-FR"/>
        </w:rPr>
        <w:t> </w:t>
      </w:r>
      <w:r w:rsidRPr="000871B2">
        <w:rPr>
          <w:lang w:val="fr-FR"/>
        </w:rPr>
        <w:t>% de celles obtenues avec les garnitures de frein assemblées d</w:t>
      </w:r>
      <w:r w:rsidR="000B6574">
        <w:rPr>
          <w:lang w:val="fr-FR"/>
        </w:rPr>
        <w:t>’</w:t>
      </w:r>
      <w:r w:rsidRPr="000871B2">
        <w:rPr>
          <w:lang w:val="fr-FR"/>
        </w:rPr>
        <w:t>origine.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2.2.2</w:t>
      </w:r>
      <w:r w:rsidRPr="000871B2">
        <w:rPr>
          <w:lang w:val="fr-FR"/>
        </w:rPr>
        <w:tab/>
        <w:t>Essai de sensibilité à la vitesse</w:t>
      </w:r>
    </w:p>
    <w:p w:rsidR="00D54D6C" w:rsidRPr="000871B2" w:rsidRDefault="00D54D6C" w:rsidP="000B6574">
      <w:pPr>
        <w:pStyle w:val="SingleTxtG"/>
        <w:ind w:left="2268"/>
        <w:rPr>
          <w:lang w:val="fr-FR"/>
        </w:rPr>
      </w:pPr>
      <w:r w:rsidRPr="000871B2">
        <w:rPr>
          <w:lang w:val="fr-FR"/>
        </w:rPr>
        <w:tab/>
        <w:t>Cet essai ne s</w:t>
      </w:r>
      <w:r w:rsidR="000B6574">
        <w:rPr>
          <w:lang w:val="fr-FR"/>
        </w:rPr>
        <w:t>’</w:t>
      </w:r>
      <w:r w:rsidRPr="000871B2">
        <w:rPr>
          <w:lang w:val="fr-FR"/>
        </w:rPr>
        <w:t>applique qu</w:t>
      </w:r>
      <w:r w:rsidR="000B6574">
        <w:rPr>
          <w:lang w:val="fr-FR"/>
        </w:rPr>
        <w:t>’</w:t>
      </w:r>
      <w:r w:rsidRPr="000871B2">
        <w:rPr>
          <w:lang w:val="fr-FR"/>
        </w:rPr>
        <w:t>aux véhicules des catégories L</w:t>
      </w:r>
      <w:r w:rsidRPr="000871B2">
        <w:rPr>
          <w:vertAlign w:val="subscript"/>
          <w:lang w:val="fr-FR"/>
        </w:rPr>
        <w:t>3</w:t>
      </w:r>
      <w:r w:rsidRPr="000871B2">
        <w:rPr>
          <w:lang w:val="fr-FR"/>
        </w:rPr>
        <w:t>, L</w:t>
      </w:r>
      <w:r w:rsidRPr="000871B2">
        <w:rPr>
          <w:vertAlign w:val="subscript"/>
          <w:lang w:val="fr-FR"/>
        </w:rPr>
        <w:t>4</w:t>
      </w:r>
      <w:r>
        <w:rPr>
          <w:lang w:val="fr-FR"/>
        </w:rPr>
        <w:t xml:space="preserve"> </w:t>
      </w:r>
      <w:r w:rsidRPr="00EA3ED2">
        <w:rPr>
          <w:strike/>
          <w:lang w:val="fr-FR"/>
        </w:rPr>
        <w:t>et</w:t>
      </w:r>
      <w:r>
        <w:rPr>
          <w:lang w:val="fr-FR"/>
        </w:rPr>
        <w:t>,</w:t>
      </w:r>
      <w:r w:rsidRPr="000871B2">
        <w:rPr>
          <w:lang w:val="fr-FR"/>
        </w:rPr>
        <w:t xml:space="preserve"> L</w:t>
      </w:r>
      <w:r w:rsidRPr="000871B2">
        <w:rPr>
          <w:vertAlign w:val="subscript"/>
          <w:lang w:val="fr-FR"/>
        </w:rPr>
        <w:t>5</w:t>
      </w:r>
      <w:r w:rsidRPr="000871B2">
        <w:rPr>
          <w:lang w:val="fr-FR"/>
        </w:rPr>
        <w:t xml:space="preserve"> </w:t>
      </w:r>
      <w:r w:rsidRPr="00594818">
        <w:rPr>
          <w:b/>
          <w:lang w:val="fr-FR"/>
        </w:rPr>
        <w:t>et L</w:t>
      </w:r>
      <w:r w:rsidRPr="00594818">
        <w:rPr>
          <w:b/>
          <w:vertAlign w:val="subscript"/>
          <w:lang w:val="fr-FR"/>
        </w:rPr>
        <w:t>7</w:t>
      </w:r>
      <w:r>
        <w:rPr>
          <w:lang w:val="fr-FR"/>
        </w:rPr>
        <w:t xml:space="preserve"> et </w:t>
      </w:r>
      <w:r w:rsidRPr="000871B2">
        <w:rPr>
          <w:lang w:val="fr-FR"/>
        </w:rPr>
        <w:t xml:space="preserve">est effectué avec le véhicule en charge dans les conditions </w:t>
      </w:r>
      <w:r w:rsidRPr="00594818">
        <w:rPr>
          <w:b/>
          <w:lang w:val="fr-FR"/>
        </w:rPr>
        <w:t>d</w:t>
      </w:r>
      <w:r w:rsidR="000B6574" w:rsidRPr="00594818">
        <w:rPr>
          <w:b/>
          <w:lang w:val="fr-FR"/>
        </w:rPr>
        <w:t>’</w:t>
      </w:r>
      <w:r w:rsidRPr="00594818">
        <w:rPr>
          <w:b/>
          <w:lang w:val="fr-FR"/>
        </w:rPr>
        <w:t>essai définies aux</w:t>
      </w:r>
      <w:r>
        <w:rPr>
          <w:lang w:val="fr-FR"/>
        </w:rPr>
        <w:t xml:space="preserve"> </w:t>
      </w:r>
      <w:r w:rsidRPr="00EA3ED2">
        <w:rPr>
          <w:strike/>
          <w:lang w:val="fr-FR"/>
        </w:rPr>
        <w:t>de l</w:t>
      </w:r>
      <w:r w:rsidR="000B6574">
        <w:rPr>
          <w:strike/>
          <w:lang w:val="fr-FR"/>
        </w:rPr>
        <w:t>’</w:t>
      </w:r>
      <w:r w:rsidRPr="00EA3ED2">
        <w:rPr>
          <w:strike/>
          <w:lang w:val="fr-FR"/>
        </w:rPr>
        <w:t>essai du type 0 avec le moteur débrayé</w:t>
      </w:r>
      <w:r>
        <w:rPr>
          <w:lang w:val="fr-FR"/>
        </w:rPr>
        <w:t xml:space="preserve"> </w:t>
      </w:r>
      <w:r w:rsidRPr="004E682F">
        <w:rPr>
          <w:b/>
          <w:lang w:val="fr-FR"/>
        </w:rPr>
        <w:t>paragraphes</w:t>
      </w:r>
      <w:r w:rsidR="00195C11" w:rsidRPr="004E682F">
        <w:rPr>
          <w:b/>
          <w:lang w:val="fr-FR"/>
        </w:rPr>
        <w:t> </w:t>
      </w:r>
      <w:r w:rsidRPr="004E682F">
        <w:rPr>
          <w:b/>
          <w:lang w:val="fr-FR"/>
        </w:rPr>
        <w:t xml:space="preserve">3.1 et 3.2 de </w:t>
      </w:r>
      <w:r w:rsidRPr="004E682F">
        <w:rPr>
          <w:b/>
          <w:lang w:val="fr-FR"/>
        </w:rPr>
        <w:lastRenderedPageBreak/>
        <w:t>l</w:t>
      </w:r>
      <w:r w:rsidR="000B6574" w:rsidRPr="004E682F">
        <w:rPr>
          <w:b/>
          <w:lang w:val="fr-FR"/>
        </w:rPr>
        <w:t>’</w:t>
      </w:r>
      <w:r w:rsidR="00195C11" w:rsidRPr="004E682F">
        <w:rPr>
          <w:b/>
          <w:lang w:val="fr-FR"/>
        </w:rPr>
        <w:t>annexe </w:t>
      </w:r>
      <w:r w:rsidRPr="004E682F">
        <w:rPr>
          <w:b/>
          <w:lang w:val="fr-FR"/>
        </w:rPr>
        <w:t xml:space="preserve">3 du Règlement ONU </w:t>
      </w:r>
      <w:r w:rsidR="000B6574" w:rsidRPr="004E682F">
        <w:rPr>
          <w:rFonts w:eastAsia="MS Mincho"/>
          <w:b/>
          <w:lang w:val="fr-FR"/>
        </w:rPr>
        <w:t>n</w:t>
      </w:r>
      <w:r w:rsidR="000B6574" w:rsidRPr="004E682F">
        <w:rPr>
          <w:rFonts w:eastAsia="MS Mincho"/>
          <w:b/>
          <w:vertAlign w:val="superscript"/>
          <w:lang w:val="fr-FR"/>
        </w:rPr>
        <w:t>o</w:t>
      </w:r>
      <w:r w:rsidR="000B6574" w:rsidRPr="004E682F">
        <w:rPr>
          <w:b/>
          <w:lang w:val="fr-FR"/>
        </w:rPr>
        <w:t> </w:t>
      </w:r>
      <w:r w:rsidRPr="004E682F">
        <w:rPr>
          <w:b/>
          <w:lang w:val="fr-FR"/>
        </w:rPr>
        <w:t>78</w:t>
      </w:r>
      <w:r w:rsidRPr="000871B2">
        <w:rPr>
          <w:lang w:val="fr-FR"/>
        </w:rPr>
        <w:t>. Les vitesses d</w:t>
      </w:r>
      <w:r w:rsidR="000B6574">
        <w:rPr>
          <w:lang w:val="fr-FR"/>
        </w:rPr>
        <w:t>’</w:t>
      </w:r>
      <w:r w:rsidRPr="000871B2">
        <w:rPr>
          <w:lang w:val="fr-FR"/>
        </w:rPr>
        <w:t>essai sont toutefois différentes.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2.2.2.1</w:t>
      </w:r>
      <w:r w:rsidRPr="000871B2">
        <w:rPr>
          <w:lang w:val="fr-FR"/>
        </w:rPr>
        <w:tab/>
        <w:t>D</w:t>
      </w:r>
      <w:r w:rsidR="000B6574">
        <w:rPr>
          <w:lang w:val="fr-FR"/>
        </w:rPr>
        <w:t>’</w:t>
      </w:r>
      <w:r w:rsidRPr="000871B2">
        <w:rPr>
          <w:lang w:val="fr-FR"/>
        </w:rPr>
        <w:t>après les résultats de l</w:t>
      </w:r>
      <w:r w:rsidR="000B6574">
        <w:rPr>
          <w:lang w:val="fr-FR"/>
        </w:rPr>
        <w:t>’</w:t>
      </w:r>
      <w:r w:rsidRPr="000871B2">
        <w:rPr>
          <w:lang w:val="fr-FR"/>
        </w:rPr>
        <w:t xml:space="preserve">essai </w:t>
      </w:r>
      <w:r w:rsidRPr="00EA3ED2">
        <w:rPr>
          <w:strike/>
          <w:lang w:val="fr-FR"/>
        </w:rPr>
        <w:t>de type 0</w:t>
      </w:r>
      <w:r>
        <w:rPr>
          <w:lang w:val="fr-FR"/>
        </w:rPr>
        <w:t xml:space="preserve"> </w:t>
      </w:r>
      <w:r w:rsidRPr="004E682F">
        <w:rPr>
          <w:b/>
          <w:lang w:val="fr-FR"/>
        </w:rPr>
        <w:t>d</w:t>
      </w:r>
      <w:r w:rsidR="000B6574" w:rsidRPr="004E682F">
        <w:rPr>
          <w:b/>
          <w:lang w:val="fr-FR"/>
        </w:rPr>
        <w:t>’</w:t>
      </w:r>
      <w:r w:rsidRPr="004E682F">
        <w:rPr>
          <w:b/>
          <w:lang w:val="fr-FR"/>
        </w:rPr>
        <w:t>efficacité à froid</w:t>
      </w:r>
      <w:r w:rsidRPr="000871B2">
        <w:rPr>
          <w:lang w:val="fr-FR"/>
        </w:rPr>
        <w:t xml:space="preserve"> décrit au paragraphe </w:t>
      </w:r>
      <w:r w:rsidRPr="004E682F">
        <w:rPr>
          <w:b/>
          <w:lang w:val="fr-FR"/>
        </w:rPr>
        <w:t>2.2.1.1</w:t>
      </w:r>
      <w:r w:rsidRPr="000871B2">
        <w:rPr>
          <w:lang w:val="fr-FR"/>
        </w:rPr>
        <w:t>, déterminer la force à la pédale ou la pression dans les conduites correspondant à la décélération moyenne en régime requise pour cette catégorie de véhicules</w:t>
      </w:r>
      <w:r w:rsidRPr="004E682F">
        <w:rPr>
          <w:b/>
          <w:lang w:val="fr-FR"/>
        </w:rPr>
        <w:t>, telles qu</w:t>
      </w:r>
      <w:r w:rsidR="000B6574" w:rsidRPr="004E682F">
        <w:rPr>
          <w:b/>
          <w:lang w:val="fr-FR"/>
        </w:rPr>
        <w:t>’</w:t>
      </w:r>
      <w:r w:rsidRPr="004E682F">
        <w:rPr>
          <w:b/>
          <w:lang w:val="fr-FR"/>
        </w:rPr>
        <w:t>elles sont décrites au paragraphe</w:t>
      </w:r>
      <w:r w:rsidR="00195C11" w:rsidRPr="004E682F">
        <w:rPr>
          <w:b/>
          <w:lang w:val="fr-FR"/>
        </w:rPr>
        <w:t> </w:t>
      </w:r>
      <w:r w:rsidRPr="004E682F">
        <w:rPr>
          <w:b/>
          <w:lang w:val="fr-FR"/>
        </w:rPr>
        <w:t>3.3 de l</w:t>
      </w:r>
      <w:r w:rsidR="000B6574" w:rsidRPr="004E682F">
        <w:rPr>
          <w:b/>
          <w:lang w:val="fr-FR"/>
        </w:rPr>
        <w:t>’</w:t>
      </w:r>
      <w:r w:rsidRPr="004E682F">
        <w:rPr>
          <w:b/>
          <w:lang w:val="fr-FR"/>
        </w:rPr>
        <w:t xml:space="preserve">annexe 3 du Règlement ONU </w:t>
      </w:r>
      <w:r w:rsidR="000B6574" w:rsidRPr="004E682F">
        <w:rPr>
          <w:rFonts w:eastAsia="MS Mincho"/>
          <w:b/>
          <w:lang w:val="fr-FR"/>
        </w:rPr>
        <w:t>n</w:t>
      </w:r>
      <w:r w:rsidR="000B6574" w:rsidRPr="004E682F">
        <w:rPr>
          <w:rFonts w:eastAsia="MS Mincho"/>
          <w:b/>
          <w:vertAlign w:val="superscript"/>
          <w:lang w:val="fr-FR"/>
        </w:rPr>
        <w:t>o</w:t>
      </w:r>
      <w:r w:rsidR="000B6574" w:rsidRPr="004E682F">
        <w:rPr>
          <w:b/>
          <w:lang w:val="fr-FR"/>
        </w:rPr>
        <w:t> </w:t>
      </w:r>
      <w:r w:rsidRPr="004E682F">
        <w:rPr>
          <w:b/>
          <w:lang w:val="fr-FR"/>
        </w:rPr>
        <w:t>78</w:t>
      </w:r>
      <w:r>
        <w:rPr>
          <w:lang w:val="fr-FR"/>
        </w:rPr>
        <w:t>.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>
        <w:rPr>
          <w:lang w:val="fr-FR"/>
        </w:rPr>
        <w:t>2</w:t>
      </w:r>
      <w:r w:rsidRPr="000871B2">
        <w:rPr>
          <w:lang w:val="fr-FR"/>
        </w:rPr>
        <w:t>.2.2.2</w:t>
      </w:r>
      <w:r w:rsidRPr="000871B2">
        <w:rPr>
          <w:lang w:val="fr-FR"/>
        </w:rPr>
        <w:tab/>
      </w:r>
      <w:r>
        <w:rPr>
          <w:lang w:val="fr-FR"/>
        </w:rPr>
        <w:t>À</w:t>
      </w:r>
      <w:r w:rsidRPr="000871B2">
        <w:rPr>
          <w:lang w:val="fr-FR"/>
        </w:rPr>
        <w:t xml:space="preserve"> la force à la pédale ou à la pression dans les conduites déterminée au paragraphe </w:t>
      </w:r>
      <w:r w:rsidRPr="004E682F">
        <w:rPr>
          <w:lang w:val="fr-FR"/>
        </w:rPr>
        <w:t>2.2.2.1</w:t>
      </w:r>
      <w:r w:rsidRPr="000871B2">
        <w:rPr>
          <w:lang w:val="fr-FR"/>
        </w:rPr>
        <w:t xml:space="preserve"> </w:t>
      </w:r>
      <w:r w:rsidRPr="00E5481E">
        <w:rPr>
          <w:strike/>
          <w:lang w:val="fr-FR"/>
        </w:rPr>
        <w:t>et la température initiale du frein étant inférieure ou égale à 100 </w:t>
      </w:r>
      <w:r w:rsidRPr="00E5481E">
        <w:rPr>
          <w:strike/>
          <w:lang w:val="fr-FR"/>
        </w:rPr>
        <w:sym w:font="Symbol" w:char="F0B0"/>
      </w:r>
      <w:r w:rsidRPr="00E5481E">
        <w:rPr>
          <w:strike/>
          <w:lang w:val="fr-FR"/>
        </w:rPr>
        <w:t>C</w:t>
      </w:r>
      <w:r w:rsidRPr="000871B2">
        <w:rPr>
          <w:lang w:val="fr-FR"/>
        </w:rPr>
        <w:t>, effectuer trois freinages à chacune des vitesses suivantes</w:t>
      </w:r>
      <w:r w:rsidR="00706910">
        <w:rPr>
          <w:lang w:val="fr-FR"/>
        </w:rPr>
        <w:t> :</w:t>
      </w:r>
    </w:p>
    <w:p w:rsidR="00D54D6C" w:rsidRPr="000871B2" w:rsidRDefault="00D54D6C" w:rsidP="000B6574">
      <w:pPr>
        <w:pStyle w:val="SingleTxtG"/>
        <w:ind w:left="2268"/>
        <w:rPr>
          <w:lang w:val="fr-FR"/>
        </w:rPr>
      </w:pPr>
      <w:r w:rsidRPr="000871B2">
        <w:rPr>
          <w:lang w:val="fr-FR"/>
        </w:rPr>
        <w:tab/>
        <w:t>40</w:t>
      </w:r>
      <w:r w:rsidR="00195C11">
        <w:rPr>
          <w:lang w:val="fr-FR"/>
        </w:rPr>
        <w:t> km/h, 80 km/h et 120 </w:t>
      </w:r>
      <w:r w:rsidRPr="000871B2">
        <w:rPr>
          <w:lang w:val="fr-FR"/>
        </w:rPr>
        <w:t>km/h (si la vitesse maximale est égale ou supérieure à 130 km/h).</w:t>
      </w:r>
    </w:p>
    <w:p w:rsidR="00D54D6C" w:rsidRPr="000871B2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2.2.2.3</w:t>
      </w:r>
      <w:r w:rsidRPr="000871B2">
        <w:rPr>
          <w:lang w:val="fr-FR"/>
        </w:rPr>
        <w:tab/>
        <w:t>Faire la moyenne des résultats pour chaque groupe de trois freinages et représenter graphiquement la décélération moyenne en régime.</w:t>
      </w:r>
    </w:p>
    <w:p w:rsidR="00D54D6C" w:rsidRPr="000B6574" w:rsidRDefault="00D54D6C" w:rsidP="000B6574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0871B2">
        <w:rPr>
          <w:lang w:val="fr-FR"/>
        </w:rPr>
        <w:t>2.2.2.4</w:t>
      </w:r>
      <w:r w:rsidRPr="000871B2">
        <w:rPr>
          <w:lang w:val="fr-FR"/>
        </w:rPr>
        <w:tab/>
        <w:t>Les décélérations moyennes en régime enregistrées aux vitesses supérieures ne doivent pas s</w:t>
      </w:r>
      <w:r w:rsidR="000B6574">
        <w:rPr>
          <w:lang w:val="fr-FR"/>
        </w:rPr>
        <w:t>’</w:t>
      </w:r>
      <w:r w:rsidRPr="000871B2">
        <w:rPr>
          <w:lang w:val="fr-FR"/>
        </w:rPr>
        <w:t>écarter de plus de 15</w:t>
      </w:r>
      <w:r>
        <w:rPr>
          <w:lang w:val="fr-FR"/>
        </w:rPr>
        <w:t> </w:t>
      </w:r>
      <w:r w:rsidRPr="000871B2">
        <w:rPr>
          <w:lang w:val="fr-FR"/>
        </w:rPr>
        <w:t>% de celle obtenue à la vitesse la plus basse.</w:t>
      </w:r>
      <w:r w:rsidR="000B6574">
        <w:rPr>
          <w:lang w:val="fr-FR"/>
        </w:rPr>
        <w:t> </w:t>
      </w:r>
      <w:r w:rsidRPr="00527164">
        <w:t>»</w:t>
      </w:r>
      <w:r w:rsidR="000B6574">
        <w:t>.</w:t>
      </w:r>
    </w:p>
    <w:bookmarkEnd w:id="3"/>
    <w:p w:rsidR="00D54D6C" w:rsidRPr="00CB0B3F" w:rsidRDefault="00D54D6C" w:rsidP="000B6574">
      <w:pPr>
        <w:pStyle w:val="HChG"/>
      </w:pPr>
      <w:r w:rsidRPr="00527164">
        <w:tab/>
      </w:r>
      <w:r w:rsidRPr="00CB0B3F">
        <w:t>II.</w:t>
      </w:r>
      <w:r w:rsidRPr="00CB0B3F">
        <w:tab/>
        <w:t>Justification</w:t>
      </w:r>
    </w:p>
    <w:p w:rsidR="00D54D6C" w:rsidRPr="00CB0B3F" w:rsidRDefault="00D54D6C" w:rsidP="004F0101">
      <w:pPr>
        <w:pStyle w:val="SingleTxtG"/>
        <w:ind w:firstLine="567"/>
      </w:pPr>
      <w:r w:rsidRPr="00CB0B3F">
        <w:rPr>
          <w:shd w:val="clear" w:color="auto" w:fill="FFFFFF"/>
        </w:rPr>
        <w:t xml:space="preserve">Cette proposition </w:t>
      </w:r>
      <w:r>
        <w:rPr>
          <w:shd w:val="clear" w:color="auto" w:fill="FFFFFF"/>
        </w:rPr>
        <w:t>tient compte des faits suivants</w:t>
      </w:r>
      <w:r w:rsidR="000B6574">
        <w:rPr>
          <w:shd w:val="clear" w:color="auto" w:fill="FFFFFF"/>
        </w:rPr>
        <w:t> </w:t>
      </w:r>
      <w:r w:rsidR="000B6574">
        <w:t>:</w:t>
      </w:r>
    </w:p>
    <w:p w:rsidR="00D54D6C" w:rsidRPr="00CB0B3F" w:rsidRDefault="00D54D6C" w:rsidP="000B6574">
      <w:pPr>
        <w:pStyle w:val="SingleTxtG"/>
        <w:ind w:firstLine="567"/>
        <w:rPr>
          <w:lang w:eastAsia="en-GB"/>
        </w:rPr>
      </w:pPr>
      <w:r w:rsidRPr="00CB0B3F">
        <w:t>a)</w:t>
      </w:r>
      <w:r w:rsidRPr="00CB0B3F">
        <w:tab/>
        <w:t>L</w:t>
      </w:r>
      <w:r w:rsidR="000B6574">
        <w:t>’</w:t>
      </w:r>
      <w:r w:rsidRPr="00CB0B3F">
        <w:t>a</w:t>
      </w:r>
      <w:r w:rsidRPr="00CB0B3F">
        <w:rPr>
          <w:lang w:eastAsia="en-GB"/>
        </w:rPr>
        <w:t xml:space="preserve">nnexe 7 du Règlement ONU </w:t>
      </w:r>
      <w:r w:rsidR="000B6574" w:rsidRPr="00D54D6C">
        <w:rPr>
          <w:rFonts w:eastAsia="MS Mincho"/>
          <w:lang w:val="fr-FR"/>
        </w:rPr>
        <w:t>n</w:t>
      </w:r>
      <w:r w:rsidR="000B6574" w:rsidRPr="00D54D6C">
        <w:rPr>
          <w:rFonts w:eastAsia="MS Mincho"/>
          <w:vertAlign w:val="superscript"/>
          <w:lang w:val="fr-FR"/>
        </w:rPr>
        <w:t>o</w:t>
      </w:r>
      <w:r w:rsidR="000B6574">
        <w:rPr>
          <w:lang w:val="fr-FR"/>
        </w:rPr>
        <w:t> </w:t>
      </w:r>
      <w:r w:rsidRPr="00CB0B3F">
        <w:rPr>
          <w:lang w:eastAsia="en-GB"/>
        </w:rPr>
        <w:t>90 n</w:t>
      </w:r>
      <w:r w:rsidR="000B6574">
        <w:rPr>
          <w:lang w:eastAsia="en-GB"/>
        </w:rPr>
        <w:t>’</w:t>
      </w:r>
      <w:r w:rsidRPr="00CB0B3F">
        <w:rPr>
          <w:lang w:eastAsia="en-GB"/>
        </w:rPr>
        <w:t xml:space="preserve">est pas </w:t>
      </w:r>
      <w:r>
        <w:rPr>
          <w:lang w:eastAsia="en-GB"/>
        </w:rPr>
        <w:t xml:space="preserve">alignée sur </w:t>
      </w:r>
      <w:r w:rsidRPr="00CB0B3F">
        <w:rPr>
          <w:lang w:eastAsia="en-GB"/>
        </w:rPr>
        <w:t xml:space="preserve">le texte actuel du Règlement ONU </w:t>
      </w:r>
      <w:r w:rsidR="000B6574" w:rsidRPr="00D54D6C">
        <w:rPr>
          <w:rFonts w:eastAsia="MS Mincho"/>
          <w:lang w:val="fr-FR"/>
        </w:rPr>
        <w:t>n</w:t>
      </w:r>
      <w:r w:rsidR="000B6574" w:rsidRPr="00D54D6C">
        <w:rPr>
          <w:rFonts w:eastAsia="MS Mincho"/>
          <w:vertAlign w:val="superscript"/>
          <w:lang w:val="fr-FR"/>
        </w:rPr>
        <w:t>o</w:t>
      </w:r>
      <w:r w:rsidR="000B6574">
        <w:rPr>
          <w:lang w:val="fr-FR"/>
        </w:rPr>
        <w:t> </w:t>
      </w:r>
      <w:r w:rsidRPr="00CB0B3F">
        <w:rPr>
          <w:lang w:eastAsia="en-GB"/>
        </w:rPr>
        <w:t>78.</w:t>
      </w:r>
    </w:p>
    <w:p w:rsidR="00D54D6C" w:rsidRPr="00CB0B3F" w:rsidRDefault="00D54D6C" w:rsidP="000B6574">
      <w:pPr>
        <w:pStyle w:val="SingleTxtG"/>
        <w:ind w:firstLine="567"/>
        <w:rPr>
          <w:szCs w:val="24"/>
        </w:rPr>
      </w:pPr>
      <w:r w:rsidRPr="00CB0B3F">
        <w:rPr>
          <w:lang w:eastAsia="en-GB"/>
        </w:rPr>
        <w:t>b)</w:t>
      </w:r>
      <w:r w:rsidRPr="00CB0B3F">
        <w:rPr>
          <w:lang w:eastAsia="en-GB"/>
        </w:rPr>
        <w:tab/>
      </w:r>
      <w:r w:rsidRPr="00CB0B3F">
        <w:rPr>
          <w:szCs w:val="24"/>
          <w:lang w:eastAsia="en-GB"/>
        </w:rPr>
        <w:t>L</w:t>
      </w:r>
      <w:r w:rsidR="000B6574">
        <w:rPr>
          <w:szCs w:val="24"/>
          <w:lang w:eastAsia="en-GB"/>
        </w:rPr>
        <w:t>’</w:t>
      </w:r>
      <w:r w:rsidRPr="00CB0B3F">
        <w:rPr>
          <w:szCs w:val="24"/>
          <w:lang w:eastAsia="en-GB"/>
        </w:rPr>
        <w:t xml:space="preserve">industrie </w:t>
      </w:r>
      <w:r w:rsidRPr="00CB0B3F">
        <w:rPr>
          <w:color w:val="333333"/>
          <w:szCs w:val="24"/>
          <w:shd w:val="clear" w:color="auto" w:fill="FFFFFF"/>
        </w:rPr>
        <w:t xml:space="preserve">est </w:t>
      </w:r>
      <w:r>
        <w:rPr>
          <w:color w:val="333333"/>
          <w:szCs w:val="24"/>
          <w:shd w:val="clear" w:color="auto" w:fill="FFFFFF"/>
        </w:rPr>
        <w:t xml:space="preserve">désireuse de </w:t>
      </w:r>
      <w:r w:rsidRPr="00CB0B3F">
        <w:rPr>
          <w:color w:val="333333"/>
          <w:szCs w:val="24"/>
          <w:shd w:val="clear" w:color="auto" w:fill="FFFFFF"/>
        </w:rPr>
        <w:t xml:space="preserve">demander </w:t>
      </w:r>
      <w:r>
        <w:rPr>
          <w:color w:val="333333"/>
          <w:szCs w:val="24"/>
          <w:shd w:val="clear" w:color="auto" w:fill="FFFFFF"/>
        </w:rPr>
        <w:t>l</w:t>
      </w:r>
      <w:r w:rsidR="000B6574">
        <w:rPr>
          <w:color w:val="333333"/>
          <w:szCs w:val="24"/>
          <w:shd w:val="clear" w:color="auto" w:fill="FFFFFF"/>
        </w:rPr>
        <w:t>’</w:t>
      </w:r>
      <w:r>
        <w:rPr>
          <w:color w:val="333333"/>
          <w:szCs w:val="24"/>
          <w:shd w:val="clear" w:color="auto" w:fill="FFFFFF"/>
        </w:rPr>
        <w:t>homologation</w:t>
      </w:r>
      <w:r w:rsidRPr="00CB0B3F">
        <w:rPr>
          <w:color w:val="333333"/>
          <w:szCs w:val="24"/>
          <w:shd w:val="clear" w:color="auto" w:fill="FFFFFF"/>
        </w:rPr>
        <w:t xml:space="preserve"> </w:t>
      </w:r>
      <w:r>
        <w:rPr>
          <w:color w:val="333333"/>
          <w:szCs w:val="24"/>
          <w:shd w:val="clear" w:color="auto" w:fill="FFFFFF"/>
        </w:rPr>
        <w:t>d</w:t>
      </w:r>
      <w:r w:rsidRPr="00CB0B3F">
        <w:rPr>
          <w:color w:val="333333"/>
          <w:szCs w:val="24"/>
          <w:shd w:val="clear" w:color="auto" w:fill="FFFFFF"/>
        </w:rPr>
        <w:t>es garnitures de frein assemblées de rechange pour les véhicules des catégories L</w:t>
      </w:r>
      <w:r w:rsidRPr="00CB0B3F">
        <w:rPr>
          <w:color w:val="333333"/>
          <w:szCs w:val="24"/>
          <w:shd w:val="clear" w:color="auto" w:fill="FFFFFF"/>
          <w:vertAlign w:val="subscript"/>
        </w:rPr>
        <w:t>6</w:t>
      </w:r>
      <w:r w:rsidRPr="00CB0B3F">
        <w:rPr>
          <w:color w:val="333333"/>
          <w:szCs w:val="24"/>
          <w:shd w:val="clear" w:color="auto" w:fill="FFFFFF"/>
        </w:rPr>
        <w:t xml:space="preserve"> et L</w:t>
      </w:r>
      <w:r w:rsidRPr="00CB0B3F">
        <w:rPr>
          <w:color w:val="333333"/>
          <w:szCs w:val="24"/>
          <w:shd w:val="clear" w:color="auto" w:fill="FFFFFF"/>
          <w:vertAlign w:val="subscript"/>
        </w:rPr>
        <w:t>7</w:t>
      </w:r>
      <w:r w:rsidRPr="00CB0B3F">
        <w:rPr>
          <w:color w:val="333333"/>
          <w:szCs w:val="24"/>
          <w:shd w:val="clear" w:color="auto" w:fill="FFFFFF"/>
        </w:rPr>
        <w:t xml:space="preserve">, qui sont inclus dans la dernière version du Règlement ONU </w:t>
      </w:r>
      <w:r w:rsidR="000B6574" w:rsidRPr="00D54D6C">
        <w:rPr>
          <w:rFonts w:eastAsia="MS Mincho"/>
          <w:lang w:val="fr-FR"/>
        </w:rPr>
        <w:t>n</w:t>
      </w:r>
      <w:r w:rsidR="000B6574" w:rsidRPr="00D54D6C">
        <w:rPr>
          <w:rFonts w:eastAsia="MS Mincho"/>
          <w:vertAlign w:val="superscript"/>
          <w:lang w:val="fr-FR"/>
        </w:rPr>
        <w:t>o</w:t>
      </w:r>
      <w:r w:rsidR="000B6574">
        <w:rPr>
          <w:lang w:val="fr-FR"/>
        </w:rPr>
        <w:t> </w:t>
      </w:r>
      <w:r w:rsidRPr="00CB0B3F">
        <w:rPr>
          <w:color w:val="333333"/>
          <w:szCs w:val="24"/>
          <w:shd w:val="clear" w:color="auto" w:fill="FFFFFF"/>
        </w:rPr>
        <w:t>78</w:t>
      </w:r>
      <w:r w:rsidRPr="00CB0B3F">
        <w:rPr>
          <w:szCs w:val="24"/>
          <w:lang w:eastAsia="en-GB"/>
        </w:rPr>
        <w:t>.</w:t>
      </w:r>
    </w:p>
    <w:p w:rsidR="00F9573C" w:rsidRPr="000B6574" w:rsidRDefault="000B6574" w:rsidP="000B657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B6574" w:rsidSect="005112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C42" w:rsidRDefault="00085C42" w:rsidP="00F95C08">
      <w:pPr>
        <w:spacing w:line="240" w:lineRule="auto"/>
      </w:pPr>
    </w:p>
  </w:endnote>
  <w:endnote w:type="continuationSeparator" w:id="0">
    <w:p w:rsidR="00085C42" w:rsidRPr="00AC3823" w:rsidRDefault="00085C42" w:rsidP="00AC3823">
      <w:pPr>
        <w:pStyle w:val="Footer"/>
      </w:pPr>
    </w:p>
  </w:endnote>
  <w:endnote w:type="continuationNotice" w:id="1">
    <w:p w:rsidR="00085C42" w:rsidRDefault="00085C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2E" w:rsidRPr="0051122E" w:rsidRDefault="0051122E" w:rsidP="0051122E">
    <w:pPr>
      <w:pStyle w:val="Footer"/>
      <w:tabs>
        <w:tab w:val="right" w:pos="9638"/>
      </w:tabs>
    </w:pPr>
    <w:r w:rsidRPr="0051122E">
      <w:rPr>
        <w:b/>
        <w:sz w:val="18"/>
      </w:rPr>
      <w:fldChar w:fldCharType="begin"/>
    </w:r>
    <w:r w:rsidRPr="0051122E">
      <w:rPr>
        <w:b/>
        <w:sz w:val="18"/>
      </w:rPr>
      <w:instrText xml:space="preserve"> PAGE  \* MERGEFORMAT </w:instrText>
    </w:r>
    <w:r w:rsidRPr="0051122E">
      <w:rPr>
        <w:b/>
        <w:sz w:val="18"/>
      </w:rPr>
      <w:fldChar w:fldCharType="separate"/>
    </w:r>
    <w:r w:rsidR="00D17D3F">
      <w:rPr>
        <w:b/>
        <w:noProof/>
        <w:sz w:val="18"/>
      </w:rPr>
      <w:t>4</w:t>
    </w:r>
    <w:r w:rsidRPr="0051122E">
      <w:rPr>
        <w:b/>
        <w:sz w:val="18"/>
      </w:rPr>
      <w:fldChar w:fldCharType="end"/>
    </w:r>
    <w:r>
      <w:rPr>
        <w:b/>
        <w:sz w:val="18"/>
      </w:rPr>
      <w:tab/>
    </w:r>
    <w:r>
      <w:t>GE.18-11818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2E" w:rsidRPr="0051122E" w:rsidRDefault="0051122E" w:rsidP="0051122E">
    <w:pPr>
      <w:pStyle w:val="Footer"/>
      <w:tabs>
        <w:tab w:val="right" w:pos="9638"/>
      </w:tabs>
      <w:rPr>
        <w:b/>
        <w:sz w:val="18"/>
      </w:rPr>
    </w:pPr>
    <w:r>
      <w:t>GE.18-11818</w:t>
    </w:r>
    <w:r>
      <w:tab/>
    </w:r>
    <w:r w:rsidRPr="0051122E">
      <w:rPr>
        <w:b/>
        <w:sz w:val="18"/>
      </w:rPr>
      <w:fldChar w:fldCharType="begin"/>
    </w:r>
    <w:r w:rsidRPr="0051122E">
      <w:rPr>
        <w:b/>
        <w:sz w:val="18"/>
      </w:rPr>
      <w:instrText xml:space="preserve"> PAGE  \* MERGEFORMAT </w:instrText>
    </w:r>
    <w:r w:rsidRPr="0051122E">
      <w:rPr>
        <w:b/>
        <w:sz w:val="18"/>
      </w:rPr>
      <w:fldChar w:fldCharType="separate"/>
    </w:r>
    <w:r w:rsidR="00D17D3F">
      <w:rPr>
        <w:b/>
        <w:noProof/>
        <w:sz w:val="18"/>
      </w:rPr>
      <w:t>3</w:t>
    </w:r>
    <w:r w:rsidRPr="005112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51122E" w:rsidRDefault="0051122E" w:rsidP="0051122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11818  (</w:t>
    </w:r>
    <w:proofErr w:type="gramEnd"/>
    <w:r>
      <w:rPr>
        <w:sz w:val="20"/>
      </w:rPr>
      <w:t>F)    260718    100818</w:t>
    </w:r>
    <w:r>
      <w:rPr>
        <w:sz w:val="20"/>
      </w:rPr>
      <w:br/>
    </w:r>
    <w:r w:rsidRPr="0051122E">
      <w:rPr>
        <w:rFonts w:ascii="C39T30Lfz" w:hAnsi="C39T30Lfz"/>
        <w:sz w:val="56"/>
      </w:rPr>
      <w:t></w:t>
    </w:r>
    <w:r w:rsidRPr="0051122E">
      <w:rPr>
        <w:rFonts w:ascii="C39T30Lfz" w:hAnsi="C39T30Lfz"/>
        <w:sz w:val="56"/>
      </w:rPr>
      <w:t></w:t>
    </w:r>
    <w:r w:rsidRPr="0051122E">
      <w:rPr>
        <w:rFonts w:ascii="C39T30Lfz" w:hAnsi="C39T30Lfz"/>
        <w:sz w:val="56"/>
      </w:rPr>
      <w:t></w:t>
    </w:r>
    <w:r w:rsidRPr="0051122E">
      <w:rPr>
        <w:rFonts w:ascii="C39T30Lfz" w:hAnsi="C39T30Lfz"/>
        <w:sz w:val="56"/>
      </w:rPr>
      <w:t></w:t>
    </w:r>
    <w:r w:rsidRPr="0051122E">
      <w:rPr>
        <w:rFonts w:ascii="C39T30Lfz" w:hAnsi="C39T30Lfz"/>
        <w:sz w:val="56"/>
      </w:rPr>
      <w:t></w:t>
    </w:r>
    <w:r w:rsidRPr="0051122E">
      <w:rPr>
        <w:rFonts w:ascii="C39T30Lfz" w:hAnsi="C39T30Lfz"/>
        <w:sz w:val="56"/>
      </w:rPr>
      <w:t></w:t>
    </w:r>
    <w:r w:rsidRPr="0051122E">
      <w:rPr>
        <w:rFonts w:ascii="C39T30Lfz" w:hAnsi="C39T30Lfz"/>
        <w:sz w:val="56"/>
      </w:rPr>
      <w:t></w:t>
    </w:r>
    <w:r w:rsidRPr="0051122E">
      <w:rPr>
        <w:rFonts w:ascii="C39T30Lfz" w:hAnsi="C39T30Lfz"/>
        <w:sz w:val="56"/>
      </w:rPr>
      <w:t></w:t>
    </w:r>
    <w:r w:rsidRPr="0051122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18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C42" w:rsidRPr="00AC3823" w:rsidRDefault="00085C4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85C42" w:rsidRPr="00AC3823" w:rsidRDefault="00085C4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85C42" w:rsidRPr="00AC3823" w:rsidRDefault="00085C42">
      <w:pPr>
        <w:spacing w:line="240" w:lineRule="auto"/>
        <w:rPr>
          <w:sz w:val="2"/>
          <w:szCs w:val="2"/>
        </w:rPr>
      </w:pPr>
    </w:p>
  </w:footnote>
  <w:footnote w:id="2">
    <w:p w:rsidR="00D54D6C" w:rsidRPr="00E71E66" w:rsidRDefault="00D54D6C" w:rsidP="00D54D6C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 xml:space="preserve">Anciennement : </w:t>
      </w:r>
      <w:r w:rsidRPr="000B6574">
        <w:rPr>
          <w:b/>
          <w:lang w:val="fr-FR"/>
        </w:rPr>
        <w:t>Groupe de travail en matière de roulement et de freinage (GRRF</w:t>
      </w:r>
      <w:r>
        <w:rPr>
          <w:lang w:val="fr-FR"/>
        </w:rPr>
        <w:t>)</w:t>
      </w:r>
      <w:r w:rsidR="000B6574">
        <w:rPr>
          <w:lang w:val="fr-FR"/>
        </w:rPr>
        <w:t>.</w:t>
      </w:r>
    </w:p>
  </w:footnote>
  <w:footnote w:id="3">
    <w:p w:rsidR="00D54D6C" w:rsidRPr="00E71E66" w:rsidRDefault="00D54D6C" w:rsidP="00D54D6C">
      <w:pPr>
        <w:pStyle w:val="FootnoteText"/>
      </w:pPr>
      <w:r>
        <w:rPr>
          <w:lang w:val="fr-FR"/>
        </w:rPr>
        <w:tab/>
        <w:t>**</w:t>
      </w:r>
      <w:r>
        <w:rPr>
          <w:lang w:val="fr-FR"/>
        </w:rPr>
        <w:tab/>
        <w:t>Conformément au par</w:t>
      </w:r>
      <w:r w:rsidR="000B6574">
        <w:rPr>
          <w:lang w:val="fr-FR"/>
        </w:rPr>
        <w:t>agraphe</w:t>
      </w:r>
      <w:r>
        <w:rPr>
          <w:lang w:val="fr-FR"/>
        </w:rPr>
        <w:t xml:space="preserve"> 52 du</w:t>
      </w:r>
      <w:r w:rsidR="000B6574">
        <w:rPr>
          <w:lang w:val="fr-FR"/>
        </w:rPr>
        <w:t xml:space="preserve"> document ECE/TRANS/274, au paragraphe </w:t>
      </w:r>
      <w:r>
        <w:rPr>
          <w:lang w:val="fr-FR"/>
        </w:rPr>
        <w:t>33 du document ECE/TRANS/WP.29/1139 et au</w:t>
      </w:r>
      <w:r w:rsidR="00706910">
        <w:rPr>
          <w:lang w:val="fr-FR"/>
        </w:rPr>
        <w:t xml:space="preserve"> </w:t>
      </w:r>
      <w:r>
        <w:rPr>
          <w:lang w:val="fr-FR"/>
        </w:rPr>
        <w:t>programme de travail du Comité des transports intérieurs pour la période</w:t>
      </w:r>
      <w:r w:rsidR="000B6574">
        <w:rPr>
          <w:lang w:val="fr-FR"/>
        </w:rPr>
        <w:t xml:space="preserve"> 2014-2018 (ECE/TRANS/240, par. </w:t>
      </w:r>
      <w:r>
        <w:rPr>
          <w:lang w:val="fr-FR"/>
        </w:rPr>
        <w:t>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2E" w:rsidRPr="0051122E" w:rsidRDefault="00A64BC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C69AB">
      <w:t>ECE/TRANS/WP.29/GRVA/2018/12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2E" w:rsidRPr="0051122E" w:rsidRDefault="00A64BCB" w:rsidP="0051122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C69AB">
      <w:t>ECE/TRANS/WP.29/GRVA/2018/12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42"/>
    <w:rsid w:val="00017F94"/>
    <w:rsid w:val="00023842"/>
    <w:rsid w:val="000334F9"/>
    <w:rsid w:val="00045FEB"/>
    <w:rsid w:val="0007796D"/>
    <w:rsid w:val="00085C42"/>
    <w:rsid w:val="000B6574"/>
    <w:rsid w:val="000B7790"/>
    <w:rsid w:val="00111F2F"/>
    <w:rsid w:val="0014365E"/>
    <w:rsid w:val="00143C66"/>
    <w:rsid w:val="00176178"/>
    <w:rsid w:val="00195C11"/>
    <w:rsid w:val="001F525A"/>
    <w:rsid w:val="00223272"/>
    <w:rsid w:val="0024779E"/>
    <w:rsid w:val="00257168"/>
    <w:rsid w:val="002744B8"/>
    <w:rsid w:val="002832AC"/>
    <w:rsid w:val="002D5C8C"/>
    <w:rsid w:val="002D7C93"/>
    <w:rsid w:val="00305801"/>
    <w:rsid w:val="00366240"/>
    <w:rsid w:val="003916DE"/>
    <w:rsid w:val="00441C3B"/>
    <w:rsid w:val="00446FE5"/>
    <w:rsid w:val="00452396"/>
    <w:rsid w:val="004837D8"/>
    <w:rsid w:val="004E468C"/>
    <w:rsid w:val="004E682F"/>
    <w:rsid w:val="004F0101"/>
    <w:rsid w:val="0051122E"/>
    <w:rsid w:val="005505B7"/>
    <w:rsid w:val="00573BE5"/>
    <w:rsid w:val="00586ED3"/>
    <w:rsid w:val="00594818"/>
    <w:rsid w:val="00596AA9"/>
    <w:rsid w:val="006C69AB"/>
    <w:rsid w:val="00706910"/>
    <w:rsid w:val="0071601D"/>
    <w:rsid w:val="007A62E6"/>
    <w:rsid w:val="007F20FA"/>
    <w:rsid w:val="0080684C"/>
    <w:rsid w:val="00871C75"/>
    <w:rsid w:val="008776DC"/>
    <w:rsid w:val="008839BD"/>
    <w:rsid w:val="009446C0"/>
    <w:rsid w:val="009705C8"/>
    <w:rsid w:val="009C1CF4"/>
    <w:rsid w:val="009F6B74"/>
    <w:rsid w:val="00A30353"/>
    <w:rsid w:val="00A64BCB"/>
    <w:rsid w:val="00A73ACF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A705B"/>
    <w:rsid w:val="00D17D3F"/>
    <w:rsid w:val="00D3439C"/>
    <w:rsid w:val="00D54D6C"/>
    <w:rsid w:val="00DA69DB"/>
    <w:rsid w:val="00DB1831"/>
    <w:rsid w:val="00DD3BFD"/>
    <w:rsid w:val="00DE6307"/>
    <w:rsid w:val="00DF6678"/>
    <w:rsid w:val="00E0299A"/>
    <w:rsid w:val="00E17B64"/>
    <w:rsid w:val="00E85C74"/>
    <w:rsid w:val="00EA4092"/>
    <w:rsid w:val="00EA6547"/>
    <w:rsid w:val="00ED12EE"/>
    <w:rsid w:val="00EF2E22"/>
    <w:rsid w:val="00F04FB8"/>
    <w:rsid w:val="00F35BAF"/>
    <w:rsid w:val="00F660DF"/>
    <w:rsid w:val="00F94664"/>
    <w:rsid w:val="00F9573C"/>
    <w:rsid w:val="00F95C08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D7B346-1C07-47F4-A9AF-3000479F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54D6C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ECE/TRANS/WP.29/GRVA/2018/12</vt:lpstr>
      <vt:lpstr>ECE/TRANS/WP.29/GRVA/2018/12</vt:lpstr>
    </vt:vector>
  </TitlesOfParts>
  <Company>DCM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ECE/TRANS/WP.29/GRVA/2018/12</dc:title>
  <dc:subject/>
  <dc:creator>Sylvie LAMY</dc:creator>
  <cp:keywords/>
  <cp:lastModifiedBy>Benedicte Boudol</cp:lastModifiedBy>
  <cp:revision>2</cp:revision>
  <cp:lastPrinted>2018-08-10T06:50:00Z</cp:lastPrinted>
  <dcterms:created xsi:type="dcterms:W3CDTF">2018-08-10T08:01:00Z</dcterms:created>
  <dcterms:modified xsi:type="dcterms:W3CDTF">2018-08-10T08:01:00Z</dcterms:modified>
</cp:coreProperties>
</file>