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A27B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A27B3" w:rsidP="003A27B3">
            <w:pPr>
              <w:jc w:val="right"/>
            </w:pPr>
            <w:r w:rsidRPr="003A27B3">
              <w:rPr>
                <w:sz w:val="40"/>
              </w:rPr>
              <w:t>ECE</w:t>
            </w:r>
            <w:r>
              <w:t>/TRANS/WP.29/GRSP/2018/33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A27B3" w:rsidP="00C97039">
            <w:pPr>
              <w:spacing w:before="240"/>
            </w:pPr>
            <w:r>
              <w:t>Distr. générale</w:t>
            </w:r>
          </w:p>
          <w:p w:rsidR="003A27B3" w:rsidRDefault="003A27B3" w:rsidP="003A27B3">
            <w:pPr>
              <w:spacing w:line="240" w:lineRule="exact"/>
            </w:pPr>
            <w:r>
              <w:t>27 septembre 2018</w:t>
            </w:r>
          </w:p>
          <w:p w:rsidR="003A27B3" w:rsidRDefault="003A27B3" w:rsidP="003A27B3">
            <w:pPr>
              <w:spacing w:line="240" w:lineRule="exact"/>
            </w:pPr>
            <w:r>
              <w:t>Français</w:t>
            </w:r>
          </w:p>
          <w:p w:rsidR="003A27B3" w:rsidRPr="00DB58B5" w:rsidRDefault="003A27B3" w:rsidP="003A27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A27B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A27B3" w:rsidRDefault="003A27B3"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A27B3" w:rsidRDefault="003A27B3" w:rsidP="00257168">
      <w:pPr>
        <w:spacing w:before="120" w:after="120" w:line="240" w:lineRule="exact"/>
        <w:rPr>
          <w:b/>
        </w:rPr>
      </w:pPr>
      <w:r>
        <w:rPr>
          <w:b/>
        </w:rPr>
        <w:t>Groupe de travail de la sécurité passive</w:t>
      </w:r>
    </w:p>
    <w:p w:rsidR="003A27B3" w:rsidRDefault="003A27B3" w:rsidP="00257168">
      <w:pPr>
        <w:spacing w:before="120" w:line="240" w:lineRule="exact"/>
        <w:rPr>
          <w:b/>
        </w:rPr>
      </w:pPr>
      <w:r>
        <w:rPr>
          <w:b/>
        </w:rPr>
        <w:t>Soixante-quatrième session</w:t>
      </w:r>
    </w:p>
    <w:p w:rsidR="003A27B3" w:rsidRDefault="003A27B3" w:rsidP="00257168">
      <w:pPr>
        <w:spacing w:line="240" w:lineRule="exact"/>
      </w:pPr>
      <w:r>
        <w:t>Genève, 11-14 décembre 2018</w:t>
      </w:r>
    </w:p>
    <w:p w:rsidR="003A27B3" w:rsidRDefault="003A27B3" w:rsidP="00257168">
      <w:pPr>
        <w:spacing w:line="240" w:lineRule="exact"/>
      </w:pPr>
      <w:r>
        <w:t>Point 19 de l’ordre du jour provisoire</w:t>
      </w:r>
    </w:p>
    <w:p w:rsidR="003A27B3" w:rsidRPr="003A27B3" w:rsidRDefault="003A27B3" w:rsidP="003A27B3">
      <w:pPr>
        <w:rPr>
          <w:b/>
          <w:lang w:val="fr-FR"/>
        </w:rPr>
      </w:pPr>
      <w:r w:rsidRPr="003A27B3">
        <w:rPr>
          <w:b/>
          <w:lang w:val="fr-FR"/>
        </w:rPr>
        <w:t>Règlement ONU n</w:t>
      </w:r>
      <w:r w:rsidRPr="003A27B3">
        <w:rPr>
          <w:b/>
          <w:vertAlign w:val="superscript"/>
          <w:lang w:val="fr-FR"/>
        </w:rPr>
        <w:t>o</w:t>
      </w:r>
      <w:r w:rsidRPr="003A27B3">
        <w:rPr>
          <w:b/>
          <w:lang w:val="fr-FR"/>
        </w:rPr>
        <w:t xml:space="preserve"> 129 (Dispositifs améliorés </w:t>
      </w:r>
      <w:r w:rsidR="004E5AB5">
        <w:rPr>
          <w:b/>
          <w:lang w:val="fr-FR"/>
        </w:rPr>
        <w:br/>
      </w:r>
      <w:r w:rsidRPr="003A27B3">
        <w:rPr>
          <w:b/>
          <w:lang w:val="fr-FR"/>
        </w:rPr>
        <w:t>de retenue pour enfants)</w:t>
      </w:r>
    </w:p>
    <w:p w:rsidR="003A27B3" w:rsidRPr="000F1072" w:rsidRDefault="003A27B3" w:rsidP="003A27B3">
      <w:pPr>
        <w:pStyle w:val="HChG"/>
        <w:rPr>
          <w:lang w:val="fr-FR"/>
        </w:rPr>
      </w:pPr>
      <w:r w:rsidRPr="000F1072">
        <w:rPr>
          <w:lang w:val="fr-FR"/>
        </w:rPr>
        <w:tab/>
      </w:r>
      <w:r w:rsidRPr="000F1072">
        <w:rPr>
          <w:lang w:val="fr-FR"/>
        </w:rPr>
        <w:tab/>
      </w:r>
      <w:r w:rsidRPr="003A27B3">
        <w:t>Proposition</w:t>
      </w:r>
      <w:r w:rsidRPr="000F1072">
        <w:rPr>
          <w:lang w:val="fr-FR"/>
        </w:rPr>
        <w:t xml:space="preserve"> de complément 2 à la série 03 d</w:t>
      </w:r>
      <w:r>
        <w:rPr>
          <w:lang w:val="fr-FR"/>
        </w:rPr>
        <w:t>’</w:t>
      </w:r>
      <w:r w:rsidRPr="000F1072">
        <w:rPr>
          <w:lang w:val="fr-FR"/>
        </w:rPr>
        <w:t xml:space="preserve">amendements </w:t>
      </w:r>
      <w:r>
        <w:rPr>
          <w:lang w:val="fr-FR"/>
        </w:rPr>
        <w:br/>
      </w:r>
      <w:r w:rsidRPr="000F1072">
        <w:rPr>
          <w:lang w:val="fr-FR"/>
        </w:rPr>
        <w:t>au Règlement ONU n</w:t>
      </w:r>
      <w:r w:rsidRPr="000F1072">
        <w:rPr>
          <w:vertAlign w:val="superscript"/>
          <w:lang w:val="fr-FR"/>
        </w:rPr>
        <w:t>o</w:t>
      </w:r>
      <w:r w:rsidRPr="000F1072">
        <w:rPr>
          <w:lang w:val="fr-FR"/>
        </w:rPr>
        <w:t xml:space="preserve"> 129 (Dispositifs améliorés </w:t>
      </w:r>
      <w:r>
        <w:rPr>
          <w:lang w:val="fr-FR"/>
        </w:rPr>
        <w:br/>
      </w:r>
      <w:r w:rsidRPr="000F1072">
        <w:rPr>
          <w:lang w:val="fr-FR"/>
        </w:rPr>
        <w:t>de retenue pour enfants)</w:t>
      </w:r>
    </w:p>
    <w:p w:rsidR="003A27B3" w:rsidRPr="000F1072" w:rsidRDefault="003A27B3" w:rsidP="003A27B3">
      <w:pPr>
        <w:pStyle w:val="H1G"/>
        <w:rPr>
          <w:lang w:val="fr-FR"/>
        </w:rPr>
      </w:pPr>
      <w:r w:rsidRPr="000F1072">
        <w:rPr>
          <w:lang w:val="fr-FR"/>
        </w:rPr>
        <w:tab/>
      </w:r>
      <w:r w:rsidRPr="000F1072">
        <w:rPr>
          <w:lang w:val="fr-FR"/>
        </w:rPr>
        <w:tab/>
      </w:r>
      <w:r w:rsidRPr="003A27B3">
        <w:t>Communication</w:t>
      </w:r>
      <w:r w:rsidRPr="000F1072">
        <w:rPr>
          <w:lang w:val="fr-FR"/>
        </w:rPr>
        <w:t xml:space="preserve"> de l</w:t>
      </w:r>
      <w:r>
        <w:rPr>
          <w:lang w:val="fr-FR"/>
        </w:rPr>
        <w:t>’</w:t>
      </w:r>
      <w:r w:rsidRPr="000F1072">
        <w:rPr>
          <w:lang w:val="fr-FR"/>
        </w:rPr>
        <w:t>expert des Pays-Bas</w:t>
      </w:r>
      <w:r w:rsidRPr="003A27B3">
        <w:rPr>
          <w:rStyle w:val="FootnoteReference"/>
          <w:b w:val="0"/>
          <w:sz w:val="20"/>
          <w:vertAlign w:val="baseline"/>
        </w:rPr>
        <w:footnoteReference w:customMarkFollows="1" w:id="2"/>
        <w:t>*</w:t>
      </w:r>
    </w:p>
    <w:p w:rsidR="003A27B3" w:rsidRDefault="004E5AB5" w:rsidP="003A27B3">
      <w:pPr>
        <w:pStyle w:val="SingleTxtG"/>
        <w:rPr>
          <w:lang w:val="fr-FR"/>
        </w:rPr>
      </w:pPr>
      <w:r>
        <w:rPr>
          <w:lang w:val="fr-FR"/>
        </w:rPr>
        <w:tab/>
      </w:r>
      <w:r w:rsidR="003A27B3" w:rsidRPr="000F1072">
        <w:rPr>
          <w:lang w:val="fr-FR"/>
        </w:rPr>
        <w:t>Le texte reproduit ci-</w:t>
      </w:r>
      <w:r w:rsidR="003A27B3" w:rsidRPr="003A27B3">
        <w:t>après</w:t>
      </w:r>
      <w:r w:rsidR="003A27B3" w:rsidRPr="000F1072">
        <w:rPr>
          <w:lang w:val="fr-FR"/>
        </w:rPr>
        <w:t>, établi par l</w:t>
      </w:r>
      <w:r w:rsidR="003A27B3">
        <w:rPr>
          <w:lang w:val="fr-FR"/>
        </w:rPr>
        <w:t>’</w:t>
      </w:r>
      <w:r w:rsidR="003A27B3" w:rsidRPr="000F1072">
        <w:rPr>
          <w:lang w:val="fr-FR"/>
        </w:rPr>
        <w:t>expert des Pays-Bas, vise à s</w:t>
      </w:r>
      <w:r w:rsidR="003A27B3">
        <w:rPr>
          <w:lang w:val="fr-FR"/>
        </w:rPr>
        <w:t>’</w:t>
      </w:r>
      <w:r w:rsidR="003A27B3" w:rsidRPr="000F1072">
        <w:rPr>
          <w:lang w:val="fr-FR"/>
        </w:rPr>
        <w:t>assurer d</w:t>
      </w:r>
      <w:r w:rsidR="003A27B3">
        <w:rPr>
          <w:lang w:val="fr-FR"/>
        </w:rPr>
        <w:t>’</w:t>
      </w:r>
      <w:r w:rsidR="003A27B3" w:rsidRPr="000F1072">
        <w:rPr>
          <w:lang w:val="fr-FR"/>
        </w:rPr>
        <w:t>un usage approprié et légal des ajouts amovibles dans le cadre du Règlement ONU n</w:t>
      </w:r>
      <w:r w:rsidR="003A27B3" w:rsidRPr="000F1072">
        <w:rPr>
          <w:vertAlign w:val="superscript"/>
          <w:lang w:val="fr-FR"/>
        </w:rPr>
        <w:t>o</w:t>
      </w:r>
      <w:r w:rsidR="003A27B3" w:rsidRPr="000F1072">
        <w:rPr>
          <w:lang w:val="fr-FR"/>
        </w:rPr>
        <w:t xml:space="preserve"> 129. Les modifications qu</w:t>
      </w:r>
      <w:r w:rsidR="003A27B3">
        <w:rPr>
          <w:lang w:val="fr-FR"/>
        </w:rPr>
        <w:t>’</w:t>
      </w:r>
      <w:r w:rsidR="003A27B3" w:rsidRPr="000F1072">
        <w:rPr>
          <w:lang w:val="fr-FR"/>
        </w:rPr>
        <w:t>il est proposé d</w:t>
      </w:r>
      <w:r w:rsidR="003A27B3">
        <w:rPr>
          <w:lang w:val="fr-FR"/>
        </w:rPr>
        <w:t>’</w:t>
      </w:r>
      <w:r w:rsidR="003A27B3" w:rsidRPr="000F1072">
        <w:rPr>
          <w:lang w:val="fr-FR"/>
        </w:rPr>
        <w:t>apporter au texte actuel du Règlement</w:t>
      </w:r>
      <w:r w:rsidR="00431AB6">
        <w:rPr>
          <w:lang w:val="fr-FR"/>
        </w:rPr>
        <w:t xml:space="preserve"> ONU</w:t>
      </w:r>
      <w:r w:rsidR="003A27B3" w:rsidRPr="000F1072">
        <w:rPr>
          <w:lang w:val="fr-FR"/>
        </w:rPr>
        <w:t xml:space="preserve"> figurent en caractères gras pour les ajouts et biffés pour les suppressions.</w:t>
      </w:r>
    </w:p>
    <w:p w:rsidR="003A27B3" w:rsidRPr="003A27B3" w:rsidRDefault="004E5AB5" w:rsidP="004E5AB5">
      <w:pPr>
        <w:pStyle w:val="HChG"/>
      </w:pPr>
      <w:r>
        <w:rPr>
          <w:lang w:val="fr-FR"/>
        </w:rPr>
        <w:br w:type="page"/>
      </w:r>
      <w:r w:rsidR="003A27B3" w:rsidRPr="000F1072">
        <w:rPr>
          <w:lang w:val="fr-FR"/>
        </w:rPr>
        <w:lastRenderedPageBreak/>
        <w:tab/>
        <w:t>I.</w:t>
      </w:r>
      <w:r w:rsidR="003A27B3" w:rsidRPr="000F1072">
        <w:rPr>
          <w:lang w:val="fr-FR"/>
        </w:rPr>
        <w:tab/>
        <w:t>Proposition</w:t>
      </w:r>
    </w:p>
    <w:p w:rsidR="003A27B3" w:rsidRPr="003A27B3" w:rsidRDefault="003A27B3" w:rsidP="003A27B3">
      <w:pPr>
        <w:pStyle w:val="SingleTxtG"/>
      </w:pPr>
      <w:r w:rsidRPr="003A27B3">
        <w:rPr>
          <w:i/>
          <w:lang w:val="fr-FR"/>
        </w:rPr>
        <w:t>Ajouter le nouveau paragraphe 2.62</w:t>
      </w:r>
      <w:r w:rsidRPr="000F1072">
        <w:rPr>
          <w:lang w:val="fr-FR"/>
        </w:rPr>
        <w:t>, libellé comme suit</w:t>
      </w:r>
      <w:r w:rsidR="00A42088">
        <w:rPr>
          <w:lang w:val="fr-FR"/>
        </w:rPr>
        <w:t> </w:t>
      </w:r>
      <w:r w:rsidRPr="000F1072">
        <w:rPr>
          <w:lang w:val="fr-FR"/>
        </w:rPr>
        <w:t>:</w:t>
      </w:r>
    </w:p>
    <w:p w:rsidR="003A27B3" w:rsidRPr="000F1072" w:rsidRDefault="003A27B3" w:rsidP="004E5AB5">
      <w:pPr>
        <w:pStyle w:val="SingleTxtG"/>
        <w:ind w:left="1985" w:hanging="851"/>
        <w:rPr>
          <w:b/>
          <w:lang w:val="fr-FR"/>
        </w:rPr>
      </w:pPr>
      <w:r>
        <w:rPr>
          <w:lang w:val="fr-FR"/>
        </w:rPr>
        <w:t>«</w:t>
      </w:r>
      <w:r w:rsidR="00CE266B">
        <w:rPr>
          <w:lang w:val="fr-FR"/>
        </w:rPr>
        <w:t> </w:t>
      </w:r>
      <w:r w:rsidRPr="000F1072">
        <w:rPr>
          <w:b/>
          <w:lang w:val="fr-FR"/>
        </w:rPr>
        <w:t>2.62</w:t>
      </w:r>
      <w:r w:rsidRPr="000F1072">
        <w:rPr>
          <w:b/>
          <w:lang w:val="fr-FR"/>
        </w:rPr>
        <w:tab/>
      </w:r>
      <w:r w:rsidR="00BA43A3">
        <w:rPr>
          <w:b/>
          <w:lang w:val="fr-FR"/>
        </w:rPr>
        <w:t>“</w:t>
      </w:r>
      <w:r w:rsidRPr="000F1072">
        <w:rPr>
          <w:b/>
          <w:lang w:val="fr-FR"/>
        </w:rPr>
        <w:t>Ajout</w:t>
      </w:r>
      <w:r w:rsidR="00A42088">
        <w:rPr>
          <w:b/>
          <w:lang w:val="fr-FR"/>
        </w:rPr>
        <w:t>”</w:t>
      </w:r>
      <w:r w:rsidRPr="000F1072">
        <w:rPr>
          <w:b/>
          <w:lang w:val="fr-FR"/>
        </w:rPr>
        <w:t>, un élément, faisant partie d</w:t>
      </w:r>
      <w:r>
        <w:rPr>
          <w:b/>
          <w:lang w:val="fr-FR"/>
        </w:rPr>
        <w:t>’</w:t>
      </w:r>
      <w:r w:rsidRPr="000F1072">
        <w:rPr>
          <w:b/>
          <w:lang w:val="fr-FR"/>
        </w:rPr>
        <w:t>un dispositif amélioré de retenue pour enfants, qui apporte un appui supplémentaire à l</w:t>
      </w:r>
      <w:r>
        <w:rPr>
          <w:b/>
          <w:lang w:val="fr-FR"/>
        </w:rPr>
        <w:t>’</w:t>
      </w:r>
      <w:r w:rsidRPr="000F1072">
        <w:rPr>
          <w:b/>
          <w:lang w:val="fr-FR"/>
        </w:rPr>
        <w:t>enfant et qui est essentiel pour la conformité à toutes les prescriptions applicables à toute la gamme de tailles déclarée, ou à une partie de celle-ci.</w:t>
      </w:r>
      <w:r w:rsidR="00A42088">
        <w:rPr>
          <w:b/>
          <w:lang w:val="fr-FR"/>
        </w:rPr>
        <w:t> </w:t>
      </w:r>
      <w:r>
        <w:rPr>
          <w:lang w:val="fr-FR"/>
        </w:rPr>
        <w:t>»</w:t>
      </w:r>
      <w:r w:rsidRPr="000F1072">
        <w:rPr>
          <w:lang w:val="fr-FR"/>
        </w:rPr>
        <w:t xml:space="preserve">. </w:t>
      </w:r>
    </w:p>
    <w:p w:rsidR="003A27B3" w:rsidRPr="000F1072" w:rsidRDefault="003A27B3" w:rsidP="003A27B3">
      <w:pPr>
        <w:pStyle w:val="SingleTxtG"/>
        <w:rPr>
          <w:lang w:val="fr-FR"/>
        </w:rPr>
      </w:pPr>
      <w:r w:rsidRPr="000F1072">
        <w:rPr>
          <w:i/>
          <w:lang w:val="fr-FR"/>
        </w:rPr>
        <w:t>Paragraphe 4.9</w:t>
      </w:r>
      <w:r w:rsidRPr="000F1072">
        <w:rPr>
          <w:lang w:val="fr-FR"/>
        </w:rPr>
        <w:t>, lire</w:t>
      </w:r>
      <w:r w:rsidR="00A42088">
        <w:rPr>
          <w:lang w:val="fr-FR"/>
        </w:rPr>
        <w:t> </w:t>
      </w:r>
      <w:r>
        <w:rPr>
          <w:lang w:val="fr-FR"/>
        </w:rPr>
        <w:t>:</w:t>
      </w:r>
    </w:p>
    <w:p w:rsidR="003A27B3" w:rsidRPr="000F1072" w:rsidRDefault="003A27B3" w:rsidP="004E5AB5">
      <w:pPr>
        <w:pStyle w:val="SingleTxtG"/>
        <w:ind w:left="1985" w:hanging="851"/>
        <w:rPr>
          <w:b/>
          <w:lang w:val="fr-FR"/>
        </w:rPr>
      </w:pPr>
      <w:r>
        <w:rPr>
          <w:lang w:val="fr-FR"/>
        </w:rPr>
        <w:t>«</w:t>
      </w:r>
      <w:r w:rsidR="00A42088">
        <w:rPr>
          <w:lang w:val="fr-FR"/>
        </w:rPr>
        <w:t> </w:t>
      </w:r>
      <w:r w:rsidRPr="000F1072">
        <w:rPr>
          <w:lang w:val="fr-FR"/>
        </w:rPr>
        <w:t>4.9</w:t>
      </w:r>
      <w:r w:rsidRPr="000F1072">
        <w:rPr>
          <w:lang w:val="fr-FR"/>
        </w:rPr>
        <w:tab/>
        <w:t>Un bouclier d</w:t>
      </w:r>
      <w:r>
        <w:rPr>
          <w:lang w:val="fr-FR"/>
        </w:rPr>
        <w:t>’</w:t>
      </w:r>
      <w:r w:rsidRPr="000F1072">
        <w:rPr>
          <w:lang w:val="fr-FR"/>
        </w:rPr>
        <w:t>impact qui n</w:t>
      </w:r>
      <w:r>
        <w:rPr>
          <w:lang w:val="fr-FR"/>
        </w:rPr>
        <w:t>’</w:t>
      </w:r>
      <w:r w:rsidRPr="000F1072">
        <w:rPr>
          <w:lang w:val="fr-FR"/>
        </w:rPr>
        <w:t xml:space="preserve">est pas fixé de manière permanente au siège </w:t>
      </w:r>
      <w:r w:rsidRPr="000F1072">
        <w:rPr>
          <w:b/>
          <w:lang w:val="fr-FR"/>
        </w:rPr>
        <w:t>et un ajout amovible</w:t>
      </w:r>
      <w:r w:rsidRPr="000F1072">
        <w:rPr>
          <w:lang w:val="fr-FR"/>
        </w:rPr>
        <w:t xml:space="preserve"> doi</w:t>
      </w:r>
      <w:r w:rsidRPr="000F1072">
        <w:rPr>
          <w:b/>
          <w:lang w:val="fr-FR"/>
        </w:rPr>
        <w:t>ven</w:t>
      </w:r>
      <w:r w:rsidRPr="000F1072">
        <w:rPr>
          <w:lang w:val="fr-FR"/>
        </w:rPr>
        <w:t>t porter une étiquette apposée de façon permanente, indiquant la marque et le modèle du dispositif amélioré de retenue pour enfants auquel il correspond ainsi que la gamme de tailles. Les dimensions minimales de l</w:t>
      </w:r>
      <w:r>
        <w:rPr>
          <w:lang w:val="fr-FR"/>
        </w:rPr>
        <w:t>’</w:t>
      </w:r>
      <w:r w:rsidRPr="000F1072">
        <w:rPr>
          <w:lang w:val="fr-FR"/>
        </w:rPr>
        <w:t>étiquette doivent être de 40 x 40 mm (ou couvrir une surface équivalente).</w:t>
      </w:r>
      <w:r w:rsidR="00A42088">
        <w:rPr>
          <w:lang w:val="fr-FR"/>
        </w:rPr>
        <w:t> </w:t>
      </w:r>
      <w:r>
        <w:rPr>
          <w:lang w:val="fr-FR"/>
        </w:rPr>
        <w:t>»</w:t>
      </w:r>
      <w:r w:rsidRPr="000F1072">
        <w:rPr>
          <w:lang w:val="fr-FR"/>
        </w:rPr>
        <w:t>.</w:t>
      </w:r>
    </w:p>
    <w:p w:rsidR="003A27B3" w:rsidRPr="000F1072" w:rsidRDefault="003A27B3" w:rsidP="003A27B3">
      <w:pPr>
        <w:pStyle w:val="SingleTxtG"/>
        <w:rPr>
          <w:lang w:val="fr-FR"/>
        </w:rPr>
      </w:pPr>
      <w:r w:rsidRPr="000F1072">
        <w:rPr>
          <w:i/>
          <w:lang w:val="fr-FR"/>
        </w:rPr>
        <w:t>Paragraphe 6.2.1.1</w:t>
      </w:r>
      <w:r w:rsidRPr="000F1072">
        <w:rPr>
          <w:lang w:val="fr-FR"/>
        </w:rPr>
        <w:t>, lire</w:t>
      </w:r>
      <w:r w:rsidR="00A42088">
        <w:rPr>
          <w:lang w:val="fr-FR"/>
        </w:rPr>
        <w:t> </w:t>
      </w:r>
      <w:r>
        <w:rPr>
          <w:lang w:val="fr-FR"/>
        </w:rPr>
        <w:t>:</w:t>
      </w:r>
    </w:p>
    <w:p w:rsidR="003A27B3" w:rsidRPr="000F1072" w:rsidRDefault="00A42088" w:rsidP="004E5AB5">
      <w:pPr>
        <w:pStyle w:val="SingleTxtG"/>
        <w:ind w:left="1985" w:hanging="851"/>
        <w:rPr>
          <w:lang w:val="fr-FR"/>
        </w:rPr>
      </w:pPr>
      <w:r>
        <w:rPr>
          <w:lang w:val="fr-FR"/>
        </w:rPr>
        <w:t>« </w:t>
      </w:r>
      <w:r w:rsidR="003A27B3" w:rsidRPr="000F1072">
        <w:rPr>
          <w:lang w:val="fr-FR"/>
        </w:rPr>
        <w:t>6.2.1.1</w:t>
      </w:r>
      <w:r w:rsidR="003A27B3" w:rsidRPr="000F1072">
        <w:rPr>
          <w:lang w:val="fr-FR"/>
        </w:rPr>
        <w:tab/>
        <w:t>Le dispositif amélioré de retenue pour enfants assure la protection requise quelle que soit sa position</w:t>
      </w:r>
      <w:r>
        <w:rPr>
          <w:lang w:val="fr-FR"/>
        </w:rPr>
        <w:t> </w:t>
      </w:r>
      <w:r w:rsidR="003A27B3" w:rsidRPr="000F1072">
        <w:rPr>
          <w:lang w:val="fr-FR"/>
        </w:rPr>
        <w:t>;</w:t>
      </w:r>
    </w:p>
    <w:p w:rsidR="003A27B3" w:rsidRPr="000F1072" w:rsidRDefault="004E5AB5" w:rsidP="004E5AB5">
      <w:pPr>
        <w:pStyle w:val="SingleTxtG"/>
        <w:ind w:left="1985" w:hanging="851"/>
        <w:rPr>
          <w:b/>
          <w:lang w:val="fr-FR"/>
        </w:rPr>
      </w:pPr>
      <w:r>
        <w:rPr>
          <w:b/>
          <w:lang w:val="fr-FR"/>
        </w:rPr>
        <w:tab/>
      </w:r>
      <w:r w:rsidR="003A27B3" w:rsidRPr="000F1072">
        <w:rPr>
          <w:b/>
          <w:lang w:val="fr-FR"/>
        </w:rPr>
        <w:t>Dans le cas d</w:t>
      </w:r>
      <w:r w:rsidR="003A27B3">
        <w:rPr>
          <w:b/>
          <w:lang w:val="fr-FR"/>
        </w:rPr>
        <w:t>’</w:t>
      </w:r>
      <w:r w:rsidR="003A27B3" w:rsidRPr="000F1072">
        <w:rPr>
          <w:b/>
          <w:lang w:val="fr-FR"/>
        </w:rPr>
        <w:t>un dispositif amélioré de retenue pour enfants comportant des ajouts amovibles, aux fins de la conformité à toutes les prescriptions pour une taille déclarée, l</w:t>
      </w:r>
      <w:r w:rsidR="003A27B3">
        <w:rPr>
          <w:b/>
          <w:lang w:val="fr-FR"/>
        </w:rPr>
        <w:t>’</w:t>
      </w:r>
      <w:r w:rsidR="003A27B3" w:rsidRPr="000F1072">
        <w:rPr>
          <w:b/>
          <w:lang w:val="fr-FR"/>
        </w:rPr>
        <w:t>ajout approprié doit être un objet unique d</w:t>
      </w:r>
      <w:r w:rsidR="003A27B3">
        <w:rPr>
          <w:b/>
          <w:lang w:val="fr-FR"/>
        </w:rPr>
        <w:t>’</w:t>
      </w:r>
      <w:r w:rsidR="003A27B3" w:rsidRPr="000F1072">
        <w:rPr>
          <w:b/>
          <w:lang w:val="fr-FR"/>
        </w:rPr>
        <w:t>une seule pièce. Un ensemble de pièces n</w:t>
      </w:r>
      <w:r w:rsidR="003A27B3">
        <w:rPr>
          <w:b/>
          <w:lang w:val="fr-FR"/>
        </w:rPr>
        <w:t>’</w:t>
      </w:r>
      <w:r w:rsidR="003A27B3" w:rsidRPr="000F1072">
        <w:rPr>
          <w:b/>
          <w:lang w:val="fr-FR"/>
        </w:rPr>
        <w:t>est donc pas autorisé [pas d</w:t>
      </w:r>
      <w:r w:rsidR="003A27B3">
        <w:rPr>
          <w:b/>
          <w:lang w:val="fr-FR"/>
        </w:rPr>
        <w:t>’</w:t>
      </w:r>
      <w:r w:rsidR="003A27B3" w:rsidRPr="000F1072">
        <w:rPr>
          <w:b/>
          <w:lang w:val="fr-FR"/>
        </w:rPr>
        <w:t xml:space="preserve">éléments emboîtés]. </w:t>
      </w:r>
    </w:p>
    <w:p w:rsidR="003A27B3" w:rsidRPr="000F1072" w:rsidRDefault="004E5AB5" w:rsidP="004E5AB5">
      <w:pPr>
        <w:pStyle w:val="SingleTxtG"/>
        <w:ind w:left="1985" w:hanging="851"/>
        <w:rPr>
          <w:lang w:val="fr-FR"/>
        </w:rPr>
      </w:pPr>
      <w:r>
        <w:rPr>
          <w:lang w:val="fr-FR"/>
        </w:rPr>
        <w:tab/>
      </w:r>
      <w:r w:rsidR="003A27B3" w:rsidRPr="000F1072">
        <w:rPr>
          <w:lang w:val="fr-FR"/>
        </w:rPr>
        <w:t xml:space="preserve">En ce qui concerne les </w:t>
      </w:r>
      <w:r w:rsidR="00A42088" w:rsidRPr="00A42088">
        <w:rPr>
          <w:lang w:val="fr-FR"/>
        </w:rPr>
        <w:t>“</w:t>
      </w:r>
      <w:r w:rsidR="003A27B3" w:rsidRPr="000F1072">
        <w:rPr>
          <w:lang w:val="fr-FR"/>
        </w:rPr>
        <w:t>dispositifs de retenue spéciaux</w:t>
      </w:r>
      <w:r w:rsidR="00A42088" w:rsidRPr="00A42088">
        <w:rPr>
          <w:lang w:val="fr-FR"/>
        </w:rPr>
        <w:t>”</w:t>
      </w:r>
      <w:r w:rsidR="003A27B3" w:rsidRPr="000F1072">
        <w:rPr>
          <w:lang w:val="fr-FR"/>
        </w:rPr>
        <w:t>, le moyen de retenue principal doit assurer la protection requise quelle que soit la position du dispositif, sans recours aux moyens de retenue supplémentaires éventuellement présents</w:t>
      </w:r>
      <w:r w:rsidR="00A42088">
        <w:rPr>
          <w:lang w:val="fr-FR"/>
        </w:rPr>
        <w:t> </w:t>
      </w:r>
      <w:r w:rsidR="003A27B3" w:rsidRPr="000F1072">
        <w:rPr>
          <w:lang w:val="fr-FR"/>
        </w:rPr>
        <w:t>;</w:t>
      </w:r>
      <w:r w:rsidR="00A42088">
        <w:rPr>
          <w:lang w:val="fr-FR"/>
        </w:rPr>
        <w:t> </w:t>
      </w:r>
      <w:r w:rsidR="003A27B3">
        <w:rPr>
          <w:lang w:val="fr-FR"/>
        </w:rPr>
        <w:t>»</w:t>
      </w:r>
      <w:r w:rsidR="003A27B3" w:rsidRPr="000F1072">
        <w:rPr>
          <w:lang w:val="fr-FR"/>
        </w:rPr>
        <w:t>.</w:t>
      </w:r>
    </w:p>
    <w:p w:rsidR="003A27B3" w:rsidRPr="000F1072" w:rsidRDefault="003A27B3" w:rsidP="00A42088">
      <w:pPr>
        <w:pStyle w:val="HChG"/>
        <w:rPr>
          <w:snapToGrid w:val="0"/>
          <w:lang w:val="fr-FR"/>
        </w:rPr>
      </w:pPr>
      <w:r w:rsidRPr="000F1072">
        <w:rPr>
          <w:lang w:val="fr-FR"/>
        </w:rPr>
        <w:tab/>
        <w:t>II.</w:t>
      </w:r>
      <w:r w:rsidRPr="000F1072">
        <w:rPr>
          <w:lang w:val="fr-FR"/>
        </w:rPr>
        <w:tab/>
      </w:r>
      <w:r w:rsidRPr="00A42088">
        <w:t>Justification</w:t>
      </w:r>
    </w:p>
    <w:p w:rsidR="003A27B3" w:rsidRPr="000F1072" w:rsidRDefault="00A42088" w:rsidP="00A42088">
      <w:pPr>
        <w:pStyle w:val="SingleTxtG"/>
        <w:rPr>
          <w:lang w:val="fr-FR"/>
        </w:rPr>
      </w:pPr>
      <w:r>
        <w:rPr>
          <w:lang w:val="fr-FR"/>
        </w:rPr>
        <w:t>1.</w:t>
      </w:r>
      <w:r>
        <w:rPr>
          <w:lang w:val="fr-FR"/>
        </w:rPr>
        <w:tab/>
      </w:r>
      <w:r w:rsidR="003A27B3" w:rsidRPr="000F1072">
        <w:rPr>
          <w:lang w:val="fr-FR"/>
        </w:rPr>
        <w:t xml:space="preserve">Les ajouts sont indispensables pour les dispositifs améliorés de retenue pour enfants qui offrent </w:t>
      </w:r>
      <w:r w:rsidR="003A27B3" w:rsidRPr="00A42088">
        <w:t>une</w:t>
      </w:r>
      <w:r w:rsidR="003A27B3" w:rsidRPr="000F1072">
        <w:rPr>
          <w:lang w:val="fr-FR"/>
        </w:rPr>
        <w:t xml:space="preserve"> gamme de tailles déclarée plus étendue. En effet, ils permettent de satisfaire aux prescriptions concernant les dimensions intérieures, les essais de choc et l</w:t>
      </w:r>
      <w:r w:rsidR="003A27B3">
        <w:rPr>
          <w:lang w:val="fr-FR"/>
        </w:rPr>
        <w:t>’</w:t>
      </w:r>
      <w:r w:rsidR="003A27B3" w:rsidRPr="000F1072">
        <w:rPr>
          <w:lang w:val="fr-FR"/>
        </w:rPr>
        <w:t>essai de retournement.</w:t>
      </w:r>
    </w:p>
    <w:p w:rsidR="003A27B3" w:rsidRPr="000F1072" w:rsidRDefault="00A42088" w:rsidP="003A27B3">
      <w:pPr>
        <w:pStyle w:val="SingleTxtG"/>
        <w:rPr>
          <w:lang w:val="fr-FR"/>
        </w:rPr>
      </w:pPr>
      <w:r>
        <w:rPr>
          <w:lang w:val="fr-FR"/>
        </w:rPr>
        <w:t>2.</w:t>
      </w:r>
      <w:r>
        <w:rPr>
          <w:lang w:val="fr-FR"/>
        </w:rPr>
        <w:tab/>
      </w:r>
      <w:r w:rsidR="003A27B3" w:rsidRPr="000F1072">
        <w:rPr>
          <w:lang w:val="fr-FR"/>
        </w:rPr>
        <w:t>Les ajouts amovibles qui ne portent pas de référence de produit peuvent aisément être employés de façon inappropriée. Dans le pire des cas, l</w:t>
      </w:r>
      <w:r w:rsidR="003A27B3">
        <w:rPr>
          <w:lang w:val="fr-FR"/>
        </w:rPr>
        <w:t>’</w:t>
      </w:r>
      <w:r w:rsidR="003A27B3" w:rsidRPr="000F1072">
        <w:rPr>
          <w:lang w:val="fr-FR"/>
        </w:rPr>
        <w:t>enfant peut même se transformer en objet volant durant un choc.</w:t>
      </w:r>
    </w:p>
    <w:p w:rsidR="003A27B3" w:rsidRPr="000F1072" w:rsidRDefault="00A42088" w:rsidP="003A27B3">
      <w:pPr>
        <w:pStyle w:val="SingleTxtG"/>
        <w:rPr>
          <w:lang w:val="fr-FR"/>
        </w:rPr>
      </w:pPr>
      <w:r>
        <w:rPr>
          <w:lang w:val="fr-FR"/>
        </w:rPr>
        <w:t>3.</w:t>
      </w:r>
      <w:r>
        <w:rPr>
          <w:lang w:val="fr-FR"/>
        </w:rPr>
        <w:tab/>
      </w:r>
      <w:r w:rsidR="003A27B3" w:rsidRPr="000F1072">
        <w:rPr>
          <w:lang w:val="fr-FR"/>
        </w:rPr>
        <w:t>Une gamme de tailles déclarée indiquée uniquement sur la partie extérieure d</w:t>
      </w:r>
      <w:r w:rsidR="003A27B3">
        <w:rPr>
          <w:lang w:val="fr-FR"/>
        </w:rPr>
        <w:t>’</w:t>
      </w:r>
      <w:r w:rsidR="003A27B3" w:rsidRPr="000F1072">
        <w:rPr>
          <w:lang w:val="fr-FR"/>
        </w:rPr>
        <w:t>un dispositif amélioré de retenue pour enfants comportant des ajouts amovibles peut être à l</w:t>
      </w:r>
      <w:r w:rsidR="003A27B3">
        <w:rPr>
          <w:lang w:val="fr-FR"/>
        </w:rPr>
        <w:t>’</w:t>
      </w:r>
      <w:r w:rsidR="003A27B3" w:rsidRPr="000F1072">
        <w:rPr>
          <w:lang w:val="fr-FR"/>
        </w:rPr>
        <w:t>origine d</w:t>
      </w:r>
      <w:r w:rsidR="003A27B3">
        <w:rPr>
          <w:lang w:val="fr-FR"/>
        </w:rPr>
        <w:t>’</w:t>
      </w:r>
      <w:r w:rsidR="003A27B3" w:rsidRPr="000F1072">
        <w:rPr>
          <w:lang w:val="fr-FR"/>
        </w:rPr>
        <w:t>un usage inapproprié. Ainsi, sur le plan général de la sécurité des consommateurs, placer la bonne information sur l</w:t>
      </w:r>
      <w:r w:rsidR="003A27B3">
        <w:rPr>
          <w:lang w:val="fr-FR"/>
        </w:rPr>
        <w:t>’</w:t>
      </w:r>
      <w:r w:rsidR="003A27B3" w:rsidRPr="000F1072">
        <w:rPr>
          <w:lang w:val="fr-FR"/>
        </w:rPr>
        <w:t>ajout approprié permet d</w:t>
      </w:r>
      <w:r w:rsidR="003A27B3">
        <w:rPr>
          <w:lang w:val="fr-FR"/>
        </w:rPr>
        <w:t>’</w:t>
      </w:r>
      <w:r w:rsidR="003A27B3" w:rsidRPr="000F1072">
        <w:rPr>
          <w:lang w:val="fr-FR"/>
        </w:rPr>
        <w:t>éviter tout usage non prévu et facilite la commande d</w:t>
      </w:r>
      <w:r w:rsidR="003A27B3">
        <w:rPr>
          <w:lang w:val="fr-FR"/>
        </w:rPr>
        <w:t>’</w:t>
      </w:r>
      <w:r w:rsidR="003A27B3" w:rsidRPr="000F1072">
        <w:rPr>
          <w:lang w:val="fr-FR"/>
        </w:rPr>
        <w:t>un nouvel ajout (en cas de perte ou d</w:t>
      </w:r>
      <w:r w:rsidR="003A27B3">
        <w:rPr>
          <w:lang w:val="fr-FR"/>
        </w:rPr>
        <w:t>’</w:t>
      </w:r>
      <w:r w:rsidR="003A27B3" w:rsidRPr="000F1072">
        <w:rPr>
          <w:lang w:val="fr-FR"/>
        </w:rPr>
        <w:t>usure).</w:t>
      </w:r>
    </w:p>
    <w:p w:rsidR="003A27B3" w:rsidRPr="000F1072" w:rsidRDefault="00A42088" w:rsidP="003A27B3">
      <w:pPr>
        <w:pStyle w:val="SingleTxtG"/>
        <w:rPr>
          <w:lang w:val="fr-FR"/>
        </w:rPr>
      </w:pPr>
      <w:r>
        <w:rPr>
          <w:lang w:val="fr-FR"/>
        </w:rPr>
        <w:t>4.</w:t>
      </w:r>
      <w:r>
        <w:rPr>
          <w:lang w:val="fr-FR"/>
        </w:rPr>
        <w:tab/>
      </w:r>
      <w:r w:rsidR="003A27B3" w:rsidRPr="000F1072">
        <w:rPr>
          <w:lang w:val="fr-FR"/>
        </w:rPr>
        <w:t>Ces constatations ont déjà été faites pour les boucliers d</w:t>
      </w:r>
      <w:r w:rsidR="003A27B3">
        <w:rPr>
          <w:lang w:val="fr-FR"/>
        </w:rPr>
        <w:t>’</w:t>
      </w:r>
      <w:r w:rsidR="003A27B3" w:rsidRPr="000F1072">
        <w:rPr>
          <w:lang w:val="fr-FR"/>
        </w:rPr>
        <w:t>impact qui ne sont pas fixés de manière permanente. La proposition ci-dessus vise donc à prendre les mêmes mesures pour les ajouts amovibles, ce qui permet de régler les problèmes relatifs à l</w:t>
      </w:r>
      <w:r w:rsidR="003A27B3">
        <w:rPr>
          <w:lang w:val="fr-FR"/>
        </w:rPr>
        <w:t>’</w:t>
      </w:r>
      <w:r w:rsidR="003A27B3" w:rsidRPr="000F1072">
        <w:rPr>
          <w:lang w:val="fr-FR"/>
        </w:rPr>
        <w:t>identification du produit et à la gamme des tailles.</w:t>
      </w:r>
    </w:p>
    <w:p w:rsidR="00F9573C" w:rsidRDefault="00A42088" w:rsidP="003A27B3">
      <w:pPr>
        <w:pStyle w:val="SingleTxtG"/>
        <w:rPr>
          <w:lang w:val="fr-FR"/>
        </w:rPr>
      </w:pPr>
      <w:r>
        <w:rPr>
          <w:lang w:val="fr-FR"/>
        </w:rPr>
        <w:t>5.</w:t>
      </w:r>
      <w:r>
        <w:rPr>
          <w:lang w:val="fr-FR"/>
        </w:rPr>
        <w:tab/>
      </w:r>
      <w:r w:rsidR="003A27B3" w:rsidRPr="000F1072">
        <w:rPr>
          <w:lang w:val="fr-FR"/>
        </w:rPr>
        <w:t>Enfin, la règle de la pièce unique (pas d</w:t>
      </w:r>
      <w:r w:rsidR="003A27B3">
        <w:rPr>
          <w:lang w:val="fr-FR"/>
        </w:rPr>
        <w:t>’</w:t>
      </w:r>
      <w:r w:rsidR="003A27B3" w:rsidRPr="000F1072">
        <w:rPr>
          <w:lang w:val="fr-FR"/>
        </w:rPr>
        <w:t>ajout dans un ajout, pas d</w:t>
      </w:r>
      <w:r w:rsidR="003A27B3">
        <w:rPr>
          <w:lang w:val="fr-FR"/>
        </w:rPr>
        <w:t>’</w:t>
      </w:r>
      <w:r w:rsidR="003A27B3" w:rsidRPr="000F1072">
        <w:rPr>
          <w:lang w:val="fr-FR"/>
        </w:rPr>
        <w:t>emboîtement) est conforme au principe d</w:t>
      </w:r>
      <w:r w:rsidR="003A27B3">
        <w:rPr>
          <w:lang w:val="fr-FR"/>
        </w:rPr>
        <w:t>’</w:t>
      </w:r>
      <w:r w:rsidR="003A27B3" w:rsidRPr="000F1072">
        <w:rPr>
          <w:lang w:val="fr-FR"/>
        </w:rPr>
        <w:t>un seul positionnement de la ceinture</w:t>
      </w:r>
      <w:r w:rsidR="00376AF5">
        <w:rPr>
          <w:lang w:val="fr-FR"/>
        </w:rPr>
        <w:t> </w:t>
      </w:r>
      <w:r w:rsidR="003A27B3" w:rsidRPr="000F1072">
        <w:rPr>
          <w:lang w:val="fr-FR"/>
        </w:rPr>
        <w:t>; un ensemble d</w:t>
      </w:r>
      <w:r w:rsidR="003A27B3">
        <w:rPr>
          <w:lang w:val="fr-FR"/>
        </w:rPr>
        <w:t>’</w:t>
      </w:r>
      <w:r w:rsidR="003A27B3" w:rsidRPr="000F1072">
        <w:rPr>
          <w:lang w:val="fr-FR"/>
        </w:rPr>
        <w:t>ajouts divers compliquerait les choses. En outre, les ajouts ne sont soumis à aucun essai de durabilité (contrairement à d</w:t>
      </w:r>
      <w:r w:rsidR="003A27B3">
        <w:rPr>
          <w:lang w:val="fr-FR"/>
        </w:rPr>
        <w:t>’</w:t>
      </w:r>
      <w:r w:rsidR="003A27B3" w:rsidRPr="000F1072">
        <w:rPr>
          <w:lang w:val="fr-FR"/>
        </w:rPr>
        <w:t>autres pièces qui entrent en jeu dans la retenue)</w:t>
      </w:r>
      <w:r w:rsidR="00431AB6">
        <w:rPr>
          <w:lang w:val="fr-FR"/>
        </w:rPr>
        <w:t> </w:t>
      </w:r>
      <w:r w:rsidR="003A27B3" w:rsidRPr="000F1072">
        <w:rPr>
          <w:lang w:val="fr-FR"/>
        </w:rPr>
        <w:t>; or, les emboîtements pourraient être trop dépendants des ajouts.</w:t>
      </w:r>
    </w:p>
    <w:p w:rsidR="003A27B3" w:rsidRPr="003A27B3" w:rsidRDefault="003A27B3" w:rsidP="003A27B3">
      <w:pPr>
        <w:pStyle w:val="SingleTxtG"/>
        <w:spacing w:before="240" w:after="0"/>
        <w:jc w:val="center"/>
        <w:rPr>
          <w:u w:val="single"/>
        </w:rPr>
      </w:pPr>
      <w:r>
        <w:rPr>
          <w:u w:val="single"/>
        </w:rPr>
        <w:tab/>
      </w:r>
      <w:r>
        <w:rPr>
          <w:u w:val="single"/>
        </w:rPr>
        <w:tab/>
      </w:r>
      <w:r>
        <w:rPr>
          <w:u w:val="single"/>
        </w:rPr>
        <w:tab/>
      </w:r>
    </w:p>
    <w:sectPr w:rsidR="003A27B3" w:rsidRPr="003A27B3" w:rsidSect="003A27B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CE" w:rsidRDefault="007E33CE" w:rsidP="00F95C08">
      <w:pPr>
        <w:spacing w:line="240" w:lineRule="auto"/>
      </w:pPr>
    </w:p>
  </w:endnote>
  <w:endnote w:type="continuationSeparator" w:id="0">
    <w:p w:rsidR="007E33CE" w:rsidRPr="00AC3823" w:rsidRDefault="007E33CE" w:rsidP="00AC3823">
      <w:pPr>
        <w:pStyle w:val="Footer"/>
      </w:pPr>
    </w:p>
  </w:endnote>
  <w:endnote w:type="continuationNotice" w:id="1">
    <w:p w:rsidR="007E33CE" w:rsidRDefault="007E3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B3" w:rsidRPr="003A27B3" w:rsidRDefault="003A27B3" w:rsidP="003A27B3">
    <w:pPr>
      <w:pStyle w:val="Footer"/>
      <w:tabs>
        <w:tab w:val="right" w:pos="9638"/>
      </w:tabs>
    </w:pPr>
    <w:r w:rsidRPr="003A27B3">
      <w:rPr>
        <w:b/>
        <w:sz w:val="18"/>
      </w:rPr>
      <w:fldChar w:fldCharType="begin"/>
    </w:r>
    <w:r w:rsidRPr="003A27B3">
      <w:rPr>
        <w:b/>
        <w:sz w:val="18"/>
      </w:rPr>
      <w:instrText xml:space="preserve"> PAGE  \* MERGEFORMAT </w:instrText>
    </w:r>
    <w:r w:rsidRPr="003A27B3">
      <w:rPr>
        <w:b/>
        <w:sz w:val="18"/>
      </w:rPr>
      <w:fldChar w:fldCharType="separate"/>
    </w:r>
    <w:r w:rsidRPr="003A27B3">
      <w:rPr>
        <w:b/>
        <w:noProof/>
        <w:sz w:val="18"/>
      </w:rPr>
      <w:t>2</w:t>
    </w:r>
    <w:r w:rsidRPr="003A27B3">
      <w:rPr>
        <w:b/>
        <w:sz w:val="18"/>
      </w:rPr>
      <w:fldChar w:fldCharType="end"/>
    </w:r>
    <w:r>
      <w:rPr>
        <w:b/>
        <w:sz w:val="18"/>
      </w:rPr>
      <w:tab/>
    </w:r>
    <w:r>
      <w:t>GE.18-16017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B3" w:rsidRPr="003A27B3" w:rsidRDefault="003A27B3" w:rsidP="003A27B3">
    <w:pPr>
      <w:pStyle w:val="Footer"/>
      <w:tabs>
        <w:tab w:val="right" w:pos="9638"/>
      </w:tabs>
      <w:rPr>
        <w:b/>
        <w:sz w:val="18"/>
      </w:rPr>
    </w:pPr>
    <w:r>
      <w:t>GE.18-16017</w:t>
    </w:r>
    <w:r>
      <w:tab/>
    </w:r>
    <w:r w:rsidRPr="003A27B3">
      <w:rPr>
        <w:b/>
        <w:sz w:val="18"/>
      </w:rPr>
      <w:fldChar w:fldCharType="begin"/>
    </w:r>
    <w:r w:rsidRPr="003A27B3">
      <w:rPr>
        <w:b/>
        <w:sz w:val="18"/>
      </w:rPr>
      <w:instrText xml:space="preserve"> PAGE  \* MERGEFORMAT </w:instrText>
    </w:r>
    <w:r w:rsidRPr="003A27B3">
      <w:rPr>
        <w:b/>
        <w:sz w:val="18"/>
      </w:rPr>
      <w:fldChar w:fldCharType="separate"/>
    </w:r>
    <w:r w:rsidRPr="003A27B3">
      <w:rPr>
        <w:b/>
        <w:noProof/>
        <w:sz w:val="18"/>
      </w:rPr>
      <w:t>3</w:t>
    </w:r>
    <w:r w:rsidRPr="003A27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A27B3" w:rsidRDefault="003A27B3" w:rsidP="003A27B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18-16017  (F)    191018    241018</w:t>
    </w:r>
    <w:r>
      <w:rPr>
        <w:sz w:val="20"/>
      </w:rPr>
      <w:br/>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sidRPr="003A27B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CE" w:rsidRPr="00AC3823" w:rsidRDefault="007E33CE" w:rsidP="00AC3823">
      <w:pPr>
        <w:pStyle w:val="Footer"/>
        <w:tabs>
          <w:tab w:val="right" w:pos="2155"/>
        </w:tabs>
        <w:spacing w:after="80" w:line="240" w:lineRule="atLeast"/>
        <w:ind w:left="680"/>
        <w:rPr>
          <w:u w:val="single"/>
        </w:rPr>
      </w:pPr>
      <w:r>
        <w:rPr>
          <w:u w:val="single"/>
        </w:rPr>
        <w:tab/>
      </w:r>
    </w:p>
  </w:footnote>
  <w:footnote w:type="continuationSeparator" w:id="0">
    <w:p w:rsidR="007E33CE" w:rsidRPr="00AC3823" w:rsidRDefault="007E33CE" w:rsidP="00AC3823">
      <w:pPr>
        <w:pStyle w:val="Footer"/>
        <w:tabs>
          <w:tab w:val="right" w:pos="2155"/>
        </w:tabs>
        <w:spacing w:after="80" w:line="240" w:lineRule="atLeast"/>
        <w:ind w:left="680"/>
        <w:rPr>
          <w:u w:val="single"/>
        </w:rPr>
      </w:pPr>
      <w:r>
        <w:rPr>
          <w:u w:val="single"/>
        </w:rPr>
        <w:tab/>
      </w:r>
    </w:p>
  </w:footnote>
  <w:footnote w:type="continuationNotice" w:id="1">
    <w:p w:rsidR="007E33CE" w:rsidRPr="00AC3823" w:rsidRDefault="007E33CE">
      <w:pPr>
        <w:spacing w:line="240" w:lineRule="auto"/>
        <w:rPr>
          <w:sz w:val="2"/>
          <w:szCs w:val="2"/>
        </w:rPr>
      </w:pPr>
    </w:p>
  </w:footnote>
  <w:footnote w:id="2">
    <w:p w:rsidR="003A27B3" w:rsidRPr="003A27B3" w:rsidRDefault="003A27B3" w:rsidP="003A27B3">
      <w:pPr>
        <w:pStyle w:val="FootnoteText"/>
      </w:pPr>
      <w:r>
        <w:rPr>
          <w:rStyle w:val="FootnoteReference"/>
        </w:rPr>
        <w:tab/>
      </w:r>
      <w:r w:rsidRPr="003A27B3">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w:t>
      </w:r>
      <w:r w:rsidR="004E5AB5">
        <w:rPr>
          <w:lang w:val="fr-FR"/>
        </w:rPr>
        <w:t>intérieurs pour la période 2014</w:t>
      </w:r>
      <w:r w:rsidR="004E5AB5">
        <w:rPr>
          <w:lang w:val="fr-FR"/>
        </w:rPr>
        <w:noBreakHyphen/>
      </w:r>
      <w:r>
        <w:rPr>
          <w:lang w:val="fr-FR"/>
        </w:rPr>
        <w:t>2018 (ECE/TRANS/240, par. 105, et ECE/TRANS/2014/26, activité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B3" w:rsidRPr="003A27B3" w:rsidRDefault="00293C71">
    <w:pPr>
      <w:pStyle w:val="Header"/>
    </w:pPr>
    <w:r>
      <w:fldChar w:fldCharType="begin"/>
    </w:r>
    <w:r>
      <w:instrText xml:space="preserve"> TITLE  \* MERGEFORMAT </w:instrText>
    </w:r>
    <w:r>
      <w:fldChar w:fldCharType="separate"/>
    </w:r>
    <w:r w:rsidR="0004453C">
      <w:t>ECE/TRANS/WP.29/GRSP/2018/33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B3" w:rsidRPr="003A27B3" w:rsidRDefault="00293C71" w:rsidP="003A27B3">
    <w:pPr>
      <w:pStyle w:val="Header"/>
      <w:jc w:val="right"/>
    </w:pPr>
    <w:r>
      <w:fldChar w:fldCharType="begin"/>
    </w:r>
    <w:r>
      <w:instrText xml:space="preserve"> TITLE  \* MERGEFORMAT </w:instrText>
    </w:r>
    <w:r>
      <w:fldChar w:fldCharType="separate"/>
    </w:r>
    <w:r w:rsidR="0004453C">
      <w:t>ECE/TRANS/WP.29/GRSP/2018/33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CE"/>
    <w:rsid w:val="00017F94"/>
    <w:rsid w:val="00023842"/>
    <w:rsid w:val="000334F9"/>
    <w:rsid w:val="0004453C"/>
    <w:rsid w:val="00045FEB"/>
    <w:rsid w:val="0007796D"/>
    <w:rsid w:val="000B7790"/>
    <w:rsid w:val="00111F2F"/>
    <w:rsid w:val="0014365E"/>
    <w:rsid w:val="00143C66"/>
    <w:rsid w:val="00176178"/>
    <w:rsid w:val="001F525A"/>
    <w:rsid w:val="00223272"/>
    <w:rsid w:val="0024779E"/>
    <w:rsid w:val="00257168"/>
    <w:rsid w:val="002635A5"/>
    <w:rsid w:val="002744B8"/>
    <w:rsid w:val="002832AC"/>
    <w:rsid w:val="00293C71"/>
    <w:rsid w:val="002D7C93"/>
    <w:rsid w:val="00305801"/>
    <w:rsid w:val="00357057"/>
    <w:rsid w:val="00376AF5"/>
    <w:rsid w:val="003916DE"/>
    <w:rsid w:val="003A27B3"/>
    <w:rsid w:val="00421996"/>
    <w:rsid w:val="00431AB6"/>
    <w:rsid w:val="00441C3B"/>
    <w:rsid w:val="00446FE5"/>
    <w:rsid w:val="00452396"/>
    <w:rsid w:val="004837D8"/>
    <w:rsid w:val="004E2EED"/>
    <w:rsid w:val="004E468C"/>
    <w:rsid w:val="004E5AB5"/>
    <w:rsid w:val="005505B7"/>
    <w:rsid w:val="00573BE5"/>
    <w:rsid w:val="00586ED3"/>
    <w:rsid w:val="00596AA9"/>
    <w:rsid w:val="005C09DD"/>
    <w:rsid w:val="0071601D"/>
    <w:rsid w:val="007A62E6"/>
    <w:rsid w:val="007E33CE"/>
    <w:rsid w:val="007F20FA"/>
    <w:rsid w:val="0080684C"/>
    <w:rsid w:val="00871C75"/>
    <w:rsid w:val="008776DC"/>
    <w:rsid w:val="008929F6"/>
    <w:rsid w:val="008D039E"/>
    <w:rsid w:val="009446C0"/>
    <w:rsid w:val="009705C8"/>
    <w:rsid w:val="009C1CF4"/>
    <w:rsid w:val="009F6B74"/>
    <w:rsid w:val="00A3029F"/>
    <w:rsid w:val="00A30353"/>
    <w:rsid w:val="00A42088"/>
    <w:rsid w:val="00AC3823"/>
    <w:rsid w:val="00AE323C"/>
    <w:rsid w:val="00AF0CB5"/>
    <w:rsid w:val="00B00181"/>
    <w:rsid w:val="00B00B0D"/>
    <w:rsid w:val="00B45F2E"/>
    <w:rsid w:val="00B765F7"/>
    <w:rsid w:val="00BA0CA9"/>
    <w:rsid w:val="00BA43A3"/>
    <w:rsid w:val="00C02897"/>
    <w:rsid w:val="00C97039"/>
    <w:rsid w:val="00CE266B"/>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93117F-DB61-4D07-A813-7463578D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A27B3"/>
    <w:rPr>
      <w:rFonts w:ascii="Times New Roman" w:eastAsiaTheme="minorHAnsi" w:hAnsi="Times New Roman" w:cs="Times New Roman"/>
      <w:sz w:val="20"/>
      <w:szCs w:val="20"/>
      <w:lang w:eastAsia="en-US"/>
    </w:rPr>
  </w:style>
  <w:style w:type="character" w:customStyle="1" w:styleId="HChGChar">
    <w:name w:val="_ H _Ch_G Char"/>
    <w:link w:val="HChG"/>
    <w:rsid w:val="003A27B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3053-39DC-400A-8908-5AC7B30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ECE/TRANS/WP.29/GRSP/2018/33</vt:lpstr>
      <vt:lpstr>ECE/TRANS/WP.29/GRSP/2018/33</vt:lpstr>
    </vt:vector>
  </TitlesOfParts>
  <Company>DCM</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ECE/TRANS/WP.29/GRSP/2018/33</dc:title>
  <dc:subject/>
  <dc:creator>Isabelle VIGNY</dc:creator>
  <cp:keywords/>
  <cp:lastModifiedBy>Benedicte Boudol</cp:lastModifiedBy>
  <cp:revision>2</cp:revision>
  <cp:lastPrinted>2018-10-24T10:15:00Z</cp:lastPrinted>
  <dcterms:created xsi:type="dcterms:W3CDTF">2018-10-24T12:21:00Z</dcterms:created>
  <dcterms:modified xsi:type="dcterms:W3CDTF">2018-10-24T12:21:00Z</dcterms:modified>
</cp:coreProperties>
</file>