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2368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2368C" w:rsidP="0012368C">
            <w:pPr>
              <w:jc w:val="right"/>
            </w:pPr>
            <w:r w:rsidRPr="0012368C">
              <w:rPr>
                <w:sz w:val="40"/>
              </w:rPr>
              <w:t>ECE</w:t>
            </w:r>
            <w:r>
              <w:t>/TRANS/WP.29/GRSP/2018/30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2368C" w:rsidP="00C97039">
            <w:pPr>
              <w:spacing w:before="240"/>
            </w:pPr>
            <w:proofErr w:type="spellStart"/>
            <w:r>
              <w:t>Distr</w:t>
            </w:r>
            <w:proofErr w:type="spellEnd"/>
            <w:r>
              <w:t xml:space="preserve">. </w:t>
            </w:r>
            <w:proofErr w:type="gramStart"/>
            <w:r>
              <w:t>générale</w:t>
            </w:r>
            <w:proofErr w:type="gramEnd"/>
          </w:p>
          <w:p w:rsidR="0012368C" w:rsidRDefault="0012368C" w:rsidP="0012368C">
            <w:pPr>
              <w:spacing w:line="240" w:lineRule="exact"/>
            </w:pPr>
            <w:r>
              <w:t>26 septembre 2018</w:t>
            </w:r>
          </w:p>
          <w:p w:rsidR="0012368C" w:rsidRDefault="0012368C" w:rsidP="0012368C">
            <w:pPr>
              <w:spacing w:line="240" w:lineRule="exact"/>
            </w:pPr>
            <w:r>
              <w:t>Français</w:t>
            </w:r>
          </w:p>
          <w:p w:rsidR="0012368C" w:rsidRPr="00DB58B5" w:rsidRDefault="0012368C" w:rsidP="0012368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94A65" w:rsidRPr="00B30131" w:rsidRDefault="00894A65" w:rsidP="00B30131">
      <w:pPr>
        <w:spacing w:before="120"/>
        <w:rPr>
          <w:b/>
          <w:sz w:val="24"/>
          <w:szCs w:val="24"/>
        </w:rPr>
      </w:pPr>
      <w:r w:rsidRPr="00B30131">
        <w:rPr>
          <w:b/>
          <w:sz w:val="24"/>
          <w:szCs w:val="24"/>
        </w:rPr>
        <w:t xml:space="preserve">Forum mondial de l’harmonisation des Règlements </w:t>
      </w:r>
      <w:r w:rsidR="00B30131">
        <w:rPr>
          <w:b/>
          <w:sz w:val="24"/>
          <w:szCs w:val="24"/>
        </w:rPr>
        <w:br/>
      </w:r>
      <w:r w:rsidRPr="00B30131">
        <w:rPr>
          <w:b/>
          <w:sz w:val="24"/>
          <w:szCs w:val="24"/>
        </w:rPr>
        <w:t>concernant les véhicules</w:t>
      </w:r>
    </w:p>
    <w:p w:rsidR="00894A65" w:rsidRPr="00B30131" w:rsidRDefault="00894A65" w:rsidP="00B30131">
      <w:pPr>
        <w:spacing w:before="120"/>
        <w:rPr>
          <w:b/>
        </w:rPr>
      </w:pPr>
      <w:r w:rsidRPr="00B30131">
        <w:rPr>
          <w:b/>
        </w:rPr>
        <w:t>Groupe de travail de la sécurité passive</w:t>
      </w:r>
    </w:p>
    <w:p w:rsidR="00894A65" w:rsidRPr="00B30131" w:rsidRDefault="00894A65" w:rsidP="0047545E">
      <w:pPr>
        <w:spacing w:before="120"/>
        <w:rPr>
          <w:b/>
        </w:rPr>
      </w:pPr>
      <w:r w:rsidRPr="00B30131">
        <w:rPr>
          <w:b/>
        </w:rPr>
        <w:t>Soixante-quatrième session</w:t>
      </w:r>
    </w:p>
    <w:p w:rsidR="00894A65" w:rsidRPr="00B30131" w:rsidRDefault="00894A65" w:rsidP="00894A65">
      <w:pPr>
        <w:rPr>
          <w:bCs/>
        </w:rPr>
      </w:pPr>
      <w:r w:rsidRPr="00B30131">
        <w:rPr>
          <w:bCs/>
        </w:rPr>
        <w:t>Genève, 11-14</w:t>
      </w:r>
      <w:r w:rsidR="00B30131">
        <w:rPr>
          <w:bCs/>
        </w:rPr>
        <w:t> </w:t>
      </w:r>
      <w:r w:rsidRPr="00B30131">
        <w:rPr>
          <w:bCs/>
        </w:rPr>
        <w:t>décembre 2018</w:t>
      </w:r>
    </w:p>
    <w:p w:rsidR="00894A65" w:rsidRPr="00B30131" w:rsidRDefault="00894A65" w:rsidP="00894A65">
      <w:pPr>
        <w:rPr>
          <w:bCs/>
        </w:rPr>
      </w:pPr>
      <w:r w:rsidRPr="00B30131">
        <w:rPr>
          <w:bCs/>
        </w:rPr>
        <w:t>Point 19 de l’ordre du jour provisoire</w:t>
      </w:r>
    </w:p>
    <w:p w:rsidR="00894A65" w:rsidRPr="00B30131" w:rsidRDefault="00894A65" w:rsidP="00894A65">
      <w:pPr>
        <w:rPr>
          <w:b/>
          <w:bCs/>
        </w:rPr>
      </w:pPr>
      <w:r w:rsidRPr="00B30131">
        <w:rPr>
          <w:b/>
          <w:bCs/>
        </w:rPr>
        <w:t xml:space="preserve">Règlement </w:t>
      </w:r>
      <w:r w:rsidR="003A11ED">
        <w:rPr>
          <w:b/>
          <w:bCs/>
        </w:rPr>
        <w:t xml:space="preserve">ONU </w:t>
      </w:r>
      <w:r w:rsidRPr="00B30131">
        <w:rPr>
          <w:b/>
          <w:bCs/>
        </w:rPr>
        <w:t>n</w:t>
      </w:r>
      <w:r w:rsidRPr="00B30131">
        <w:rPr>
          <w:b/>
          <w:bCs/>
          <w:vertAlign w:val="superscript"/>
        </w:rPr>
        <w:t>o</w:t>
      </w:r>
      <w:r w:rsidR="00B30131">
        <w:rPr>
          <w:b/>
          <w:bCs/>
        </w:rPr>
        <w:t> </w:t>
      </w:r>
      <w:r w:rsidRPr="00B30131">
        <w:rPr>
          <w:b/>
          <w:bCs/>
        </w:rPr>
        <w:t>129 (Dispositifs améliorés de retenue pour enfants)</w:t>
      </w:r>
    </w:p>
    <w:p w:rsidR="00894A65" w:rsidRPr="00766806" w:rsidRDefault="00894A65" w:rsidP="00B30131">
      <w:pPr>
        <w:pStyle w:val="HChG"/>
      </w:pPr>
      <w:r w:rsidRPr="00766806">
        <w:tab/>
      </w:r>
      <w:r w:rsidRPr="00766806">
        <w:tab/>
        <w:t>Proposition de complément 5 à la série 02 d</w:t>
      </w:r>
      <w:r>
        <w:t>’</w:t>
      </w:r>
      <w:r w:rsidRPr="00766806">
        <w:t xml:space="preserve">amendements </w:t>
      </w:r>
      <w:r w:rsidR="00B30131">
        <w:br/>
      </w:r>
      <w:r w:rsidRPr="00766806">
        <w:t>au Règlement ONU n</w:t>
      </w:r>
      <w:r w:rsidRPr="00766806">
        <w:rPr>
          <w:vertAlign w:val="superscript"/>
        </w:rPr>
        <w:t>o</w:t>
      </w:r>
      <w:r w:rsidRPr="00766806">
        <w:t> 129</w:t>
      </w:r>
    </w:p>
    <w:p w:rsidR="00B30131" w:rsidRDefault="00894A65" w:rsidP="00B30131">
      <w:pPr>
        <w:pStyle w:val="H1G"/>
        <w:rPr>
          <w:sz w:val="20"/>
        </w:rPr>
      </w:pPr>
      <w:r w:rsidRPr="00766806">
        <w:tab/>
      </w:r>
      <w:r w:rsidRPr="00766806">
        <w:tab/>
        <w:t>Communication de l</w:t>
      </w:r>
      <w:r>
        <w:t>’</w:t>
      </w:r>
      <w:r w:rsidRPr="00766806">
        <w:t>expert de l</w:t>
      </w:r>
      <w:r>
        <w:t>’</w:t>
      </w:r>
      <w:r w:rsidRPr="00766806">
        <w:t xml:space="preserve">Association européenne </w:t>
      </w:r>
      <w:r w:rsidR="00B30131">
        <w:br/>
      </w:r>
      <w:r w:rsidRPr="00766806">
        <w:t>des fournisseurs de l</w:t>
      </w:r>
      <w:r>
        <w:t>’</w:t>
      </w:r>
      <w:r w:rsidRPr="00766806">
        <w:t>automobile</w:t>
      </w:r>
      <w:r w:rsidR="00B30131" w:rsidRPr="00B30131">
        <w:rPr>
          <w:rStyle w:val="FootnoteReference"/>
          <w:b w:val="0"/>
          <w:sz w:val="20"/>
          <w:vertAlign w:val="baseline"/>
        </w:rPr>
        <w:footnoteReference w:customMarkFollows="1" w:id="2"/>
        <w:t>*</w:t>
      </w:r>
    </w:p>
    <w:p w:rsidR="00B30131" w:rsidRDefault="00894A65" w:rsidP="00B30131">
      <w:pPr>
        <w:pStyle w:val="SingleTxtG"/>
        <w:ind w:firstLine="567"/>
      </w:pPr>
      <w:r w:rsidRPr="00766806">
        <w:rPr>
          <w:snapToGrid w:val="0"/>
        </w:rPr>
        <w:t>Le texte ci-après, établi par l</w:t>
      </w:r>
      <w:r>
        <w:rPr>
          <w:snapToGrid w:val="0"/>
        </w:rPr>
        <w:t>’</w:t>
      </w:r>
      <w:r w:rsidRPr="00766806">
        <w:rPr>
          <w:snapToGrid w:val="0"/>
        </w:rPr>
        <w:t>expert de l</w:t>
      </w:r>
      <w:r>
        <w:rPr>
          <w:snapToGrid w:val="0"/>
        </w:rPr>
        <w:t>’</w:t>
      </w:r>
      <w:r w:rsidRPr="00766806">
        <w:rPr>
          <w:snapToGrid w:val="0"/>
        </w:rPr>
        <w:t>Association européenne des fournisseurs de l</w:t>
      </w:r>
      <w:r>
        <w:rPr>
          <w:snapToGrid w:val="0"/>
        </w:rPr>
        <w:t>’</w:t>
      </w:r>
      <w:r w:rsidRPr="00766806">
        <w:rPr>
          <w:snapToGrid w:val="0"/>
        </w:rPr>
        <w:t>automobile (CLEPA)</w:t>
      </w:r>
      <w:r>
        <w:rPr>
          <w:snapToGrid w:val="0"/>
        </w:rPr>
        <w:t xml:space="preserve"> vise à préciser les dispositions s’appliquant aux sièges rehausseurs contenues dans la série </w:t>
      </w:r>
      <w:r w:rsidRPr="00766806">
        <w:t xml:space="preserve">02 </w:t>
      </w:r>
      <w:r>
        <w:t xml:space="preserve">d’amendements au Règlement ONU </w:t>
      </w:r>
      <w:r w:rsidR="00F93FD2">
        <w:t>n</w:t>
      </w:r>
      <w:r w:rsidR="00F93FD2" w:rsidRPr="00F93FD2">
        <w:rPr>
          <w:vertAlign w:val="superscript"/>
        </w:rPr>
        <w:t>o</w:t>
      </w:r>
      <w:r w:rsidRPr="00F93FD2">
        <w:t> </w:t>
      </w:r>
      <w:r w:rsidRPr="00766806">
        <w:rPr>
          <w:snapToGrid w:val="0"/>
        </w:rPr>
        <w:t>129</w:t>
      </w:r>
      <w:r w:rsidRPr="00766806">
        <w:t xml:space="preserve">. </w:t>
      </w:r>
      <w:r w:rsidRPr="0020779B">
        <w:t>Les modifications qu</w:t>
      </w:r>
      <w:r>
        <w:t>’</w:t>
      </w:r>
      <w:r w:rsidRPr="0020779B">
        <w:t>il est proposé d</w:t>
      </w:r>
      <w:r>
        <w:t>’</w:t>
      </w:r>
      <w:r w:rsidRPr="0020779B">
        <w:t xml:space="preserve">apporter au texte actuel du Règlement </w:t>
      </w:r>
      <w:r w:rsidR="003A11ED">
        <w:t xml:space="preserve">ONU </w:t>
      </w:r>
      <w:r w:rsidRPr="0020779B">
        <w:t>figurent en caractères gras pour les ajouts et biffés pour les suppressions.</w:t>
      </w:r>
    </w:p>
    <w:p w:rsidR="00894A65" w:rsidRPr="00C91D34" w:rsidRDefault="00894A65" w:rsidP="00F93FD2">
      <w:pPr>
        <w:pStyle w:val="HChG"/>
        <w:rPr>
          <w:sz w:val="24"/>
        </w:rPr>
      </w:pPr>
      <w:r w:rsidRPr="0020779B">
        <w:br w:type="page"/>
      </w:r>
      <w:r w:rsidRPr="0020779B">
        <w:lastRenderedPageBreak/>
        <w:tab/>
      </w:r>
      <w:r w:rsidRPr="00C91D34">
        <w:t>I.</w:t>
      </w:r>
      <w:r w:rsidRPr="00C91D34">
        <w:tab/>
        <w:t>Proposition</w:t>
      </w:r>
    </w:p>
    <w:p w:rsidR="00894A65" w:rsidRPr="00C91D34" w:rsidRDefault="00894A65" w:rsidP="00F93FD2">
      <w:pPr>
        <w:pStyle w:val="SingleTxtG"/>
      </w:pPr>
      <w:r w:rsidRPr="00F93FD2">
        <w:rPr>
          <w:i/>
        </w:rPr>
        <w:t>Paragraphe 4.7.1</w:t>
      </w:r>
      <w:r w:rsidRPr="00C91D34">
        <w:t>, lire</w:t>
      </w:r>
      <w:r w:rsidR="00F93FD2">
        <w:t> </w:t>
      </w:r>
      <w:r w:rsidRPr="00C91D34">
        <w:t>:</w:t>
      </w:r>
    </w:p>
    <w:p w:rsidR="00894A65" w:rsidRPr="00F93FD2" w:rsidRDefault="00F93FD2" w:rsidP="00F93FD2">
      <w:pPr>
        <w:pStyle w:val="SingleTxtG"/>
        <w:ind w:left="2268" w:hanging="1134"/>
      </w:pPr>
      <w:r>
        <w:t>« </w:t>
      </w:r>
      <w:r w:rsidR="00E9204F">
        <w:t>4.7.1</w:t>
      </w:r>
      <w:r w:rsidR="00894A65" w:rsidRPr="00C91D34">
        <w:tab/>
      </w:r>
      <w:r w:rsidR="00894A65" w:rsidRPr="00A7668A">
        <w:t xml:space="preserve">Les dispositifs améliorés de retenue pour enfants </w:t>
      </w:r>
      <w:r w:rsidR="00894A65" w:rsidRPr="00F93FD2">
        <w:t xml:space="preserve">de type </w:t>
      </w:r>
      <w:r>
        <w:rPr>
          <w:i/>
        </w:rPr>
        <w:t xml:space="preserve">siège rehausseur </w:t>
      </w:r>
      <w:proofErr w:type="spellStart"/>
      <w:r>
        <w:rPr>
          <w:i/>
        </w:rPr>
        <w:t>i</w:t>
      </w:r>
      <w:r>
        <w:rPr>
          <w:i/>
        </w:rPr>
        <w:noBreakHyphen/>
      </w:r>
      <w:r w:rsidR="00894A65" w:rsidRPr="00F93FD2">
        <w:rPr>
          <w:i/>
        </w:rPr>
        <w:t>Size</w:t>
      </w:r>
      <w:proofErr w:type="spellEnd"/>
      <w:r w:rsidR="00894A65" w:rsidRPr="00F93FD2">
        <w:t xml:space="preserve"> doivent porter de manière permanente une étiquette </w:t>
      </w:r>
      <w:r w:rsidR="00894A65" w:rsidRPr="00F93FD2">
        <w:rPr>
          <w:b/>
        </w:rPr>
        <w:t xml:space="preserve">représentant un logo </w:t>
      </w:r>
      <w:proofErr w:type="spellStart"/>
      <w:r w:rsidR="00894A65" w:rsidRPr="00F93FD2">
        <w:rPr>
          <w:b/>
        </w:rPr>
        <w:t>i-Size</w:t>
      </w:r>
      <w:proofErr w:type="spellEnd"/>
      <w:r w:rsidR="00894A65" w:rsidRPr="00F93FD2">
        <w:rPr>
          <w:b/>
        </w:rPr>
        <w:t xml:space="preserve"> conforme</w:t>
      </w:r>
      <w:r w:rsidR="00894A65" w:rsidRPr="00F93FD2" w:rsidDel="00655479">
        <w:rPr>
          <w:b/>
        </w:rPr>
        <w:t xml:space="preserve"> </w:t>
      </w:r>
      <w:r w:rsidR="00894A65" w:rsidRPr="00F93FD2">
        <w:rPr>
          <w:b/>
        </w:rPr>
        <w:t>aux dispositions du paragraphe</w:t>
      </w:r>
      <w:r w:rsidR="003774DD">
        <w:rPr>
          <w:b/>
        </w:rPr>
        <w:t> </w:t>
      </w:r>
      <w:r w:rsidR="00894A65" w:rsidRPr="00F93FD2">
        <w:rPr>
          <w:b/>
        </w:rPr>
        <w:t>4.6.1,</w:t>
      </w:r>
      <w:r w:rsidR="00894A65" w:rsidRPr="00F93FD2">
        <w:t xml:space="preserve"> visible pour la personne qui installe le dispositif dans le véhicule</w:t>
      </w:r>
      <w:r w:rsidR="00894A65" w:rsidRPr="00F93FD2">
        <w:rPr>
          <w:strike/>
        </w:rPr>
        <w:t>, et contenant les informations suivantes</w:t>
      </w:r>
      <w:r w:rsidR="00894A65" w:rsidRPr="00F93FD2">
        <w:t>.</w:t>
      </w:r>
    </w:p>
    <w:p w:rsidR="00894A65" w:rsidRPr="00F93FD2" w:rsidRDefault="00894A65" w:rsidP="00F93FD2">
      <w:pPr>
        <w:pStyle w:val="SingleTxtG"/>
        <w:ind w:left="3402"/>
      </w:pPr>
      <w:r w:rsidRPr="00E9204F">
        <w:rPr>
          <w:strike/>
        </w:rPr>
        <w:t xml:space="preserve">Siège rehausseur </w:t>
      </w:r>
      <w:proofErr w:type="spellStart"/>
      <w:r w:rsidRPr="00E9204F">
        <w:rPr>
          <w:strike/>
        </w:rPr>
        <w:t>i-Size</w:t>
      </w:r>
      <w:proofErr w:type="spellEnd"/>
      <w:r w:rsidRPr="00F93FD2">
        <w:t xml:space="preserve"> </w:t>
      </w:r>
      <w:r w:rsidRPr="00F93FD2">
        <w:rPr>
          <w:noProof/>
          <w:lang w:eastAsia="fr-CH"/>
        </w:rPr>
        <w:drawing>
          <wp:inline distT="0" distB="0" distL="0" distR="0" wp14:anchorId="08383F7A" wp14:editId="70E7DF65">
            <wp:extent cx="344805" cy="26733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r w:rsidR="00F93FD2">
        <w:t xml:space="preserve">  ».</w:t>
      </w:r>
    </w:p>
    <w:p w:rsidR="00894A65" w:rsidRPr="00F93FD2" w:rsidRDefault="00894A65" w:rsidP="00E9204F">
      <w:pPr>
        <w:pStyle w:val="SingleTxtG"/>
      </w:pPr>
      <w:r w:rsidRPr="00F93FD2">
        <w:rPr>
          <w:i/>
          <w:iCs/>
        </w:rPr>
        <w:t>Paragraphe 6.1.3.3</w:t>
      </w:r>
      <w:r w:rsidRPr="00F93FD2">
        <w:t>, lire</w:t>
      </w:r>
      <w:r w:rsidR="00E9204F">
        <w:t> </w:t>
      </w:r>
      <w:r w:rsidRPr="00F93FD2">
        <w:t>:</w:t>
      </w:r>
    </w:p>
    <w:p w:rsidR="00E9204F" w:rsidRDefault="00E9204F" w:rsidP="00E9204F">
      <w:pPr>
        <w:pStyle w:val="SingleTxtG"/>
        <w:ind w:left="2268" w:hanging="1134"/>
        <w:rPr>
          <w:szCs w:val="24"/>
        </w:rPr>
      </w:pPr>
      <w:r>
        <w:t>« 6.1.3.3</w:t>
      </w:r>
      <w:r w:rsidR="00894A65" w:rsidRPr="00F93FD2">
        <w:tab/>
      </w:r>
      <w:r w:rsidR="00894A65" w:rsidRPr="00F93FD2">
        <w:rPr>
          <w:szCs w:val="24"/>
        </w:rPr>
        <w:t xml:space="preserve">Pour les </w:t>
      </w:r>
      <w:r w:rsidR="00894A65" w:rsidRPr="00F93FD2">
        <w:rPr>
          <w:b/>
          <w:szCs w:val="24"/>
        </w:rPr>
        <w:t>sièges rehausseurs</w:t>
      </w:r>
      <w:r w:rsidR="00894A65" w:rsidRPr="00F93FD2">
        <w:rPr>
          <w:szCs w:val="24"/>
        </w:rPr>
        <w:t xml:space="preserve"> </w:t>
      </w:r>
      <w:r w:rsidR="00894A65" w:rsidRPr="00F93FD2">
        <w:rPr>
          <w:strike/>
          <w:szCs w:val="24"/>
        </w:rPr>
        <w:t>dispositifs améliorés de retenue pour enfants</w:t>
      </w:r>
      <w:r w:rsidR="00894A65" w:rsidRPr="00F93FD2">
        <w:rPr>
          <w:szCs w:val="24"/>
        </w:rPr>
        <w:t xml:space="preserve"> </w:t>
      </w:r>
      <w:r w:rsidR="00894A65" w:rsidRPr="00F93FD2">
        <w:rPr>
          <w:strike/>
          <w:szCs w:val="24"/>
        </w:rPr>
        <w:t>de classe non intégrale,</w:t>
      </w:r>
      <w:r w:rsidR="00894A65" w:rsidRPr="00F93FD2">
        <w:rPr>
          <w:szCs w:val="24"/>
        </w:rPr>
        <w:t xml:space="preserve"> l’homologation de type ne doit pas être accordée pour l’utilisation avec des enfants d’une taille inférieure à 100 cm</w:t>
      </w:r>
      <w:r w:rsidR="00894A65" w:rsidRPr="001F4E67">
        <w:rPr>
          <w:szCs w:val="24"/>
        </w:rPr>
        <w:t xml:space="preserve">. </w:t>
      </w:r>
      <w:r w:rsidR="00894A65" w:rsidRPr="006D1BDA">
        <w:rPr>
          <w:szCs w:val="24"/>
        </w:rPr>
        <w:t xml:space="preserve">Les </w:t>
      </w:r>
      <w:r w:rsidR="00894A65" w:rsidRPr="006D1BDA">
        <w:rPr>
          <w:b/>
          <w:szCs w:val="24"/>
        </w:rPr>
        <w:t>sièges rehausseurs</w:t>
      </w:r>
      <w:r w:rsidR="00894A65">
        <w:rPr>
          <w:szCs w:val="24"/>
        </w:rPr>
        <w:t xml:space="preserve"> </w:t>
      </w:r>
      <w:r w:rsidR="00894A65" w:rsidRPr="001F4E67">
        <w:rPr>
          <w:strike/>
          <w:szCs w:val="24"/>
        </w:rPr>
        <w:t>dispositifs améliorés de retenue pour enfants</w:t>
      </w:r>
      <w:r w:rsidR="00894A65" w:rsidRPr="001F4E67">
        <w:rPr>
          <w:szCs w:val="24"/>
        </w:rPr>
        <w:t xml:space="preserve"> </w:t>
      </w:r>
      <w:r w:rsidR="00894A65" w:rsidRPr="001F4E67">
        <w:rPr>
          <w:strike/>
          <w:szCs w:val="24"/>
        </w:rPr>
        <w:t>de classe non intégrale</w:t>
      </w:r>
      <w:r w:rsidR="00894A65" w:rsidRPr="001F4E67">
        <w:rPr>
          <w:szCs w:val="24"/>
        </w:rPr>
        <w:t xml:space="preserve"> ne doivent pas être déclarés pour l</w:t>
      </w:r>
      <w:r w:rsidR="00894A65">
        <w:rPr>
          <w:szCs w:val="24"/>
        </w:rPr>
        <w:t>’</w:t>
      </w:r>
      <w:r w:rsidR="00894A65" w:rsidRPr="001F4E67">
        <w:rPr>
          <w:szCs w:val="24"/>
        </w:rPr>
        <w:t>utilisation avec des enfants d</w:t>
      </w:r>
      <w:r w:rsidR="00894A65">
        <w:rPr>
          <w:szCs w:val="24"/>
        </w:rPr>
        <w:t>’</w:t>
      </w:r>
      <w:r w:rsidR="00894A65" w:rsidRPr="001F4E67">
        <w:rPr>
          <w:szCs w:val="24"/>
        </w:rPr>
        <w:t>une taille inférieure à 100 cm.</w:t>
      </w:r>
      <w:r w:rsidR="00894A65">
        <w:rPr>
          <w:szCs w:val="24"/>
        </w:rPr>
        <w:t xml:space="preserve"> </w:t>
      </w:r>
    </w:p>
    <w:p w:rsidR="00894A65" w:rsidRPr="001F4E67" w:rsidRDefault="00894A65" w:rsidP="00E9204F">
      <w:pPr>
        <w:pStyle w:val="SingleTxtG"/>
        <w:ind w:left="2268"/>
        <w:rPr>
          <w:szCs w:val="24"/>
        </w:rPr>
      </w:pPr>
      <w:r w:rsidRPr="001F4E67">
        <w:rPr>
          <w:szCs w:val="24"/>
        </w:rPr>
        <w:t xml:space="preserve">Les </w:t>
      </w:r>
      <w:r w:rsidRPr="006D1BDA">
        <w:rPr>
          <w:b/>
          <w:szCs w:val="24"/>
        </w:rPr>
        <w:t>sièges rehausseurs</w:t>
      </w:r>
      <w:r>
        <w:rPr>
          <w:szCs w:val="24"/>
        </w:rPr>
        <w:t xml:space="preserve"> </w:t>
      </w:r>
      <w:r w:rsidRPr="001F4E67">
        <w:rPr>
          <w:strike/>
          <w:szCs w:val="24"/>
        </w:rPr>
        <w:t>dispositifs améliorés de retenue pour enfants de classe non intégrale</w:t>
      </w:r>
      <w:r w:rsidRPr="001F4E67">
        <w:rPr>
          <w:szCs w:val="24"/>
        </w:rPr>
        <w:t xml:space="preserve"> ne doivent pas être homologués pour des enfants dont la taille ne dépasse pas 105 cm. </w:t>
      </w:r>
    </w:p>
    <w:p w:rsidR="00894A65" w:rsidRPr="001F4E67" w:rsidRDefault="00894A65" w:rsidP="00E9204F">
      <w:pPr>
        <w:pStyle w:val="SingleTxtG"/>
        <w:ind w:left="2268"/>
      </w:pPr>
      <w:r w:rsidRPr="001F4E67">
        <w:rPr>
          <w:spacing w:val="-2"/>
          <w:szCs w:val="24"/>
        </w:rPr>
        <w:t>Les sièges rehausseurs doivent assurer la protection latérale de l</w:t>
      </w:r>
      <w:r>
        <w:rPr>
          <w:spacing w:val="-2"/>
          <w:szCs w:val="24"/>
        </w:rPr>
        <w:t>’</w:t>
      </w:r>
      <w:r w:rsidRPr="001F4E67">
        <w:rPr>
          <w:spacing w:val="-2"/>
          <w:szCs w:val="24"/>
        </w:rPr>
        <w:t>enfant comme il est spécifié au paragraphe</w:t>
      </w:r>
      <w:r w:rsidR="003774DD">
        <w:rPr>
          <w:spacing w:val="-2"/>
          <w:szCs w:val="24"/>
        </w:rPr>
        <w:t> </w:t>
      </w:r>
      <w:r w:rsidRPr="001F4E67">
        <w:rPr>
          <w:spacing w:val="-2"/>
          <w:szCs w:val="24"/>
        </w:rPr>
        <w:t>7.1.3.1.3, jusqu</w:t>
      </w:r>
      <w:r>
        <w:rPr>
          <w:spacing w:val="-2"/>
          <w:szCs w:val="24"/>
        </w:rPr>
        <w:t>’</w:t>
      </w:r>
      <w:r w:rsidRPr="001F4E67">
        <w:rPr>
          <w:spacing w:val="-2"/>
          <w:szCs w:val="24"/>
        </w:rPr>
        <w:t>à une taille de 135 cm</w:t>
      </w:r>
      <w:r w:rsidRPr="001F4E67">
        <w:rPr>
          <w:szCs w:val="24"/>
        </w:rPr>
        <w:t>.</w:t>
      </w:r>
      <w:r w:rsidR="00E9204F">
        <w:rPr>
          <w:szCs w:val="24"/>
        </w:rPr>
        <w:t> ».</w:t>
      </w:r>
    </w:p>
    <w:p w:rsidR="00894A65" w:rsidRPr="00C91D34" w:rsidRDefault="00894A65" w:rsidP="00E9204F">
      <w:pPr>
        <w:pStyle w:val="SingleTxtG"/>
      </w:pPr>
      <w:r w:rsidRPr="00C91D34">
        <w:rPr>
          <w:i/>
          <w:iCs/>
        </w:rPr>
        <w:t>Paragraphe 6.3.2.1</w:t>
      </w:r>
      <w:r w:rsidRPr="00C91D34">
        <w:t>, lire</w:t>
      </w:r>
      <w:r w:rsidR="00E9204F">
        <w:t> </w:t>
      </w:r>
      <w:r w:rsidRPr="00C91D34">
        <w:t>:</w:t>
      </w:r>
    </w:p>
    <w:p w:rsidR="00894A65" w:rsidRPr="006D1BDA" w:rsidRDefault="00E9204F" w:rsidP="00E9204F">
      <w:pPr>
        <w:pStyle w:val="SingleTxtG"/>
        <w:ind w:left="2268" w:hanging="1134"/>
        <w:rPr>
          <w:color w:val="000000" w:themeColor="text1"/>
        </w:rPr>
      </w:pPr>
      <w:r>
        <w:rPr>
          <w:color w:val="000000" w:themeColor="text1"/>
        </w:rPr>
        <w:t>« 6.3.2.1</w:t>
      </w:r>
      <w:r w:rsidR="00894A65" w:rsidRPr="00C91D34">
        <w:rPr>
          <w:color w:val="000000" w:themeColor="text1"/>
        </w:rPr>
        <w:tab/>
      </w:r>
      <w:r w:rsidR="00894A65" w:rsidRPr="006D1BDA">
        <w:rPr>
          <w:color w:val="000000" w:themeColor="text1"/>
        </w:rPr>
        <w:t>Dimensions intérieures</w:t>
      </w:r>
    </w:p>
    <w:p w:rsidR="00894A65" w:rsidRDefault="00894A65" w:rsidP="001F6555">
      <w:pPr>
        <w:pStyle w:val="SingleTxtG"/>
        <w:ind w:left="2268"/>
        <w:rPr>
          <w:color w:val="000000" w:themeColor="text1"/>
        </w:rPr>
      </w:pPr>
      <w:r>
        <w:rPr>
          <w:color w:val="000000" w:themeColor="text1"/>
        </w:rPr>
        <w:tab/>
      </w:r>
      <w:r w:rsidRPr="006D1BDA">
        <w:rPr>
          <w:color w:val="000000" w:themeColor="text1"/>
        </w:rPr>
        <w:t>Les services techniques chargés des essais d</w:t>
      </w:r>
      <w:r>
        <w:rPr>
          <w:color w:val="000000" w:themeColor="text1"/>
        </w:rPr>
        <w:t>’</w:t>
      </w:r>
      <w:r w:rsidRPr="006D1BDA">
        <w:rPr>
          <w:color w:val="000000" w:themeColor="text1"/>
        </w:rPr>
        <w:t>homologation doivent vérifier que les dimensions internes des dispositifs de retenue pour enfants satisfont aux prescriptions de l</w:t>
      </w:r>
      <w:r>
        <w:rPr>
          <w:color w:val="000000" w:themeColor="text1"/>
        </w:rPr>
        <w:t>’</w:t>
      </w:r>
      <w:r w:rsidRPr="006D1BDA">
        <w:rPr>
          <w:color w:val="000000" w:themeColor="text1"/>
        </w:rPr>
        <w:t>annexe</w:t>
      </w:r>
      <w:r w:rsidR="003774DD">
        <w:rPr>
          <w:color w:val="000000" w:themeColor="text1"/>
        </w:rPr>
        <w:t> </w:t>
      </w:r>
      <w:r w:rsidRPr="006D1BDA">
        <w:rPr>
          <w:color w:val="000000" w:themeColor="text1"/>
        </w:rPr>
        <w:t>18. Les dimensions minimales concernant la largeur aux épaules, la largeur aux hanches et la hauteur en position assise doivent être respectées simultanément pour toutes les tailles comprises dans la gamme déclarée par le fabricant.</w:t>
      </w:r>
    </w:p>
    <w:p w:rsidR="00894A65" w:rsidRDefault="00894A65" w:rsidP="001F6555">
      <w:pPr>
        <w:pStyle w:val="SingleTxtG"/>
        <w:ind w:left="2268"/>
        <w:rPr>
          <w:color w:val="000000" w:themeColor="text1"/>
        </w:rPr>
      </w:pPr>
      <w:r>
        <w:rPr>
          <w:color w:val="000000" w:themeColor="text1"/>
        </w:rPr>
        <w:tab/>
        <w:t>…</w:t>
      </w:r>
      <w:r w:rsidRPr="006D1BDA">
        <w:rPr>
          <w:color w:val="000000" w:themeColor="text1"/>
        </w:rPr>
        <w:t xml:space="preserve"> </w:t>
      </w:r>
    </w:p>
    <w:p w:rsidR="00894A65" w:rsidRPr="006D1BDA" w:rsidRDefault="00894A65" w:rsidP="001F6555">
      <w:pPr>
        <w:pStyle w:val="SingleTxtG"/>
        <w:ind w:left="2268"/>
        <w:rPr>
          <w:color w:val="000000" w:themeColor="text1"/>
        </w:rPr>
      </w:pPr>
      <w:r>
        <w:rPr>
          <w:color w:val="000000" w:themeColor="text1"/>
        </w:rPr>
        <w:tab/>
      </w:r>
      <w:r w:rsidRPr="006D1BDA">
        <w:rPr>
          <w:color w:val="000000" w:themeColor="text1"/>
        </w:rPr>
        <w:t>Les</w:t>
      </w:r>
      <w:r>
        <w:rPr>
          <w:color w:val="000000" w:themeColor="text1"/>
        </w:rPr>
        <w:t xml:space="preserve"> </w:t>
      </w:r>
      <w:r w:rsidRPr="00B5623C">
        <w:rPr>
          <w:b/>
          <w:color w:val="000000" w:themeColor="text1"/>
        </w:rPr>
        <w:t>sièges rehausseurs</w:t>
      </w:r>
      <w:r w:rsidRPr="006D1BDA">
        <w:rPr>
          <w:color w:val="000000" w:themeColor="text1"/>
        </w:rPr>
        <w:t xml:space="preserve"> </w:t>
      </w:r>
      <w:r w:rsidRPr="00B5623C">
        <w:rPr>
          <w:strike/>
          <w:color w:val="000000" w:themeColor="text1"/>
        </w:rPr>
        <w:t>dispositifs améliorés de retenue pour enfants de classe non intégrale</w:t>
      </w:r>
      <w:r w:rsidRPr="006D1BDA">
        <w:rPr>
          <w:color w:val="000000" w:themeColor="text1"/>
        </w:rPr>
        <w:t xml:space="preserve"> doivent aussi respecter les dimensions minimale et maximale de la hauteur des épaules, pour toutes les tailles comprises dans la gamme déclarée par le </w:t>
      </w:r>
      <w:r w:rsidRPr="003774DD">
        <w:rPr>
          <w:color w:val="000000" w:themeColor="text1"/>
        </w:rPr>
        <w:t>fabrican</w:t>
      </w:r>
      <w:r w:rsidR="003774DD">
        <w:rPr>
          <w:color w:val="000000" w:themeColor="text1"/>
        </w:rPr>
        <w:t>t. »</w:t>
      </w:r>
      <w:r w:rsidRPr="003774DD">
        <w:rPr>
          <w:color w:val="000000" w:themeColor="text1"/>
        </w:rPr>
        <w:t>.</w:t>
      </w:r>
    </w:p>
    <w:p w:rsidR="00894A65" w:rsidRPr="00C91D34" w:rsidRDefault="00894A65" w:rsidP="003774DD">
      <w:pPr>
        <w:pStyle w:val="SingleTxtG"/>
        <w:rPr>
          <w:iCs/>
        </w:rPr>
      </w:pPr>
      <w:r w:rsidRPr="00C91D34">
        <w:rPr>
          <w:i/>
        </w:rPr>
        <w:t>Paragraphe</w:t>
      </w:r>
      <w:r w:rsidR="003774DD">
        <w:rPr>
          <w:i/>
        </w:rPr>
        <w:t xml:space="preserve"> 6.3.2.2.2</w:t>
      </w:r>
      <w:r w:rsidRPr="003774DD">
        <w:t>,</w:t>
      </w:r>
      <w:r w:rsidRPr="00C91D34">
        <w:rPr>
          <w:i/>
        </w:rPr>
        <w:t xml:space="preserve"> </w:t>
      </w:r>
      <w:r w:rsidRPr="00C91D34">
        <w:rPr>
          <w:iCs/>
        </w:rPr>
        <w:t>lire</w:t>
      </w:r>
      <w:r w:rsidR="003774DD">
        <w:rPr>
          <w:iCs/>
        </w:rPr>
        <w:t> </w:t>
      </w:r>
      <w:r w:rsidRPr="00C91D34">
        <w:rPr>
          <w:iCs/>
        </w:rPr>
        <w:t>:</w:t>
      </w:r>
    </w:p>
    <w:p w:rsidR="00894A65" w:rsidRPr="00B5623C" w:rsidRDefault="003774DD" w:rsidP="003774DD">
      <w:pPr>
        <w:pStyle w:val="SingleTxtG"/>
        <w:ind w:left="2268" w:hanging="1134"/>
      </w:pPr>
      <w:r>
        <w:t>« 6.3.2.2.2</w:t>
      </w:r>
      <w:r w:rsidR="00894A65" w:rsidRPr="00C91D34">
        <w:tab/>
      </w:r>
      <w:r w:rsidR="00894A65" w:rsidRPr="00B5623C">
        <w:t>Dispositifs améliorés de retenue pour enfants de classe non intégrale</w:t>
      </w:r>
    </w:p>
    <w:p w:rsidR="00894A65" w:rsidRPr="00C91D34" w:rsidRDefault="00894A65" w:rsidP="001F6555">
      <w:pPr>
        <w:pStyle w:val="SingleTxtG"/>
        <w:ind w:left="2268"/>
      </w:pPr>
      <w:r w:rsidRPr="00C91D34">
        <w:t>…</w:t>
      </w:r>
    </w:p>
    <w:p w:rsidR="002F16E0" w:rsidRDefault="00894A65" w:rsidP="001F6555">
      <w:pPr>
        <w:pStyle w:val="SingleTxtG"/>
        <w:ind w:left="2268"/>
      </w:pPr>
      <w:r w:rsidRPr="00B5623C">
        <w:t xml:space="preserve">Lors de cette vérification, le </w:t>
      </w:r>
      <w:r w:rsidRPr="00B5623C">
        <w:rPr>
          <w:b/>
        </w:rPr>
        <w:t>siège rehausseur</w:t>
      </w:r>
      <w:r>
        <w:t xml:space="preserve"> </w:t>
      </w:r>
      <w:r w:rsidRPr="00B5623C">
        <w:rPr>
          <w:strike/>
        </w:rPr>
        <w:t>dispositif amélioré de retenue pour enfants non intégral</w:t>
      </w:r>
      <w:r w:rsidRPr="00B5623C">
        <w:t xml:space="preserve"> doit être réglé pour des enfants mesurant 135 cm (hauteur, dimensions en profondeur et largeur définies à l</w:t>
      </w:r>
      <w:r>
        <w:t>’</w:t>
      </w:r>
      <w:r w:rsidRPr="00B5623C">
        <w:t>annexe 18) ou au maximum de sa gamme de tailles déclarée si la limite supérieure est inférieure à 135</w:t>
      </w:r>
      <w:r w:rsidR="003774DD">
        <w:t> </w:t>
      </w:r>
      <w:r w:rsidRPr="00B5623C">
        <w:t>cm.</w:t>
      </w:r>
      <w:r w:rsidR="003774DD">
        <w:t xml:space="preserve"> </w:t>
      </w:r>
    </w:p>
    <w:p w:rsidR="00894A65" w:rsidRPr="008E4939" w:rsidRDefault="00894A65" w:rsidP="001F6555">
      <w:pPr>
        <w:pStyle w:val="SingleTxtG"/>
        <w:ind w:left="2268"/>
        <w:rPr>
          <w:color w:val="000000" w:themeColor="text1"/>
        </w:rPr>
      </w:pPr>
      <w:r w:rsidRPr="008E4939">
        <w:rPr>
          <w:color w:val="000000" w:themeColor="text1"/>
        </w:rPr>
        <w:t>Le</w:t>
      </w:r>
      <w:r>
        <w:rPr>
          <w:color w:val="000000" w:themeColor="text1"/>
        </w:rPr>
        <w:t xml:space="preserve"> </w:t>
      </w:r>
      <w:r w:rsidRPr="008E1C3D">
        <w:rPr>
          <w:b/>
          <w:color w:val="000000" w:themeColor="text1"/>
        </w:rPr>
        <w:t>siège rehausseur</w:t>
      </w:r>
      <w:r w:rsidRPr="008E4939">
        <w:rPr>
          <w:color w:val="000000" w:themeColor="text1"/>
        </w:rPr>
        <w:t xml:space="preserve"> </w:t>
      </w:r>
      <w:r w:rsidRPr="008E4939">
        <w:rPr>
          <w:strike/>
          <w:color w:val="000000" w:themeColor="text1"/>
        </w:rPr>
        <w:t>dispositif amélioré de retenue pour enfants non intégral</w:t>
      </w:r>
      <w:r w:rsidRPr="008E4939">
        <w:rPr>
          <w:color w:val="000000" w:themeColor="text1"/>
        </w:rPr>
        <w:t xml:space="preserve"> doit être installé convenablement dans le gabarit du rehausseur dans tous les angles d</w:t>
      </w:r>
      <w:r>
        <w:rPr>
          <w:color w:val="000000" w:themeColor="text1"/>
        </w:rPr>
        <w:t>’</w:t>
      </w:r>
      <w:r w:rsidRPr="008E4939">
        <w:rPr>
          <w:color w:val="000000" w:themeColor="text1"/>
        </w:rPr>
        <w:t>inclinaison du gabarit (90°-110°). Le</w:t>
      </w:r>
      <w:r w:rsidR="003774DD">
        <w:rPr>
          <w:color w:val="000000" w:themeColor="text1"/>
        </w:rPr>
        <w:t> </w:t>
      </w:r>
      <w:r w:rsidRPr="008E4939">
        <w:rPr>
          <w:color w:val="000000" w:themeColor="text1"/>
        </w:rPr>
        <w:t>dispositif peut être réglé dans un angle d</w:t>
      </w:r>
      <w:r>
        <w:rPr>
          <w:color w:val="000000" w:themeColor="text1"/>
        </w:rPr>
        <w:t>’</w:t>
      </w:r>
      <w:r w:rsidRPr="008E4939">
        <w:rPr>
          <w:color w:val="000000" w:themeColor="text1"/>
        </w:rPr>
        <w:t>inclinaison ou une position lui permettant d</w:t>
      </w:r>
      <w:r>
        <w:rPr>
          <w:color w:val="000000" w:themeColor="text1"/>
        </w:rPr>
        <w:t>’</w:t>
      </w:r>
      <w:r w:rsidRPr="008E4939">
        <w:rPr>
          <w:color w:val="000000" w:themeColor="text1"/>
        </w:rPr>
        <w:t>être installé comme il se doit suivant les différents angles du gabarit du rehausseur.</w:t>
      </w:r>
    </w:p>
    <w:p w:rsidR="00894A65" w:rsidRPr="008E4939" w:rsidRDefault="00894A65" w:rsidP="003774DD">
      <w:pPr>
        <w:pStyle w:val="SingleTxtG"/>
        <w:ind w:left="2268"/>
      </w:pPr>
      <w:r w:rsidRPr="008E4939">
        <w:lastRenderedPageBreak/>
        <w:t>Si d</w:t>
      </w:r>
      <w:r>
        <w:t>’</w:t>
      </w:r>
      <w:r w:rsidRPr="008E4939">
        <w:t>autres inclinaisons possibles sortent des limites de l</w:t>
      </w:r>
      <w:r>
        <w:t>’</w:t>
      </w:r>
      <w:r w:rsidRPr="008E4939">
        <w:t>enveloppe applicable, le fabricant doit indiquer dans le manuel de l</w:t>
      </w:r>
      <w:r>
        <w:t>’</w:t>
      </w:r>
      <w:r w:rsidRPr="008E4939">
        <w:t>utilisateur que lorsqu</w:t>
      </w:r>
      <w:r>
        <w:t>’</w:t>
      </w:r>
      <w:r w:rsidRPr="008E4939">
        <w:t>il est utilisé dans l</w:t>
      </w:r>
      <w:r>
        <w:t>’</w:t>
      </w:r>
      <w:r w:rsidRPr="008E4939">
        <w:t>une de ces configurations, le dispositif peut ne pas s</w:t>
      </w:r>
      <w:r>
        <w:t>’</w:t>
      </w:r>
      <w:r w:rsidRPr="008E4939">
        <w:t xml:space="preserve">adapter dans tous les véhicules homologués. Si la limite vers le haut de la gamme de tailles déclarée du </w:t>
      </w:r>
      <w:r w:rsidRPr="008E1C3D">
        <w:rPr>
          <w:b/>
        </w:rPr>
        <w:t>siège rehausseur</w:t>
      </w:r>
      <w:r>
        <w:t xml:space="preserve"> </w:t>
      </w:r>
      <w:r w:rsidRPr="008E4939">
        <w:rPr>
          <w:strike/>
        </w:rPr>
        <w:t>dispositif amélioré de retenue pour enfants de classe non intégrale</w:t>
      </w:r>
      <w:r w:rsidRPr="008E4939">
        <w:t xml:space="preserve"> est supérieure à 135</w:t>
      </w:r>
      <w:r w:rsidR="003774DD">
        <w:t> </w:t>
      </w:r>
      <w:r w:rsidRPr="008E4939">
        <w:t>cm et si les réglages correspondants (dimensions en hauteur, profondeur et largeur) sortent des limites de l</w:t>
      </w:r>
      <w:r>
        <w:t>’</w:t>
      </w:r>
      <w:r w:rsidRPr="008E4939">
        <w:t>enveloppe pertinente, le fabricant doit alors indiquer dans le manuel de l</w:t>
      </w:r>
      <w:r>
        <w:t>’</w:t>
      </w:r>
      <w:r w:rsidRPr="008E4939">
        <w:t>utilisateur que lorsqu</w:t>
      </w:r>
      <w:r>
        <w:t>’</w:t>
      </w:r>
      <w:r w:rsidRPr="008E4939">
        <w:t>il est utilisé dans l</w:t>
      </w:r>
      <w:r>
        <w:t>’</w:t>
      </w:r>
      <w:r w:rsidRPr="008E4939">
        <w:t>une de ces configurations, le dispositif peut ne pas s</w:t>
      </w:r>
      <w:r>
        <w:t>’</w:t>
      </w:r>
      <w:r w:rsidRPr="008E4939">
        <w:t>adapter dans tous les véhicules homologués.</w:t>
      </w:r>
      <w:r w:rsidR="003774DD">
        <w:t> ».</w:t>
      </w:r>
    </w:p>
    <w:p w:rsidR="00894A65" w:rsidRPr="00C91D34" w:rsidRDefault="00894A65" w:rsidP="003774DD">
      <w:pPr>
        <w:pStyle w:val="SingleTxtG"/>
        <w:rPr>
          <w:i/>
        </w:rPr>
      </w:pPr>
      <w:r w:rsidRPr="00C91D34">
        <w:rPr>
          <w:i/>
        </w:rPr>
        <w:t>Paragraphe 6.6.4.1.2.2</w:t>
      </w:r>
      <w:r w:rsidRPr="00C91D34">
        <w:rPr>
          <w:iCs/>
        </w:rPr>
        <w:t>, lire</w:t>
      </w:r>
      <w:r w:rsidR="003774DD">
        <w:rPr>
          <w:iCs/>
        </w:rPr>
        <w:t> </w:t>
      </w:r>
      <w:r w:rsidRPr="00C91D34">
        <w:rPr>
          <w:iCs/>
        </w:rPr>
        <w:t>:</w:t>
      </w:r>
    </w:p>
    <w:p w:rsidR="00894A65" w:rsidRPr="008E4939" w:rsidRDefault="003774DD" w:rsidP="003774DD">
      <w:pPr>
        <w:pStyle w:val="SingleTxtG"/>
        <w:ind w:left="2268" w:hanging="1134"/>
      </w:pPr>
      <w:r>
        <w:t>« 6.6.4.1.2.2</w:t>
      </w:r>
      <w:r w:rsidR="00894A65" w:rsidRPr="00C91D34">
        <w:tab/>
      </w:r>
      <w:r w:rsidR="00894A65" w:rsidRPr="008E4939">
        <w:t>S</w:t>
      </w:r>
      <w:r w:rsidR="00894A65">
        <w:t>’</w:t>
      </w:r>
      <w:r w:rsidR="00894A65" w:rsidRPr="008E4939">
        <w:t>agissant des dispositifs améliorés de retenue pour enfants qui sont conformes aux dispositions du paragraphe</w:t>
      </w:r>
      <w:r>
        <w:t> </w:t>
      </w:r>
      <w:r w:rsidR="00894A65" w:rsidRPr="008E4939">
        <w:t>6.3 du présent Règlement (par</w:t>
      </w:r>
      <w:r w:rsidR="002F16E0">
        <w:t> </w:t>
      </w:r>
      <w:r w:rsidR="00894A65" w:rsidRPr="008E4939">
        <w:t>exemple, les dispositifs améliorés de retenue pour enfants non équipés d</w:t>
      </w:r>
      <w:r w:rsidR="00894A65">
        <w:t>’</w:t>
      </w:r>
      <w:r w:rsidR="00894A65" w:rsidRPr="008E4939">
        <w:t xml:space="preserve">un système </w:t>
      </w:r>
      <w:proofErr w:type="spellStart"/>
      <w:r w:rsidR="00894A65" w:rsidRPr="008E4939">
        <w:t>antirotation</w:t>
      </w:r>
      <w:proofErr w:type="spellEnd"/>
      <w:r w:rsidR="00894A65" w:rsidRPr="008E4939">
        <w:t xml:space="preserve"> ou pourvus d</w:t>
      </w:r>
      <w:r w:rsidR="00894A65">
        <w:t>’</w:t>
      </w:r>
      <w:r w:rsidR="00894A65" w:rsidRPr="008E4939">
        <w:t>ancrages supplémentaires) ou qui n</w:t>
      </w:r>
      <w:r w:rsidR="00894A65">
        <w:t>’</w:t>
      </w:r>
      <w:r w:rsidR="00894A65" w:rsidRPr="008E4939">
        <w:t>entrent dans aucune enveloppe définie à l</w:t>
      </w:r>
      <w:r w:rsidR="00894A65">
        <w:t>’</w:t>
      </w:r>
      <w:r w:rsidR="00894A65" w:rsidRPr="008E4939">
        <w:t>appendice</w:t>
      </w:r>
      <w:r>
        <w:t> </w:t>
      </w:r>
      <w:r w:rsidR="00894A65" w:rsidRPr="008E4939">
        <w:t xml:space="preserve">2 </w:t>
      </w:r>
      <w:r w:rsidR="00894A65" w:rsidRPr="008E4939">
        <w:rPr>
          <w:b/>
        </w:rPr>
        <w:t>ou à l</w:t>
      </w:r>
      <w:r w:rsidR="00894A65">
        <w:rPr>
          <w:b/>
        </w:rPr>
        <w:t>’</w:t>
      </w:r>
      <w:r w:rsidR="00894A65" w:rsidRPr="008E4939">
        <w:rPr>
          <w:b/>
        </w:rPr>
        <w:t>appendice</w:t>
      </w:r>
      <w:r>
        <w:rPr>
          <w:b/>
        </w:rPr>
        <w:t> </w:t>
      </w:r>
      <w:r w:rsidR="00894A65" w:rsidRPr="008E4939">
        <w:rPr>
          <w:b/>
        </w:rPr>
        <w:t>5</w:t>
      </w:r>
      <w:r w:rsidR="00894A65">
        <w:t xml:space="preserve"> </w:t>
      </w:r>
      <w:r w:rsidR="00894A65" w:rsidRPr="008E4939">
        <w:t>de l</w:t>
      </w:r>
      <w:r w:rsidR="00894A65">
        <w:t>’</w:t>
      </w:r>
      <w:r w:rsidR="00894A65" w:rsidRPr="008E4939">
        <w:t>annexe</w:t>
      </w:r>
      <w:r>
        <w:t> </w:t>
      </w:r>
      <w:r w:rsidR="00894A65" w:rsidRPr="008E4939">
        <w:t>17 du Règlement n</w:t>
      </w:r>
      <w:r w:rsidR="00894A65" w:rsidRPr="003774DD">
        <w:rPr>
          <w:vertAlign w:val="superscript"/>
        </w:rPr>
        <w:t>o</w:t>
      </w:r>
      <w:r>
        <w:t> </w:t>
      </w:r>
      <w:r w:rsidR="00894A65" w:rsidRPr="008E4939">
        <w:t>16, dans une carrosserie de véhicule montée sur le chariot d</w:t>
      </w:r>
      <w:r w:rsidR="00894A65">
        <w:t>’</w:t>
      </w:r>
      <w:r w:rsidR="00894A65" w:rsidRPr="008E4939">
        <w:t>essai, conformément au paragraphe</w:t>
      </w:r>
      <w:r>
        <w:t> </w:t>
      </w:r>
      <w:r w:rsidR="00894A65" w:rsidRPr="008E4939">
        <w:t>7.1.3.2 du présent Règlement ou dans un véhicule complet, conformément au paragraphe</w:t>
      </w:r>
      <w:r>
        <w:t> </w:t>
      </w:r>
      <w:r w:rsidR="00894A65" w:rsidRPr="008E4939">
        <w:t>7.1.3.3 du présent Règlement.</w:t>
      </w:r>
      <w:r>
        <w:t> ».</w:t>
      </w:r>
    </w:p>
    <w:p w:rsidR="00894A65" w:rsidRPr="00C91D34" w:rsidRDefault="00894A65" w:rsidP="003774DD">
      <w:pPr>
        <w:pStyle w:val="HChG"/>
        <w:rPr>
          <w:sz w:val="24"/>
        </w:rPr>
      </w:pPr>
      <w:r w:rsidRPr="008E4939">
        <w:tab/>
      </w:r>
      <w:r w:rsidR="00814578">
        <w:t>II.</w:t>
      </w:r>
      <w:r w:rsidR="00814578">
        <w:tab/>
        <w:t>Justification</w:t>
      </w:r>
    </w:p>
    <w:p w:rsidR="00894A65" w:rsidRDefault="00894A65" w:rsidP="003774DD">
      <w:pPr>
        <w:pStyle w:val="SingleTxtG"/>
        <w:ind w:firstLine="567"/>
      </w:pPr>
      <w:r>
        <w:t>Cette</w:t>
      </w:r>
      <w:r w:rsidRPr="00C44377">
        <w:t xml:space="preserve"> proposition vise à préciser les </w:t>
      </w:r>
      <w:r>
        <w:t>prescriptions relatives aux</w:t>
      </w:r>
      <w:r w:rsidRPr="00C44377">
        <w:t xml:space="preserve"> sièges rehausseurs </w:t>
      </w:r>
      <w:r w:rsidRPr="003774DD">
        <w:t>de</w:t>
      </w:r>
      <w:r w:rsidRPr="00C44377">
        <w:t xml:space="preserve"> la série 02 d</w:t>
      </w:r>
      <w:r>
        <w:t>’</w:t>
      </w:r>
      <w:r w:rsidRPr="00C44377">
        <w:t>amendements au Règlement ONU n</w:t>
      </w:r>
      <w:r w:rsidRPr="00C44377">
        <w:rPr>
          <w:vertAlign w:val="superscript"/>
        </w:rPr>
        <w:t>o</w:t>
      </w:r>
      <w:r w:rsidR="003774DD">
        <w:t> </w:t>
      </w:r>
      <w:r w:rsidRPr="00C44377">
        <w:t>129, afin d</w:t>
      </w:r>
      <w:r>
        <w:t>’</w:t>
      </w:r>
      <w:r w:rsidRPr="00C44377">
        <w:t xml:space="preserve">éviter une confusion possible avec les dispositions définies </w:t>
      </w:r>
      <w:r>
        <w:t>pour les coussins rehausseurs dans la proposition de série</w:t>
      </w:r>
      <w:r w:rsidR="003774DD">
        <w:t> </w:t>
      </w:r>
      <w:r w:rsidRPr="00C44377">
        <w:t xml:space="preserve">04 </w:t>
      </w:r>
      <w:r>
        <w:t>d’</w:t>
      </w:r>
      <w:r w:rsidRPr="00C44377">
        <w:t>amend</w:t>
      </w:r>
      <w:r>
        <w:t>e</w:t>
      </w:r>
      <w:r w:rsidRPr="00C44377">
        <w:t xml:space="preserve">ments (ECE/TRANS/WP.29/GRSP/2018/29). </w:t>
      </w:r>
      <w:r w:rsidRPr="00C118F4">
        <w:t>En outre, un renvoi à un appendice du Règlement ONU n</w:t>
      </w:r>
      <w:r w:rsidRPr="00C118F4">
        <w:rPr>
          <w:vertAlign w:val="superscript"/>
        </w:rPr>
        <w:t>o</w:t>
      </w:r>
      <w:r w:rsidR="003774DD" w:rsidRPr="003774DD">
        <w:t> </w:t>
      </w:r>
      <w:r w:rsidRPr="00C118F4">
        <w:t xml:space="preserve">16 </w:t>
      </w:r>
      <w:r>
        <w:t xml:space="preserve">qui définit les enveloppes des </w:t>
      </w:r>
      <w:r w:rsidRPr="008E4939">
        <w:t xml:space="preserve">dispositifs améliorés de retenue pour enfants </w:t>
      </w:r>
      <w:r>
        <w:t>non intégraux, qui avait été omis, a été ajouté</w:t>
      </w:r>
      <w:r w:rsidRPr="00C118F4">
        <w:t xml:space="preserve">. </w:t>
      </w:r>
    </w:p>
    <w:p w:rsidR="003774DD" w:rsidRPr="003774DD" w:rsidRDefault="003774DD" w:rsidP="003774DD">
      <w:pPr>
        <w:pStyle w:val="SingleTxtG"/>
        <w:spacing w:before="240" w:after="0"/>
        <w:jc w:val="center"/>
        <w:rPr>
          <w:u w:val="single"/>
        </w:rPr>
      </w:pPr>
      <w:r>
        <w:rPr>
          <w:u w:val="single"/>
        </w:rPr>
        <w:tab/>
      </w:r>
      <w:r>
        <w:rPr>
          <w:u w:val="single"/>
        </w:rPr>
        <w:tab/>
      </w:r>
      <w:r>
        <w:rPr>
          <w:u w:val="single"/>
        </w:rPr>
        <w:tab/>
      </w:r>
    </w:p>
    <w:sectPr w:rsidR="003774DD" w:rsidRPr="003774DD" w:rsidSect="0012368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178" w:rsidRDefault="00D52178" w:rsidP="00F95C08">
      <w:pPr>
        <w:spacing w:line="240" w:lineRule="auto"/>
      </w:pPr>
    </w:p>
  </w:endnote>
  <w:endnote w:type="continuationSeparator" w:id="0">
    <w:p w:rsidR="00D52178" w:rsidRPr="00AC3823" w:rsidRDefault="00D52178" w:rsidP="00AC3823">
      <w:pPr>
        <w:pStyle w:val="Footer"/>
      </w:pPr>
    </w:p>
  </w:endnote>
  <w:endnote w:type="continuationNotice" w:id="1">
    <w:p w:rsidR="00D52178" w:rsidRDefault="00D521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8C" w:rsidRPr="0012368C" w:rsidRDefault="0012368C" w:rsidP="0012368C">
    <w:pPr>
      <w:pStyle w:val="Footer"/>
      <w:tabs>
        <w:tab w:val="right" w:pos="9638"/>
      </w:tabs>
    </w:pPr>
    <w:r w:rsidRPr="0012368C">
      <w:rPr>
        <w:b/>
        <w:sz w:val="18"/>
      </w:rPr>
      <w:fldChar w:fldCharType="begin"/>
    </w:r>
    <w:r w:rsidRPr="0012368C">
      <w:rPr>
        <w:b/>
        <w:sz w:val="18"/>
      </w:rPr>
      <w:instrText xml:space="preserve"> PAGE  \* MERGEFORMAT </w:instrText>
    </w:r>
    <w:r w:rsidRPr="0012368C">
      <w:rPr>
        <w:b/>
        <w:sz w:val="18"/>
      </w:rPr>
      <w:fldChar w:fldCharType="separate"/>
    </w:r>
    <w:r w:rsidR="00F90DBD">
      <w:rPr>
        <w:b/>
        <w:noProof/>
        <w:sz w:val="18"/>
      </w:rPr>
      <w:t>2</w:t>
    </w:r>
    <w:r w:rsidRPr="0012368C">
      <w:rPr>
        <w:b/>
        <w:sz w:val="18"/>
      </w:rPr>
      <w:fldChar w:fldCharType="end"/>
    </w:r>
    <w:r>
      <w:rPr>
        <w:b/>
        <w:sz w:val="18"/>
      </w:rPr>
      <w:tab/>
    </w:r>
    <w:r>
      <w:t>GE.18-15934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8C" w:rsidRPr="0012368C" w:rsidRDefault="0012368C" w:rsidP="0012368C">
    <w:pPr>
      <w:pStyle w:val="Footer"/>
      <w:tabs>
        <w:tab w:val="right" w:pos="9638"/>
      </w:tabs>
      <w:rPr>
        <w:b/>
        <w:sz w:val="18"/>
      </w:rPr>
    </w:pPr>
    <w:r>
      <w:t>GE.18-15934</w:t>
    </w:r>
    <w:r>
      <w:tab/>
    </w:r>
    <w:r w:rsidRPr="0012368C">
      <w:rPr>
        <w:b/>
        <w:sz w:val="18"/>
      </w:rPr>
      <w:fldChar w:fldCharType="begin"/>
    </w:r>
    <w:r w:rsidRPr="0012368C">
      <w:rPr>
        <w:b/>
        <w:sz w:val="18"/>
      </w:rPr>
      <w:instrText xml:space="preserve"> PAGE  \* MERGEFORMAT </w:instrText>
    </w:r>
    <w:r w:rsidRPr="0012368C">
      <w:rPr>
        <w:b/>
        <w:sz w:val="18"/>
      </w:rPr>
      <w:fldChar w:fldCharType="separate"/>
    </w:r>
    <w:r w:rsidR="00F90DBD">
      <w:rPr>
        <w:b/>
        <w:noProof/>
        <w:sz w:val="18"/>
      </w:rPr>
      <w:t>3</w:t>
    </w:r>
    <w:r w:rsidRPr="001236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2368C" w:rsidRDefault="0012368C" w:rsidP="0012368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15934  (</w:t>
    </w:r>
    <w:proofErr w:type="gramEnd"/>
    <w:r>
      <w:rPr>
        <w:sz w:val="20"/>
      </w:rPr>
      <w:t>F)    231018    291018</w:t>
    </w:r>
    <w:r>
      <w:rPr>
        <w:sz w:val="20"/>
      </w:rPr>
      <w:br/>
    </w:r>
    <w:r w:rsidRPr="0012368C">
      <w:rPr>
        <w:rFonts w:ascii="C39T30Lfz" w:hAnsi="C39T30Lfz"/>
        <w:sz w:val="56"/>
      </w:rPr>
      <w:t></w:t>
    </w:r>
    <w:r w:rsidRPr="0012368C">
      <w:rPr>
        <w:rFonts w:ascii="C39T30Lfz" w:hAnsi="C39T30Lfz"/>
        <w:sz w:val="56"/>
      </w:rPr>
      <w:t></w:t>
    </w:r>
    <w:r w:rsidRPr="0012368C">
      <w:rPr>
        <w:rFonts w:ascii="C39T30Lfz" w:hAnsi="C39T30Lfz"/>
        <w:sz w:val="56"/>
      </w:rPr>
      <w:t></w:t>
    </w:r>
    <w:r w:rsidRPr="0012368C">
      <w:rPr>
        <w:rFonts w:ascii="C39T30Lfz" w:hAnsi="C39T30Lfz"/>
        <w:sz w:val="56"/>
      </w:rPr>
      <w:t></w:t>
    </w:r>
    <w:r w:rsidRPr="0012368C">
      <w:rPr>
        <w:rFonts w:ascii="C39T30Lfz" w:hAnsi="C39T30Lfz"/>
        <w:sz w:val="56"/>
      </w:rPr>
      <w:t></w:t>
    </w:r>
    <w:r w:rsidRPr="0012368C">
      <w:rPr>
        <w:rFonts w:ascii="C39T30Lfz" w:hAnsi="C39T30Lfz"/>
        <w:sz w:val="56"/>
      </w:rPr>
      <w:t></w:t>
    </w:r>
    <w:r w:rsidRPr="0012368C">
      <w:rPr>
        <w:rFonts w:ascii="C39T30Lfz" w:hAnsi="C39T30Lfz"/>
        <w:sz w:val="56"/>
      </w:rPr>
      <w:t></w:t>
    </w:r>
    <w:r w:rsidRPr="0012368C">
      <w:rPr>
        <w:rFonts w:ascii="C39T30Lfz" w:hAnsi="C39T30Lfz"/>
        <w:sz w:val="56"/>
      </w:rPr>
      <w:t></w:t>
    </w:r>
    <w:r w:rsidRPr="0012368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178" w:rsidRPr="00AC3823" w:rsidRDefault="00D52178" w:rsidP="00AC3823">
      <w:pPr>
        <w:pStyle w:val="Footer"/>
        <w:tabs>
          <w:tab w:val="right" w:pos="2155"/>
        </w:tabs>
        <w:spacing w:after="80" w:line="240" w:lineRule="atLeast"/>
        <w:ind w:left="680"/>
        <w:rPr>
          <w:u w:val="single"/>
        </w:rPr>
      </w:pPr>
      <w:r>
        <w:rPr>
          <w:u w:val="single"/>
        </w:rPr>
        <w:tab/>
      </w:r>
    </w:p>
  </w:footnote>
  <w:footnote w:type="continuationSeparator" w:id="0">
    <w:p w:rsidR="00D52178" w:rsidRPr="00AC3823" w:rsidRDefault="00D52178" w:rsidP="00AC3823">
      <w:pPr>
        <w:pStyle w:val="Footer"/>
        <w:tabs>
          <w:tab w:val="right" w:pos="2155"/>
        </w:tabs>
        <w:spacing w:after="80" w:line="240" w:lineRule="atLeast"/>
        <w:ind w:left="680"/>
        <w:rPr>
          <w:u w:val="single"/>
        </w:rPr>
      </w:pPr>
      <w:r>
        <w:rPr>
          <w:u w:val="single"/>
        </w:rPr>
        <w:tab/>
      </w:r>
    </w:p>
  </w:footnote>
  <w:footnote w:type="continuationNotice" w:id="1">
    <w:p w:rsidR="00D52178" w:rsidRPr="00AC3823" w:rsidRDefault="00D52178">
      <w:pPr>
        <w:spacing w:line="240" w:lineRule="auto"/>
        <w:rPr>
          <w:sz w:val="2"/>
          <w:szCs w:val="2"/>
        </w:rPr>
      </w:pPr>
    </w:p>
  </w:footnote>
  <w:footnote w:id="2">
    <w:p w:rsidR="00B30131" w:rsidRPr="00B30131" w:rsidRDefault="00B30131">
      <w:pPr>
        <w:pStyle w:val="FootnoteText"/>
      </w:pPr>
      <w:r>
        <w:rPr>
          <w:rStyle w:val="FootnoteReference"/>
        </w:rPr>
        <w:tab/>
      </w:r>
      <w:r w:rsidRPr="00B30131">
        <w:rPr>
          <w:rStyle w:val="FootnoteReference"/>
          <w:sz w:val="20"/>
          <w:vertAlign w:val="baseline"/>
        </w:rPr>
        <w:t>*</w:t>
      </w:r>
      <w:r>
        <w:rPr>
          <w:rStyle w:val="FootnoteReference"/>
          <w:sz w:val="20"/>
          <w:vertAlign w:val="baseline"/>
        </w:rPr>
        <w:tab/>
      </w:r>
      <w:r w:rsidRPr="00766806">
        <w:t xml:space="preserve">Conformément au programme de travail du Comité des transports </w:t>
      </w:r>
      <w:r>
        <w:t>intérieurs pour la période 2014</w:t>
      </w:r>
      <w:r>
        <w:noBreakHyphen/>
      </w:r>
      <w:r w:rsidRPr="00766806">
        <w:t>2018 (ECE/TRANS/240, par.</w:t>
      </w:r>
      <w:r>
        <w:t> </w:t>
      </w:r>
      <w:r w:rsidRPr="00766806">
        <w:t xml:space="preserve">105, et ECE/TRANS/2014/26, activité 02.4), le Forum mondial a pour mission d’élaborer, d’harmoniser et de mettre à jour les Règlements </w:t>
      </w:r>
      <w:r>
        <w:t xml:space="preserve">ONU </w:t>
      </w:r>
      <w:r w:rsidRPr="00766806">
        <w:t>en vue d’améliorer les caractéristiques fonctionnelles des véhicules</w:t>
      </w:r>
      <w:r>
        <w:t>.</w:t>
      </w:r>
      <w:r w:rsidR="00036CDC">
        <w:t xml:space="preserve"> </w:t>
      </w:r>
      <w:r w:rsidR="00036CDC">
        <w:rPr>
          <w:lang w:val="fr-FR"/>
        </w:rPr>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8C" w:rsidRPr="0012368C" w:rsidRDefault="00C110DD">
    <w:pPr>
      <w:pStyle w:val="Header"/>
    </w:pPr>
    <w:r>
      <w:fldChar w:fldCharType="begin"/>
    </w:r>
    <w:r>
      <w:instrText xml:space="preserve"> TITLE  \* MERGEFORMAT </w:instrText>
    </w:r>
    <w:r>
      <w:fldChar w:fldCharType="separate"/>
    </w:r>
    <w:r w:rsidR="00F90DBD">
      <w:t>ECE/TRANS/WP.29/GRSP/2018/30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8C" w:rsidRPr="0012368C" w:rsidRDefault="00C110DD" w:rsidP="0012368C">
    <w:pPr>
      <w:pStyle w:val="Header"/>
      <w:jc w:val="right"/>
    </w:pPr>
    <w:r>
      <w:fldChar w:fldCharType="begin"/>
    </w:r>
    <w:r>
      <w:instrText xml:space="preserve"> TITLE  \* MERGEFORMAT </w:instrText>
    </w:r>
    <w:r>
      <w:fldChar w:fldCharType="separate"/>
    </w:r>
    <w:r w:rsidR="00F90DBD">
      <w:t>ECE/TRANS/WP.29/GRSP/2018/30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78"/>
    <w:rsid w:val="00017F94"/>
    <w:rsid w:val="00023842"/>
    <w:rsid w:val="000334F9"/>
    <w:rsid w:val="00036CDC"/>
    <w:rsid w:val="00045FEB"/>
    <w:rsid w:val="0007796D"/>
    <w:rsid w:val="000B7790"/>
    <w:rsid w:val="00111F2F"/>
    <w:rsid w:val="0012368C"/>
    <w:rsid w:val="0014365E"/>
    <w:rsid w:val="00143C66"/>
    <w:rsid w:val="00176178"/>
    <w:rsid w:val="001F525A"/>
    <w:rsid w:val="001F6555"/>
    <w:rsid w:val="00223272"/>
    <w:rsid w:val="0024779E"/>
    <w:rsid w:val="00257168"/>
    <w:rsid w:val="002744B8"/>
    <w:rsid w:val="002832AC"/>
    <w:rsid w:val="002D7C93"/>
    <w:rsid w:val="002F16E0"/>
    <w:rsid w:val="00305801"/>
    <w:rsid w:val="003774DD"/>
    <w:rsid w:val="003916DE"/>
    <w:rsid w:val="003A11ED"/>
    <w:rsid w:val="00421996"/>
    <w:rsid w:val="00441C3B"/>
    <w:rsid w:val="00446FE5"/>
    <w:rsid w:val="00452396"/>
    <w:rsid w:val="0047545E"/>
    <w:rsid w:val="004837D8"/>
    <w:rsid w:val="004E2EED"/>
    <w:rsid w:val="004E468C"/>
    <w:rsid w:val="005505B7"/>
    <w:rsid w:val="00573BE5"/>
    <w:rsid w:val="00586ED3"/>
    <w:rsid w:val="00596AA9"/>
    <w:rsid w:val="0071601D"/>
    <w:rsid w:val="00795D37"/>
    <w:rsid w:val="007A62E6"/>
    <w:rsid w:val="007F20FA"/>
    <w:rsid w:val="0080684C"/>
    <w:rsid w:val="00814578"/>
    <w:rsid w:val="00871C75"/>
    <w:rsid w:val="008776DC"/>
    <w:rsid w:val="00894A65"/>
    <w:rsid w:val="009446C0"/>
    <w:rsid w:val="009705C8"/>
    <w:rsid w:val="009C1CF4"/>
    <w:rsid w:val="009F6B74"/>
    <w:rsid w:val="009F7C77"/>
    <w:rsid w:val="00A3029F"/>
    <w:rsid w:val="00A30353"/>
    <w:rsid w:val="00AC3823"/>
    <w:rsid w:val="00AE323C"/>
    <w:rsid w:val="00AF0CB5"/>
    <w:rsid w:val="00B00181"/>
    <w:rsid w:val="00B00B0D"/>
    <w:rsid w:val="00B30131"/>
    <w:rsid w:val="00B45F2E"/>
    <w:rsid w:val="00B765F7"/>
    <w:rsid w:val="00BA0CA9"/>
    <w:rsid w:val="00BB6504"/>
    <w:rsid w:val="00C02897"/>
    <w:rsid w:val="00C110DD"/>
    <w:rsid w:val="00C91D9A"/>
    <w:rsid w:val="00C97039"/>
    <w:rsid w:val="00D3439C"/>
    <w:rsid w:val="00D52178"/>
    <w:rsid w:val="00DB1831"/>
    <w:rsid w:val="00DD3BFD"/>
    <w:rsid w:val="00DF6678"/>
    <w:rsid w:val="00E0299A"/>
    <w:rsid w:val="00E85C74"/>
    <w:rsid w:val="00E9204F"/>
    <w:rsid w:val="00EA6499"/>
    <w:rsid w:val="00EA6547"/>
    <w:rsid w:val="00EC2DB6"/>
    <w:rsid w:val="00EF2E22"/>
    <w:rsid w:val="00F35BAF"/>
    <w:rsid w:val="00F660DF"/>
    <w:rsid w:val="00F90DBD"/>
    <w:rsid w:val="00F93FD2"/>
    <w:rsid w:val="00F94664"/>
    <w:rsid w:val="00F9573C"/>
    <w:rsid w:val="00F95C08"/>
    <w:rsid w:val="00FC42C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C7F5CF-D990-403E-A198-1A929434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ECE/TRANS/WP.29/GRSP/2018/30</vt:lpstr>
      <vt:lpstr>ECE/TRANS/WP.29/GRSP/2018/30</vt:lpstr>
    </vt:vector>
  </TitlesOfParts>
  <Company>DCM</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ECE/TRANS/WP.29/GRSP/2018/30</dc:title>
  <dc:subject/>
  <dc:creator>Christine  CHAUTAGNAT</dc:creator>
  <cp:keywords/>
  <cp:lastModifiedBy>Benedicte Boudol</cp:lastModifiedBy>
  <cp:revision>2</cp:revision>
  <cp:lastPrinted>2018-10-29T13:31:00Z</cp:lastPrinted>
  <dcterms:created xsi:type="dcterms:W3CDTF">2018-11-01T09:40:00Z</dcterms:created>
  <dcterms:modified xsi:type="dcterms:W3CDTF">2018-11-01T09:40:00Z</dcterms:modified>
</cp:coreProperties>
</file>