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12C5" w14:paraId="7A2ED545" w14:textId="77777777" w:rsidTr="007D131A">
        <w:trPr>
          <w:cantSplit/>
          <w:trHeight w:hRule="exact" w:val="851"/>
        </w:trPr>
        <w:tc>
          <w:tcPr>
            <w:tcW w:w="1276" w:type="dxa"/>
            <w:tcBorders>
              <w:bottom w:val="single" w:sz="4" w:space="0" w:color="auto"/>
            </w:tcBorders>
            <w:shd w:val="clear" w:color="auto" w:fill="auto"/>
            <w:vAlign w:val="bottom"/>
          </w:tcPr>
          <w:p w14:paraId="6C02C354" w14:textId="77777777" w:rsidR="006F12C5" w:rsidRDefault="006F12C5" w:rsidP="007D131A">
            <w:pPr>
              <w:spacing w:after="80"/>
            </w:pPr>
            <w:bookmarkStart w:id="0" w:name="_GoBack"/>
            <w:bookmarkEnd w:id="0"/>
          </w:p>
        </w:tc>
        <w:tc>
          <w:tcPr>
            <w:tcW w:w="2268" w:type="dxa"/>
            <w:tcBorders>
              <w:bottom w:val="single" w:sz="4" w:space="0" w:color="auto"/>
            </w:tcBorders>
            <w:shd w:val="clear" w:color="auto" w:fill="auto"/>
            <w:vAlign w:val="bottom"/>
          </w:tcPr>
          <w:p w14:paraId="410C6B9F" w14:textId="77777777" w:rsidR="006F12C5" w:rsidRPr="00E12670" w:rsidRDefault="006F12C5" w:rsidP="007D131A">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14898137" w14:textId="17477434" w:rsidR="006F12C5" w:rsidRPr="00D47EEA" w:rsidRDefault="006F12C5" w:rsidP="007D131A">
            <w:pPr>
              <w:jc w:val="right"/>
            </w:pPr>
            <w:r w:rsidRPr="00E12670">
              <w:rPr>
                <w:sz w:val="40"/>
              </w:rPr>
              <w:t>ECE</w:t>
            </w:r>
            <w:r>
              <w:t>/TRANS/WP.29/</w:t>
            </w:r>
            <w:r w:rsidRPr="00456509">
              <w:t>GRSP/201</w:t>
            </w:r>
            <w:r>
              <w:t>8/</w:t>
            </w:r>
            <w:r w:rsidR="00F74B0D">
              <w:t>24</w:t>
            </w:r>
          </w:p>
        </w:tc>
      </w:tr>
      <w:tr w:rsidR="006F12C5" w14:paraId="240235E4" w14:textId="77777777" w:rsidTr="007D131A">
        <w:trPr>
          <w:cantSplit/>
          <w:trHeight w:hRule="exact" w:val="2835"/>
        </w:trPr>
        <w:tc>
          <w:tcPr>
            <w:tcW w:w="1276" w:type="dxa"/>
            <w:tcBorders>
              <w:top w:val="single" w:sz="4" w:space="0" w:color="auto"/>
              <w:bottom w:val="single" w:sz="12" w:space="0" w:color="auto"/>
            </w:tcBorders>
            <w:shd w:val="clear" w:color="auto" w:fill="auto"/>
          </w:tcPr>
          <w:p w14:paraId="71B8C468" w14:textId="77777777" w:rsidR="006F12C5" w:rsidRDefault="006F12C5" w:rsidP="007D131A">
            <w:pPr>
              <w:spacing w:before="120"/>
            </w:pPr>
            <w:r>
              <w:rPr>
                <w:noProof/>
                <w:lang w:eastAsia="zh-CN"/>
              </w:rPr>
              <w:drawing>
                <wp:inline distT="0" distB="0" distL="0" distR="0" wp14:anchorId="03DA40A7" wp14:editId="66EEEB7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853ABDC" w14:textId="77777777" w:rsidR="006F12C5" w:rsidRPr="00E12670" w:rsidRDefault="006F12C5" w:rsidP="007D131A">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1CF50E49" w14:textId="77777777" w:rsidR="006F12C5" w:rsidRPr="00924982" w:rsidRDefault="006F12C5" w:rsidP="007D131A">
            <w:pPr>
              <w:spacing w:before="240" w:line="240" w:lineRule="exact"/>
            </w:pPr>
            <w:r w:rsidRPr="00924982">
              <w:t>Distr.: General</w:t>
            </w:r>
          </w:p>
          <w:p w14:paraId="0031C790" w14:textId="2981C20D" w:rsidR="006F12C5" w:rsidRPr="00924982" w:rsidRDefault="001752CB" w:rsidP="007D131A">
            <w:pPr>
              <w:spacing w:line="240" w:lineRule="exact"/>
            </w:pPr>
            <w:r>
              <w:t>25</w:t>
            </w:r>
            <w:r w:rsidR="00F5569E">
              <w:t xml:space="preserve"> September</w:t>
            </w:r>
            <w:r w:rsidR="006F12C5" w:rsidRPr="00924982">
              <w:t xml:space="preserve"> 201</w:t>
            </w:r>
            <w:r w:rsidR="006F12C5">
              <w:t>8</w:t>
            </w:r>
          </w:p>
          <w:p w14:paraId="10C185E7" w14:textId="77777777" w:rsidR="006F12C5" w:rsidRPr="00924982" w:rsidRDefault="006F12C5" w:rsidP="007D131A">
            <w:pPr>
              <w:spacing w:line="240" w:lineRule="exact"/>
            </w:pPr>
          </w:p>
          <w:p w14:paraId="6B3AB74C" w14:textId="77777777" w:rsidR="006F12C5" w:rsidRPr="000B1193" w:rsidRDefault="006F12C5" w:rsidP="007D131A">
            <w:pPr>
              <w:spacing w:line="240" w:lineRule="exact"/>
              <w:rPr>
                <w:strike/>
              </w:rPr>
            </w:pPr>
            <w:r w:rsidRPr="00924982">
              <w:t>Original: English</w:t>
            </w:r>
          </w:p>
          <w:p w14:paraId="4696D8A6" w14:textId="77777777" w:rsidR="006F12C5" w:rsidRDefault="006F12C5" w:rsidP="007D131A">
            <w:pPr>
              <w:spacing w:line="240" w:lineRule="exact"/>
            </w:pPr>
          </w:p>
        </w:tc>
      </w:tr>
    </w:tbl>
    <w:p w14:paraId="1695C71B" w14:textId="77777777" w:rsidR="00F93A2E" w:rsidRDefault="00F93A2E" w:rsidP="00F93A2E">
      <w:pPr>
        <w:spacing w:before="120"/>
        <w:rPr>
          <w:b/>
          <w:sz w:val="28"/>
          <w:szCs w:val="28"/>
        </w:rPr>
      </w:pPr>
      <w:r w:rsidRPr="00832334">
        <w:rPr>
          <w:b/>
          <w:sz w:val="28"/>
          <w:szCs w:val="28"/>
        </w:rPr>
        <w:t>Economic Commission for Europe</w:t>
      </w:r>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42EC574A" w:rsidR="00F93A2E" w:rsidRPr="00ED68BF" w:rsidRDefault="00F93A2E" w:rsidP="00F93A2E">
      <w:pPr>
        <w:spacing w:before="120"/>
        <w:rPr>
          <w:b/>
        </w:rPr>
      </w:pPr>
      <w:r w:rsidRPr="00ED68BF">
        <w:rPr>
          <w:b/>
        </w:rPr>
        <w:t>Working Party on Passive Safety</w:t>
      </w:r>
    </w:p>
    <w:p w14:paraId="5FEC9AB6" w14:textId="1BA66B14" w:rsidR="00F93A2E" w:rsidRPr="00717714" w:rsidRDefault="00717714" w:rsidP="00F93A2E">
      <w:pPr>
        <w:spacing w:before="120"/>
        <w:rPr>
          <w:b/>
        </w:rPr>
      </w:pPr>
      <w:r w:rsidRPr="00717714">
        <w:rPr>
          <w:b/>
        </w:rPr>
        <w:t>Sixty-</w:t>
      </w:r>
      <w:r w:rsidR="00F5569E">
        <w:rPr>
          <w:b/>
        </w:rPr>
        <w:t>fourth</w:t>
      </w:r>
      <w:r w:rsidR="00F93A2E" w:rsidRPr="00717714">
        <w:rPr>
          <w:b/>
        </w:rPr>
        <w:t xml:space="preserve"> session </w:t>
      </w:r>
    </w:p>
    <w:p w14:paraId="12F8243E" w14:textId="2C534B8A" w:rsidR="00F93A2E" w:rsidRPr="00717714" w:rsidRDefault="00F93A2E" w:rsidP="00F93A2E">
      <w:pPr>
        <w:rPr>
          <w:bCs/>
        </w:rPr>
      </w:pPr>
      <w:r w:rsidRPr="00717714">
        <w:rPr>
          <w:bCs/>
        </w:rPr>
        <w:t>Geneva,</w:t>
      </w:r>
      <w:r w:rsidR="00717714" w:rsidRPr="00717714">
        <w:rPr>
          <w:bCs/>
        </w:rPr>
        <w:t xml:space="preserve"> 1</w:t>
      </w:r>
      <w:r w:rsidR="00F5569E">
        <w:rPr>
          <w:bCs/>
        </w:rPr>
        <w:t>1-14</w:t>
      </w:r>
      <w:r w:rsidR="00717714" w:rsidRPr="00717714">
        <w:rPr>
          <w:bCs/>
        </w:rPr>
        <w:t xml:space="preserve"> </w:t>
      </w:r>
      <w:r w:rsidR="00F5569E">
        <w:rPr>
          <w:bCs/>
        </w:rPr>
        <w:t>December</w:t>
      </w:r>
      <w:r w:rsidR="00717714" w:rsidRPr="00717714">
        <w:rPr>
          <w:bCs/>
        </w:rPr>
        <w:t xml:space="preserve"> 2018</w:t>
      </w:r>
    </w:p>
    <w:p w14:paraId="5493161F" w14:textId="129F7DC3" w:rsidR="000E28C1" w:rsidRDefault="000E28C1" w:rsidP="000E28C1">
      <w:pPr>
        <w:rPr>
          <w:bCs/>
        </w:rPr>
      </w:pPr>
      <w:r w:rsidRPr="00717714">
        <w:rPr>
          <w:bCs/>
        </w:rPr>
        <w:t xml:space="preserve">Item </w:t>
      </w:r>
      <w:r w:rsidR="00F24A94">
        <w:rPr>
          <w:bCs/>
        </w:rPr>
        <w:t>19</w:t>
      </w:r>
      <w:r w:rsidRPr="00717714">
        <w:rPr>
          <w:bCs/>
        </w:rPr>
        <w:t xml:space="preserve"> of the provisional agenda</w:t>
      </w:r>
    </w:p>
    <w:p w14:paraId="29C47490" w14:textId="3465C3DD" w:rsidR="000E28C1" w:rsidRPr="004E3019" w:rsidRDefault="004B4619" w:rsidP="000E28C1">
      <w:pPr>
        <w:rPr>
          <w:b/>
          <w:bCs/>
        </w:rPr>
      </w:pPr>
      <w:r>
        <w:rPr>
          <w:b/>
          <w:bCs/>
        </w:rPr>
        <w:t xml:space="preserve">UN </w:t>
      </w:r>
      <w:r w:rsidR="000E28C1">
        <w:rPr>
          <w:b/>
          <w:bCs/>
        </w:rPr>
        <w:t xml:space="preserve">Regulation No. </w:t>
      </w:r>
      <w:r w:rsidR="00717714">
        <w:rPr>
          <w:b/>
          <w:bCs/>
        </w:rPr>
        <w:t>129</w:t>
      </w:r>
      <w:r w:rsidR="000E28C1">
        <w:rPr>
          <w:b/>
          <w:bCs/>
        </w:rPr>
        <w:t xml:space="preserve"> </w:t>
      </w:r>
      <w:r w:rsidR="000E28C1" w:rsidRPr="004E3019">
        <w:rPr>
          <w:b/>
          <w:bCs/>
        </w:rPr>
        <w:t>(</w:t>
      </w:r>
      <w:r w:rsidR="00717714">
        <w:rPr>
          <w:b/>
          <w:bCs/>
        </w:rPr>
        <w:t xml:space="preserve">Enhanced </w:t>
      </w:r>
      <w:r w:rsidR="000E28C1">
        <w:rPr>
          <w:b/>
          <w:bCs/>
        </w:rPr>
        <w:t>Child Restraint System</w:t>
      </w:r>
      <w:r w:rsidR="00DF4A93">
        <w:rPr>
          <w:b/>
          <w:bCs/>
        </w:rPr>
        <w:t>s</w:t>
      </w:r>
      <w:r w:rsidR="000E28C1" w:rsidRPr="004E3019">
        <w:rPr>
          <w:b/>
          <w:bCs/>
        </w:rPr>
        <w:t>)</w:t>
      </w:r>
    </w:p>
    <w:p w14:paraId="70B86EDC" w14:textId="49B4FB78"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B91B38">
        <w:rPr>
          <w:bCs/>
        </w:rPr>
        <w:t>2</w:t>
      </w:r>
      <w:r w:rsidR="00F71DD2" w:rsidRPr="002D1D39">
        <w:rPr>
          <w:bCs/>
        </w:rPr>
        <w:t xml:space="preserve"> to the </w:t>
      </w:r>
      <w:r w:rsidR="00510CF8">
        <w:rPr>
          <w:bCs/>
        </w:rPr>
        <w:t>03</w:t>
      </w:r>
      <w:r w:rsidRPr="002D1D39">
        <w:rPr>
          <w:bCs/>
        </w:rPr>
        <w:t xml:space="preserve"> series</w:t>
      </w:r>
      <w:r>
        <w:rPr>
          <w:bCs/>
        </w:rPr>
        <w:t xml:space="preserve"> of amendments to </w:t>
      </w:r>
      <w:r w:rsidR="004B4619">
        <w:rPr>
          <w:bCs/>
        </w:rPr>
        <w:t xml:space="preserve">UN </w:t>
      </w:r>
      <w:r>
        <w:rPr>
          <w:bCs/>
        </w:rPr>
        <w:t>Regulation No. </w:t>
      </w:r>
      <w:r w:rsidR="00822E06">
        <w:rPr>
          <w:bCs/>
        </w:rPr>
        <w:t>129</w:t>
      </w:r>
    </w:p>
    <w:p w14:paraId="6E81D0C0" w14:textId="788DF969" w:rsidR="009873AE" w:rsidRPr="00F3305B" w:rsidRDefault="000E28C1" w:rsidP="000E28C1">
      <w:pPr>
        <w:pStyle w:val="H1G"/>
        <w:rPr>
          <w:lang w:val="en-US"/>
        </w:rPr>
      </w:pPr>
      <w:r>
        <w:tab/>
      </w:r>
      <w:r>
        <w:tab/>
        <w:t xml:space="preserve">Submitted by the expert from </w:t>
      </w:r>
      <w:r w:rsidR="00F5569E">
        <w:t xml:space="preserve">CLEPA - </w:t>
      </w:r>
      <w:r w:rsidR="00F5569E" w:rsidRPr="00F5569E">
        <w:t>European Association of Automotive Suppliers</w:t>
      </w:r>
      <w:r w:rsidR="009873AE" w:rsidRPr="00F3305B">
        <w:rPr>
          <w:rStyle w:val="FootnoteReference"/>
          <w:sz w:val="20"/>
          <w:vertAlign w:val="baseline"/>
          <w:lang w:val="en-US"/>
        </w:rPr>
        <w:footnoteReference w:customMarkFollows="1" w:id="2"/>
        <w:t>*</w:t>
      </w:r>
    </w:p>
    <w:p w14:paraId="05324612" w14:textId="6ABCE90A" w:rsidR="009873AE" w:rsidRPr="00166E9C" w:rsidRDefault="00DB1107" w:rsidP="00273459">
      <w:pPr>
        <w:pStyle w:val="SingleTxtG"/>
        <w:rPr>
          <w:lang w:val="en-US"/>
        </w:rPr>
      </w:pPr>
      <w:r>
        <w:rPr>
          <w:snapToGrid w:val="0"/>
        </w:rPr>
        <w:tab/>
      </w:r>
      <w:r w:rsidR="00F5569E" w:rsidRPr="00FD746E">
        <w:rPr>
          <w:snapToGrid w:val="0"/>
        </w:rPr>
        <w:t>The text reproduced b</w:t>
      </w:r>
      <w:r w:rsidR="00F5569E">
        <w:rPr>
          <w:snapToGrid w:val="0"/>
        </w:rPr>
        <w:t xml:space="preserve">elow was prepared by </w:t>
      </w:r>
      <w:r w:rsidR="00F5569E" w:rsidRPr="00061F9B">
        <w:rPr>
          <w:snapToGrid w:val="0"/>
        </w:rPr>
        <w:t>th</w:t>
      </w:r>
      <w:r w:rsidR="00F5569E">
        <w:rPr>
          <w:snapToGrid w:val="0"/>
        </w:rPr>
        <w:t xml:space="preserve">e expert </w:t>
      </w:r>
      <w:r w:rsidR="00F24A94">
        <w:rPr>
          <w:snapToGrid w:val="0"/>
        </w:rPr>
        <w:t>the</w:t>
      </w:r>
      <w:r w:rsidR="00F5569E">
        <w:rPr>
          <w:snapToGrid w:val="0"/>
        </w:rPr>
        <w:t xml:space="preserve"> </w:t>
      </w:r>
      <w:r w:rsidR="00F5569E" w:rsidRPr="00983774">
        <w:t>European Association of Automotive Suppliers</w:t>
      </w:r>
      <w:r w:rsidR="00F24A94">
        <w:t xml:space="preserve"> (CLEPA)</w:t>
      </w:r>
      <w:r w:rsidR="00F5569E">
        <w:t xml:space="preserve">, </w:t>
      </w:r>
      <w:r w:rsidR="00D510CE">
        <w:t xml:space="preserve">to clarify the definition of an </w:t>
      </w:r>
      <w:r w:rsidR="007F29D1">
        <w:t>"</w:t>
      </w:r>
      <w:r w:rsidR="00D510CE">
        <w:t>infant carrier</w:t>
      </w:r>
      <w:r w:rsidR="007F29D1">
        <w:t>"</w:t>
      </w:r>
      <w:r w:rsidR="00D510CE">
        <w:t xml:space="preserve"> and </w:t>
      </w:r>
      <w:r w:rsidR="00F5569E" w:rsidRPr="00E45228">
        <w:rPr>
          <w:lang w:val="en-US"/>
        </w:rPr>
        <w:t xml:space="preserve">to amend the transitional provisions following the adoption of the new </w:t>
      </w:r>
      <w:r w:rsidR="007F29D1">
        <w:rPr>
          <w:lang w:val="en-US"/>
        </w:rPr>
        <w:t>"</w:t>
      </w:r>
      <w:r w:rsidR="00F5569E" w:rsidRPr="00D94741">
        <w:rPr>
          <w:lang w:val="en-US"/>
        </w:rPr>
        <w:t>General Guidelines for United Nations regulatory procedures and transitional provisions in UN Regulations</w:t>
      </w:r>
      <w:r w:rsidR="007F29D1">
        <w:rPr>
          <w:lang w:val="en-US"/>
        </w:rPr>
        <w:t>"</w:t>
      </w:r>
      <w:r w:rsidR="00B602B8">
        <w:rPr>
          <w:lang w:val="en-US"/>
        </w:rPr>
        <w:t xml:space="preserve"> (see </w:t>
      </w:r>
      <w:r w:rsidR="00B602B8" w:rsidRPr="00B602B8">
        <w:rPr>
          <w:lang w:val="en-US"/>
        </w:rPr>
        <w:t>ECE/TRANS/WP.29/1044/Rev.2</w:t>
      </w:r>
      <w:r w:rsidR="00B602B8">
        <w:rPr>
          <w:lang w:val="en-US"/>
        </w:rPr>
        <w:t>)</w:t>
      </w:r>
      <w:r w:rsidR="00F5569E">
        <w:rPr>
          <w:lang w:val="en-US"/>
        </w:rPr>
        <w:t xml:space="preserve">. </w:t>
      </w:r>
      <w:r w:rsidR="00F5569E">
        <w:t>It is based on the informal document</w:t>
      </w:r>
      <w:r w:rsidR="00D510CE">
        <w:t>s</w:t>
      </w:r>
      <w:r w:rsidR="00F5569E">
        <w:t xml:space="preserve"> GRSP-63-</w:t>
      </w:r>
      <w:r w:rsidR="00D510CE">
        <w:t>27 and GRSP-63-</w:t>
      </w:r>
      <w:r w:rsidR="00F5569E">
        <w:t xml:space="preserve">30 discussed </w:t>
      </w:r>
      <w:r w:rsidR="00F5569E" w:rsidRPr="00924982">
        <w:rPr>
          <w:lang w:val="en-US"/>
        </w:rPr>
        <w:t>during the sixty-</w:t>
      </w:r>
      <w:r w:rsidR="00F5569E">
        <w:rPr>
          <w:lang w:val="en-US"/>
        </w:rPr>
        <w:t>third</w:t>
      </w:r>
      <w:r w:rsidR="00F5569E" w:rsidRPr="00924982">
        <w:rPr>
          <w:lang w:val="en-US"/>
        </w:rPr>
        <w:t xml:space="preserve"> session of the Working</w:t>
      </w:r>
      <w:r w:rsidR="00F5569E">
        <w:rPr>
          <w:lang w:val="en-US"/>
        </w:rPr>
        <w:t xml:space="preserve"> Party on General Safety (GRSP)</w:t>
      </w:r>
      <w:r w:rsidR="00B91B13">
        <w:rPr>
          <w:lang w:val="en-US"/>
        </w:rPr>
        <w:t>, with the addition of a</w:t>
      </w:r>
      <w:r w:rsidR="009B454C">
        <w:rPr>
          <w:lang w:val="en-US"/>
        </w:rPr>
        <w:t xml:space="preserve"> correction</w:t>
      </w:r>
      <w:r w:rsidR="007F29D1">
        <w:rPr>
          <w:lang w:val="en-US"/>
        </w:rPr>
        <w:t xml:space="preserve"> needed for paragraph</w:t>
      </w:r>
      <w:r w:rsidR="00016854">
        <w:rPr>
          <w:lang w:val="en-US"/>
        </w:rPr>
        <w:t xml:space="preserve"> 16.11</w:t>
      </w:r>
      <w:r w:rsidR="009B454C">
        <w:rPr>
          <w:lang w:val="en-US"/>
        </w:rPr>
        <w:t>.</w:t>
      </w:r>
      <w:r w:rsidR="00F5569E">
        <w:rPr>
          <w:lang w:val="en-US"/>
        </w:rPr>
        <w:t xml:space="preserve"> </w:t>
      </w:r>
      <w:r w:rsidR="00F5569E" w:rsidRPr="00032FA3">
        <w:t>The modifications to the current text</w:t>
      </w:r>
      <w:r w:rsidR="00F5569E">
        <w:t xml:space="preserve"> of UN Regulation No. </w:t>
      </w:r>
      <w:r w:rsidR="00F5569E" w:rsidRPr="00032FA3">
        <w:t>129 are m</w:t>
      </w:r>
      <w:r w:rsidR="00F5569E">
        <w:t>arked in bold for new or strikethrough for deleted characters</w:t>
      </w:r>
      <w:r w:rsidR="00F5569E" w:rsidRPr="00032FA3">
        <w:t>.</w:t>
      </w:r>
    </w:p>
    <w:p w14:paraId="74B6DECD" w14:textId="3E8E5E07" w:rsidR="0077609A" w:rsidRDefault="005A3923" w:rsidP="0077609A">
      <w:pPr>
        <w:tabs>
          <w:tab w:val="left" w:pos="1560"/>
        </w:tabs>
        <w:ind w:left="1560" w:hanging="1560"/>
        <w:jc w:val="both"/>
        <w:rPr>
          <w:sz w:val="24"/>
          <w:szCs w:val="24"/>
        </w:rPr>
      </w:pPr>
      <w:r>
        <w:br w:type="page"/>
      </w:r>
    </w:p>
    <w:p w14:paraId="581A305E" w14:textId="77777777" w:rsidR="007D2A4D" w:rsidRPr="000B09FD" w:rsidRDefault="007D2A4D" w:rsidP="007D2A4D">
      <w:pPr>
        <w:pStyle w:val="HChG"/>
      </w:pPr>
      <w:r>
        <w:lastRenderedPageBreak/>
        <w:tab/>
        <w:t>I.</w:t>
      </w:r>
      <w:r>
        <w:tab/>
      </w:r>
      <w:r w:rsidRPr="000B09FD">
        <w:t>Proposal</w:t>
      </w:r>
    </w:p>
    <w:p w14:paraId="25520C62" w14:textId="5C514436" w:rsidR="00D510CE" w:rsidRDefault="00D510CE" w:rsidP="00D510CE">
      <w:pPr>
        <w:pStyle w:val="SingleTxtG"/>
        <w:rPr>
          <w:lang w:val="en-US"/>
        </w:rPr>
      </w:pPr>
      <w:r w:rsidRPr="0086459D">
        <w:rPr>
          <w:i/>
          <w:lang w:val="en-US"/>
        </w:rPr>
        <w:t xml:space="preserve">Paragraph </w:t>
      </w:r>
      <w:r>
        <w:rPr>
          <w:i/>
          <w:lang w:val="en-US"/>
        </w:rPr>
        <w:t>2.26.</w:t>
      </w:r>
      <w:r w:rsidR="007F29D1">
        <w:rPr>
          <w:i/>
          <w:lang w:val="en-US"/>
        </w:rPr>
        <w:t>,</w:t>
      </w:r>
      <w:r>
        <w:rPr>
          <w:lang w:val="en-US"/>
        </w:rPr>
        <w:t xml:space="preserve"> </w:t>
      </w:r>
      <w:r w:rsidRPr="0086459D">
        <w:rPr>
          <w:lang w:val="en-US"/>
        </w:rPr>
        <w:t>amend to read</w:t>
      </w:r>
      <w:r>
        <w:rPr>
          <w:lang w:val="en-US"/>
        </w:rPr>
        <w:t>:</w:t>
      </w:r>
    </w:p>
    <w:p w14:paraId="12B44E29" w14:textId="08DC9EA8" w:rsidR="00D510CE" w:rsidRPr="007F29D1" w:rsidRDefault="007F29D1" w:rsidP="007F29D1">
      <w:pPr>
        <w:pStyle w:val="SingleTxtG"/>
        <w:ind w:left="2268" w:hanging="1134"/>
        <w:rPr>
          <w:color w:val="000000"/>
          <w:lang w:val="en-US" w:eastAsia="de-DE"/>
        </w:rPr>
      </w:pPr>
      <w:r>
        <w:t>"</w:t>
      </w:r>
      <w:r w:rsidR="00D510CE">
        <w:t xml:space="preserve">2.26. </w:t>
      </w:r>
      <w:r w:rsidR="00D510CE">
        <w:tab/>
      </w:r>
      <w:r>
        <w:t>"</w:t>
      </w:r>
      <w:r w:rsidR="00D510CE" w:rsidRPr="00E476C9">
        <w:rPr>
          <w:i/>
        </w:rPr>
        <w:t>Infant carrier</w:t>
      </w:r>
      <w:r>
        <w:t>"</w:t>
      </w:r>
      <w:r w:rsidR="00D510CE">
        <w:t xml:space="preserve"> means an Integral Enhanced Child Restraint System </w:t>
      </w:r>
      <w:r w:rsidR="00D510CE" w:rsidRPr="00E476C9">
        <w:rPr>
          <w:strike/>
        </w:rPr>
        <w:t>that restrains a child up to 15 months old and up to 83 cm stature</w:t>
      </w:r>
      <w:r w:rsidR="00D510CE">
        <w:t xml:space="preserve"> intended to accommodate the child in a rearward-facing semi-recumbent position. It is so designed as to distribute the restraining forces over the child's head and body excluding its limbs in the event of </w:t>
      </w:r>
      <w:proofErr w:type="gramStart"/>
      <w:r w:rsidR="00D510CE" w:rsidRPr="0063342E">
        <w:rPr>
          <w:strike/>
        </w:rPr>
        <w:t xml:space="preserve">the </w:t>
      </w:r>
      <w:r w:rsidR="00D510CE" w:rsidRPr="0063342E">
        <w:t>a</w:t>
      </w:r>
      <w:proofErr w:type="gramEnd"/>
      <w:r w:rsidR="00D510CE" w:rsidRPr="00E476C9">
        <w:rPr>
          <w:b/>
        </w:rPr>
        <w:t xml:space="preserve"> </w:t>
      </w:r>
      <w:r w:rsidR="00D510CE">
        <w:t>frontal collision. It is designed to be removed from the vehicle with the child inside</w:t>
      </w:r>
      <w:r w:rsidR="00D510CE" w:rsidRPr="00E476C9">
        <w:rPr>
          <w:b/>
        </w:rPr>
        <w:t>,</w:t>
      </w:r>
      <w:r w:rsidR="00D510CE">
        <w:t xml:space="preserve"> and without opening any harness, and to be carried</w:t>
      </w:r>
      <w:r w:rsidR="00D510CE" w:rsidRPr="00E476C9">
        <w:rPr>
          <w:strike/>
        </w:rPr>
        <w:t xml:space="preserve"> it</w:t>
      </w:r>
      <w:r w:rsidR="00D510CE" w:rsidRPr="00E476C9">
        <w:t xml:space="preserve"> </w:t>
      </w:r>
      <w:r w:rsidR="00D510CE">
        <w:t>outside of the vehicle.</w:t>
      </w:r>
      <w:r>
        <w:t>"</w:t>
      </w:r>
    </w:p>
    <w:p w14:paraId="71E91D86" w14:textId="34B2BFC2" w:rsidR="00F5569E" w:rsidRDefault="00F5569E" w:rsidP="00F5569E">
      <w:pPr>
        <w:pStyle w:val="SingleTxtG"/>
        <w:rPr>
          <w:lang w:val="en-US"/>
        </w:rPr>
      </w:pPr>
      <w:r w:rsidRPr="0086459D">
        <w:rPr>
          <w:i/>
          <w:lang w:val="en-US"/>
        </w:rPr>
        <w:t xml:space="preserve">Paragraph </w:t>
      </w:r>
      <w:r>
        <w:rPr>
          <w:i/>
          <w:lang w:val="en-US"/>
        </w:rPr>
        <w:t>16.11</w:t>
      </w:r>
      <w:r w:rsidRPr="0086459D">
        <w:rPr>
          <w:lang w:val="en-US"/>
        </w:rPr>
        <w:t>.</w:t>
      </w:r>
      <w:r w:rsidR="007F29D1">
        <w:rPr>
          <w:lang w:val="en-US"/>
        </w:rPr>
        <w:t>,</w:t>
      </w:r>
      <w:r>
        <w:rPr>
          <w:lang w:val="en-US"/>
        </w:rPr>
        <w:t xml:space="preserve"> </w:t>
      </w:r>
      <w:r w:rsidRPr="0086459D">
        <w:rPr>
          <w:lang w:val="en-US"/>
        </w:rPr>
        <w:t>amend to read</w:t>
      </w:r>
      <w:r>
        <w:rPr>
          <w:lang w:val="en-US"/>
        </w:rPr>
        <w:t>:</w:t>
      </w:r>
    </w:p>
    <w:p w14:paraId="0B4B680F" w14:textId="0029BD56" w:rsidR="00F5569E" w:rsidRDefault="007F29D1" w:rsidP="007F29D1">
      <w:pPr>
        <w:pStyle w:val="SingleTxtG"/>
        <w:ind w:left="2268" w:hanging="1134"/>
      </w:pPr>
      <w:r>
        <w:t>"</w:t>
      </w:r>
      <w:r w:rsidR="00F5569E">
        <w:t>16.11</w:t>
      </w:r>
      <w:r>
        <w:t>.</w:t>
      </w:r>
      <w:r>
        <w:tab/>
      </w:r>
      <w:r w:rsidR="00F5569E">
        <w:t>Notwithstanding paragraphs 16.9 and 16.10, Contracting Parties applying the UN Regulation shall continue to accept</w:t>
      </w:r>
      <w:r w:rsidR="00F5569E" w:rsidRPr="009B454C">
        <w:rPr>
          <w:b/>
        </w:rPr>
        <w:t>,</w:t>
      </w:r>
      <w:r w:rsidR="00F5569E">
        <w:t xml:space="preserve"> </w:t>
      </w:r>
      <w:r w:rsidR="00F5569E" w:rsidRPr="006034B5">
        <w:rPr>
          <w:b/>
        </w:rPr>
        <w:t>and grant extensions t</w:t>
      </w:r>
      <w:r w:rsidR="009B454C">
        <w:rPr>
          <w:b/>
        </w:rPr>
        <w:t>o,</w:t>
      </w:r>
      <w:r w:rsidR="00F5569E">
        <w:t xml:space="preserve"> UN type-approvals </w:t>
      </w:r>
      <w:r w:rsidR="00F5569E" w:rsidRPr="00975B63">
        <w:t>issued according to the preceding series of amendments to the UN Regulation, for the</w:t>
      </w:r>
      <w:r w:rsidR="00F5569E" w:rsidRPr="00975B63">
        <w:rPr>
          <w:strike/>
        </w:rPr>
        <w:t xml:space="preserve"> vehicles/vehicle systems</w:t>
      </w:r>
      <w:r w:rsidR="00F5569E" w:rsidRPr="00975B63">
        <w:t xml:space="preserve"> </w:t>
      </w:r>
      <w:r w:rsidR="00A618CF" w:rsidRPr="00975B63">
        <w:rPr>
          <w:b/>
        </w:rPr>
        <w:t>Enhanced Child Restraint Systems</w:t>
      </w:r>
      <w:r w:rsidR="00A618CF" w:rsidRPr="00975B63">
        <w:t xml:space="preserve"> </w:t>
      </w:r>
      <w:r w:rsidR="00F5569E" w:rsidRPr="00975B63">
        <w:t>which are not affected by the changes introduced by the 03 series of amendments</w:t>
      </w:r>
      <w:r w:rsidR="009B454C" w:rsidRPr="00975B63">
        <w:t>.</w:t>
      </w:r>
      <w:r>
        <w:t>"</w:t>
      </w:r>
    </w:p>
    <w:p w14:paraId="66E3B7DA" w14:textId="44E4ED28" w:rsidR="00F5569E" w:rsidRDefault="007F29D1" w:rsidP="00F5569E">
      <w:pPr>
        <w:pStyle w:val="SingleTxtG"/>
        <w:ind w:left="2268" w:hanging="1134"/>
      </w:pPr>
      <w:r w:rsidRPr="007F29D1">
        <w:rPr>
          <w:i/>
          <w:iCs/>
        </w:rPr>
        <w:t>Insert a</w:t>
      </w:r>
      <w:r w:rsidR="00F5569E" w:rsidRPr="007F29D1">
        <w:rPr>
          <w:i/>
          <w:iCs/>
        </w:rPr>
        <w:t xml:space="preserve"> new</w:t>
      </w:r>
      <w:r w:rsidR="00F5569E">
        <w:t xml:space="preserve"> </w:t>
      </w:r>
      <w:r w:rsidR="00F5569E" w:rsidRPr="006034B5">
        <w:rPr>
          <w:i/>
        </w:rPr>
        <w:t>paragraph 16.12</w:t>
      </w:r>
      <w:r>
        <w:rPr>
          <w:i/>
        </w:rPr>
        <w:t>.,</w:t>
      </w:r>
      <w:r>
        <w:t xml:space="preserve"> to read</w:t>
      </w:r>
      <w:r w:rsidR="00F5569E">
        <w:t>:</w:t>
      </w:r>
    </w:p>
    <w:p w14:paraId="4F1E85F2" w14:textId="300027F4" w:rsidR="00F5569E" w:rsidRPr="007F29D1" w:rsidRDefault="007F29D1" w:rsidP="007F29D1">
      <w:pPr>
        <w:pStyle w:val="SingleTxtG"/>
        <w:ind w:left="2268" w:hanging="1134"/>
        <w:rPr>
          <w:b/>
          <w:color w:val="000000"/>
          <w:lang w:val="en-US" w:eastAsia="de-DE"/>
        </w:rPr>
      </w:pPr>
      <w:r w:rsidRPr="007F29D1">
        <w:rPr>
          <w:bCs/>
        </w:rPr>
        <w:t>"</w:t>
      </w:r>
      <w:r w:rsidR="00F5569E" w:rsidRPr="006034B5">
        <w:rPr>
          <w:b/>
        </w:rPr>
        <w:t>16.12</w:t>
      </w:r>
      <w:r>
        <w:rPr>
          <w:b/>
        </w:rPr>
        <w:t>.</w:t>
      </w:r>
      <w:r>
        <w:rPr>
          <w:b/>
        </w:rPr>
        <w:tab/>
      </w:r>
      <w:r w:rsidR="00F5569E" w:rsidRPr="006034B5">
        <w:rPr>
          <w:b/>
        </w:rPr>
        <w:t>Until 1 September 202</w:t>
      </w:r>
      <w:r w:rsidR="00F5569E">
        <w:rPr>
          <w:b/>
        </w:rPr>
        <w:t>4</w:t>
      </w:r>
      <w:r w:rsidR="00F5569E" w:rsidRPr="006034B5">
        <w:rPr>
          <w:b/>
        </w:rPr>
        <w:t>, Contracting Parties applying this UN Regulation shall continue to grant extensions of approvals to the 02 series of amendments to this UN Regulation.</w:t>
      </w:r>
      <w:r w:rsidRPr="007F29D1">
        <w:rPr>
          <w:bCs/>
        </w:rPr>
        <w:t>"</w:t>
      </w:r>
    </w:p>
    <w:p w14:paraId="52BAD801" w14:textId="77777777" w:rsidR="007D2A4D" w:rsidRPr="004A1237" w:rsidRDefault="007D2A4D" w:rsidP="007D2A4D">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575FD072" w14:textId="48F8DAE2" w:rsidR="00D510CE" w:rsidRDefault="00273459" w:rsidP="00273459">
      <w:pPr>
        <w:pStyle w:val="SingleTxtG"/>
        <w:spacing w:before="240" w:after="0"/>
      </w:pPr>
      <w:r>
        <w:t>1.</w:t>
      </w:r>
      <w:r>
        <w:tab/>
      </w:r>
      <w:r w:rsidR="00D510CE">
        <w:t>The definition of infant carrier introduced in the 03 series of amendments to UN Regulation No. 129 describes the appearance and function of infant carriers, but also specifies limits on their use (children up to 15 months only) and type-approval (up to 83 cm stature). This is potentially in conflict with the present stature requirements in paragraph 6.1.2.3 of the regulation. It is also inconsistent with the aim of keeping children rear-facing for as long as possible.</w:t>
      </w:r>
    </w:p>
    <w:p w14:paraId="11CC94FC" w14:textId="6BCA3FA7" w:rsidR="00D510CE" w:rsidRDefault="00273459" w:rsidP="00273459">
      <w:pPr>
        <w:pStyle w:val="SingleTxtG"/>
        <w:spacing w:before="240" w:after="0"/>
      </w:pPr>
      <w:r>
        <w:t>2.</w:t>
      </w:r>
      <w:r>
        <w:tab/>
      </w:r>
      <w:r w:rsidR="00D510CE">
        <w:t xml:space="preserve">Children can receive very good protection from an infant carrier above the age of 15 months (provided they fall within the stature range of the CRS). Furthermore, it is feasible to design an infant carrier that complies with the internal and external dimensions for statures greater than 83 cm. </w:t>
      </w:r>
      <w:r w:rsidR="003A5399">
        <w:t xml:space="preserve">It is proposed </w:t>
      </w:r>
      <w:r w:rsidR="00D510CE">
        <w:t>to remove this part of the definition.</w:t>
      </w:r>
    </w:p>
    <w:p w14:paraId="02BF1310" w14:textId="29750E86" w:rsidR="00F5569E" w:rsidRPr="00B00D2D" w:rsidRDefault="00F5569E" w:rsidP="007F29D1">
      <w:pPr>
        <w:pStyle w:val="SingleTxtG"/>
        <w:rPr>
          <w:iCs/>
        </w:rPr>
      </w:pPr>
      <w:r w:rsidRPr="00DA6C9D">
        <w:t xml:space="preserve">The new </w:t>
      </w:r>
      <w:r>
        <w:t xml:space="preserve">guidelines on </w:t>
      </w:r>
      <w:r w:rsidRPr="00B00D2D">
        <w:rPr>
          <w:lang w:val="en-US"/>
        </w:rPr>
        <w:t xml:space="preserve">regulatory procedures and transitional provisions </w:t>
      </w:r>
      <w:r w:rsidRPr="00DA6C9D">
        <w:t xml:space="preserve">adopted by </w:t>
      </w:r>
      <w:r>
        <w:t xml:space="preserve">174 </w:t>
      </w:r>
      <w:r w:rsidRPr="00DA6C9D">
        <w:t>WP.29</w:t>
      </w:r>
      <w:r>
        <w:t xml:space="preserve">, </w:t>
      </w:r>
      <w:r w:rsidRPr="00DA6C9D">
        <w:t>November 2017 session</w:t>
      </w:r>
      <w:r>
        <w:t xml:space="preserve"> </w:t>
      </w:r>
      <w:r w:rsidRPr="00B00D2D">
        <w:rPr>
          <w:lang w:val="en-US"/>
        </w:rPr>
        <w:t>(se</w:t>
      </w:r>
      <w:r w:rsidR="00B00D2D">
        <w:rPr>
          <w:lang w:val="en-US"/>
        </w:rPr>
        <w:t xml:space="preserve">e </w:t>
      </w:r>
      <w:r w:rsidR="00B00D2D" w:rsidRPr="00B00D2D">
        <w:rPr>
          <w:lang w:val="en-US"/>
        </w:rPr>
        <w:t>ECE/TRANS/WP.29/1044/Rev.2</w:t>
      </w:r>
      <w:r w:rsidRPr="00B00D2D">
        <w:rPr>
          <w:lang w:val="en-US"/>
        </w:rPr>
        <w:t>)</w:t>
      </w:r>
      <w:r w:rsidRPr="00DA6C9D">
        <w:t>, foresee that …</w:t>
      </w:r>
    </w:p>
    <w:p w14:paraId="774AF3FF" w14:textId="691235C4" w:rsidR="00F5569E" w:rsidRPr="00E41383" w:rsidRDefault="007F29D1" w:rsidP="00F5569E">
      <w:pPr>
        <w:pStyle w:val="SingleTxtG"/>
        <w:ind w:left="1560"/>
        <w:rPr>
          <w:i/>
          <w:iCs/>
          <w:highlight w:val="yellow"/>
        </w:rPr>
      </w:pPr>
      <w:r>
        <w:rPr>
          <w:i/>
          <w:iCs/>
        </w:rPr>
        <w:t>Paragraph</w:t>
      </w:r>
      <w:r w:rsidR="00F5569E" w:rsidRPr="00E41383">
        <w:rPr>
          <w:i/>
          <w:iCs/>
        </w:rPr>
        <w:t xml:space="preserve"> 26. … The new series of amendments may contain a provision on the conditions for granting extensions to existing approvals ….</w:t>
      </w:r>
    </w:p>
    <w:p w14:paraId="117F7DC5" w14:textId="05F03913" w:rsidR="00F5569E" w:rsidRPr="00AC7E95" w:rsidRDefault="00273459" w:rsidP="00273459">
      <w:pPr>
        <w:pStyle w:val="SingleTxtG"/>
        <w:ind w:firstLine="4"/>
        <w:rPr>
          <w:iCs/>
        </w:rPr>
      </w:pPr>
      <w:r w:rsidRPr="00AC7E95">
        <w:rPr>
          <w:iCs/>
        </w:rPr>
        <w:t>3.</w:t>
      </w:r>
      <w:r w:rsidRPr="00AC7E95">
        <w:rPr>
          <w:iCs/>
        </w:rPr>
        <w:tab/>
      </w:r>
      <w:r w:rsidR="00F5569E">
        <w:rPr>
          <w:iCs/>
        </w:rPr>
        <w:t>Regulation 129 series 03 allows extensions of approvals to the original version of the R</w:t>
      </w:r>
      <w:r w:rsidR="0063342E">
        <w:rPr>
          <w:iCs/>
        </w:rPr>
        <w:t>egulation (see para.</w:t>
      </w:r>
      <w:r w:rsidR="00F5569E">
        <w:rPr>
          <w:iCs/>
        </w:rPr>
        <w:t xml:space="preserve"> 16.4) and to th</w:t>
      </w:r>
      <w:r w:rsidR="0063342E">
        <w:rPr>
          <w:iCs/>
        </w:rPr>
        <w:t>e 01 series of amendments (see para.</w:t>
      </w:r>
      <w:r w:rsidR="00F5569E">
        <w:rPr>
          <w:iCs/>
        </w:rPr>
        <w:t xml:space="preserve"> 16.7), but not for the 02 series.</w:t>
      </w:r>
    </w:p>
    <w:p w14:paraId="06DC4789" w14:textId="38C202BF" w:rsidR="007F29D1" w:rsidRDefault="00273459" w:rsidP="00273459">
      <w:pPr>
        <w:pStyle w:val="SingleTxtG"/>
        <w:ind w:firstLine="4"/>
      </w:pPr>
      <w:r>
        <w:t>4.</w:t>
      </w:r>
      <w:r>
        <w:tab/>
      </w:r>
      <w:r w:rsidR="00F5569E">
        <w:t xml:space="preserve">It is </w:t>
      </w:r>
      <w:r w:rsidR="00F5569E" w:rsidRPr="00975B63">
        <w:t xml:space="preserve">therefore necessary to explicitly allow granting extensions for type approvals under 02 series of amendments (new </w:t>
      </w:r>
      <w:r w:rsidR="0063342E">
        <w:t>para.</w:t>
      </w:r>
      <w:r w:rsidR="00F5569E" w:rsidRPr="00975B63">
        <w:t xml:space="preserve"> 16.12) and for any approval not affected by 03 series of amendments (amended </w:t>
      </w:r>
      <w:r w:rsidR="0063342E">
        <w:t>para.</w:t>
      </w:r>
      <w:r w:rsidR="00F5569E" w:rsidRPr="00975B63">
        <w:t xml:space="preserve"> 16.11)</w:t>
      </w:r>
      <w:r w:rsidR="007E2C60">
        <w:t>.</w:t>
      </w:r>
    </w:p>
    <w:p w14:paraId="6C610E2B" w14:textId="77777777" w:rsidR="007F29D1" w:rsidRDefault="007F29D1">
      <w:pPr>
        <w:suppressAutoHyphens w:val="0"/>
        <w:spacing w:line="240" w:lineRule="auto"/>
      </w:pPr>
      <w:r>
        <w:br w:type="page"/>
      </w:r>
    </w:p>
    <w:p w14:paraId="3B815382" w14:textId="2E3B6C99" w:rsidR="00B15073" w:rsidRPr="00975B63" w:rsidRDefault="00273459" w:rsidP="00273459">
      <w:pPr>
        <w:pStyle w:val="SingleTxtG"/>
      </w:pPr>
      <w:r w:rsidRPr="00975B63">
        <w:lastRenderedPageBreak/>
        <w:t>5.</w:t>
      </w:r>
      <w:r w:rsidRPr="00975B63">
        <w:tab/>
      </w:r>
      <w:r w:rsidR="007F29D1">
        <w:t xml:space="preserve">Paragraph </w:t>
      </w:r>
      <w:r w:rsidR="00016854" w:rsidRPr="00975B63">
        <w:t>16.11</w:t>
      </w:r>
      <w:r w:rsidR="001E3936">
        <w:t>.</w:t>
      </w:r>
      <w:r w:rsidR="00016854" w:rsidRPr="00975B63">
        <w:t xml:space="preserve"> refers to vehicle approval, but UN Regulation No.129 does not concern vehicle approval, therefore it is necessary to correct this inconsistency</w:t>
      </w:r>
      <w:r w:rsidR="006C267F" w:rsidRPr="00975B63">
        <w:t xml:space="preserve"> and insert reference to the approval of </w:t>
      </w:r>
      <w:r w:rsidR="007F29D1">
        <w:t>"</w:t>
      </w:r>
      <w:r w:rsidR="006C267F" w:rsidRPr="00975B63">
        <w:t>Enhanced Child Restraint Systems</w:t>
      </w:r>
      <w:r w:rsidR="007F29D1">
        <w:t>"</w:t>
      </w:r>
      <w:r w:rsidR="00016854" w:rsidRPr="00975B63">
        <w:t>.</w:t>
      </w:r>
    </w:p>
    <w:p w14:paraId="58D43EA3" w14:textId="119A228B"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r w:rsidR="001E3936">
        <w:rPr>
          <w:rFonts w:eastAsia="MS Mincho"/>
          <w:u w:val="single"/>
        </w:rPr>
        <w:tab/>
      </w:r>
    </w:p>
    <w:sectPr w:rsidR="00E654CA" w:rsidRPr="00E654CA" w:rsidSect="00F93A2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3572" w14:textId="77777777" w:rsidR="004F56C9" w:rsidRDefault="004F56C9"/>
  </w:endnote>
  <w:endnote w:type="continuationSeparator" w:id="0">
    <w:p w14:paraId="39C18611" w14:textId="77777777" w:rsidR="004F56C9" w:rsidRDefault="004F56C9"/>
  </w:endnote>
  <w:endnote w:type="continuationNotice" w:id="1">
    <w:p w14:paraId="6BE60C68" w14:textId="77777777" w:rsidR="004F56C9" w:rsidRDefault="004F5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174EF5B4"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273459">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2F280B04"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273459">
      <w:rPr>
        <w:b/>
        <w:noProof/>
        <w:sz w:val="18"/>
      </w:rPr>
      <w:t>3</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038F" w14:textId="3C07EE44" w:rsidR="00273459" w:rsidRDefault="00273459" w:rsidP="00273459">
    <w:pPr>
      <w:pStyle w:val="Footer"/>
    </w:pPr>
    <w:r>
      <w:rPr>
        <w:noProof/>
        <w:lang w:eastAsia="zh-CN"/>
      </w:rPr>
      <w:drawing>
        <wp:anchor distT="0" distB="0" distL="114300" distR="114300" simplePos="0" relativeHeight="251659264" behindDoc="1" locked="1" layoutInCell="1" allowOverlap="1" wp14:anchorId="0E5A355E" wp14:editId="7A68BEBF">
          <wp:simplePos x="0" y="0"/>
          <wp:positionH relativeFrom="margin">
            <wp:posOffset>4320540</wp:posOffset>
          </wp:positionH>
          <wp:positionV relativeFrom="margin">
            <wp:posOffset>8428355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74C80EB" w14:textId="6981F08C" w:rsidR="00273459" w:rsidRDefault="00273459" w:rsidP="00273459">
    <w:pPr>
      <w:pStyle w:val="Footer"/>
      <w:ind w:right="1134"/>
      <w:rPr>
        <w:sz w:val="20"/>
      </w:rPr>
    </w:pPr>
    <w:r>
      <w:rPr>
        <w:rFonts w:ascii="C39T30Lfz" w:hAnsi="C39T30Lfz"/>
        <w:noProof/>
        <w:sz w:val="56"/>
        <w:lang w:eastAsia="zh-CN"/>
      </w:rPr>
      <w:drawing>
        <wp:anchor distT="0" distB="0" distL="114300" distR="114300" simplePos="0" relativeHeight="251660288" behindDoc="0" locked="0" layoutInCell="1" allowOverlap="1" wp14:anchorId="4790A0FC" wp14:editId="34D2A408">
          <wp:simplePos x="0" y="0"/>
          <wp:positionH relativeFrom="margin">
            <wp:posOffset>5478780</wp:posOffset>
          </wp:positionH>
          <wp:positionV relativeFrom="margin">
            <wp:posOffset>8046631</wp:posOffset>
          </wp:positionV>
          <wp:extent cx="638175" cy="638175"/>
          <wp:effectExtent l="0" t="0" r="9525" b="9525"/>
          <wp:wrapNone/>
          <wp:docPr id="2" name="Picture 1" descr="https://undocs.org/m2/QRCode.ashx?DS=ECE/TRANS/WP.29/GRSP/2018/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GE.18-15926(E)</w:t>
    </w:r>
  </w:p>
  <w:p w14:paraId="7EA0016B" w14:textId="5B3709DB" w:rsidR="00273459" w:rsidRPr="00273459" w:rsidRDefault="00273459" w:rsidP="0027345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4C737" w14:textId="77777777" w:rsidR="004F56C9" w:rsidRPr="000B175B" w:rsidRDefault="004F56C9" w:rsidP="000B175B">
      <w:pPr>
        <w:tabs>
          <w:tab w:val="right" w:pos="2155"/>
        </w:tabs>
        <w:spacing w:after="80"/>
        <w:ind w:left="680"/>
        <w:rPr>
          <w:u w:val="single"/>
        </w:rPr>
      </w:pPr>
      <w:r>
        <w:rPr>
          <w:u w:val="single"/>
        </w:rPr>
        <w:tab/>
      </w:r>
    </w:p>
  </w:footnote>
  <w:footnote w:type="continuationSeparator" w:id="0">
    <w:p w14:paraId="6BFCEC2E" w14:textId="77777777" w:rsidR="004F56C9" w:rsidRPr="00FC68B7" w:rsidRDefault="004F56C9" w:rsidP="00FC68B7">
      <w:pPr>
        <w:tabs>
          <w:tab w:val="left" w:pos="2155"/>
        </w:tabs>
        <w:spacing w:after="80"/>
        <w:ind w:left="680"/>
        <w:rPr>
          <w:u w:val="single"/>
        </w:rPr>
      </w:pPr>
      <w:r>
        <w:rPr>
          <w:u w:val="single"/>
        </w:rPr>
        <w:tab/>
      </w:r>
    </w:p>
  </w:footnote>
  <w:footnote w:type="continuationNotice" w:id="1">
    <w:p w14:paraId="799ACACA" w14:textId="77777777" w:rsidR="004F56C9" w:rsidRDefault="004F56C9"/>
  </w:footnote>
  <w:footnote w:id="2">
    <w:p w14:paraId="7D17406D" w14:textId="4271E907" w:rsidR="00EF04E0" w:rsidRPr="00EC4B12" w:rsidRDefault="00EF04E0" w:rsidP="009865C9">
      <w:pPr>
        <w:pStyle w:val="FootnoteText"/>
        <w:jc w:val="both"/>
        <w:rPr>
          <w:lang w:val="en-US"/>
        </w:rPr>
      </w:pPr>
      <w:r>
        <w:tab/>
      </w:r>
      <w:r w:rsidR="00F71DD2" w:rsidRPr="007406A7">
        <w:rPr>
          <w:rStyle w:val="FootnoteReference"/>
        </w:rPr>
        <w:t>*</w:t>
      </w:r>
      <w:r w:rsidR="00F71DD2" w:rsidRPr="007406A7">
        <w:tab/>
      </w:r>
      <w:r w:rsidR="006F12C5">
        <w:rPr>
          <w:szCs w:val="18"/>
          <w:lang w:val="en-US"/>
        </w:rPr>
        <w:t xml:space="preserve">In accordance with the </w:t>
      </w:r>
      <w:proofErr w:type="spellStart"/>
      <w:r w:rsidR="006F12C5">
        <w:rPr>
          <w:szCs w:val="18"/>
          <w:lang w:val="en-US"/>
        </w:rPr>
        <w:t>programme</w:t>
      </w:r>
      <w:proofErr w:type="spellEnd"/>
      <w:r w:rsidR="006F12C5">
        <w:rPr>
          <w:szCs w:val="18"/>
          <w:lang w:val="en-US"/>
        </w:rPr>
        <w:t xml:space="preserve"> of work of the Inland Transport Committee for 2014–2018 (ECE/TRANS/240, para. 105 and ECE/TRANS/2014/26, </w:t>
      </w:r>
      <w:proofErr w:type="spellStart"/>
      <w:r w:rsidR="006F12C5">
        <w:rPr>
          <w:szCs w:val="18"/>
          <w:lang w:val="en-US"/>
        </w:rPr>
        <w:t>programme</w:t>
      </w:r>
      <w:proofErr w:type="spellEnd"/>
      <w:r w:rsidR="006F12C5">
        <w:rPr>
          <w:szCs w:val="18"/>
          <w:lang w:val="en-US"/>
        </w:rPr>
        <w:t xml:space="preserve"> activity 02.4), the World Forum will develop, harmonize and update UN Regulations </w:t>
      </w:r>
      <w:proofErr w:type="gramStart"/>
      <w:r w:rsidR="006F12C5">
        <w:rPr>
          <w:szCs w:val="18"/>
          <w:lang w:val="en-US"/>
        </w:rPr>
        <w:t>in order to</w:t>
      </w:r>
      <w:proofErr w:type="gramEnd"/>
      <w:r w:rsidR="006F12C5">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22ACE570" w:rsidR="00EF04E0" w:rsidRPr="00F93A2E" w:rsidRDefault="00EF04E0">
    <w:pPr>
      <w:pStyle w:val="Header"/>
    </w:pPr>
    <w:r>
      <w:t>ECE/TRANS/WP.29/GRSP/</w:t>
    </w:r>
    <w:r w:rsidR="002D1D39">
      <w:t>2018</w:t>
    </w:r>
    <w:r>
      <w:t>/</w:t>
    </w:r>
    <w:r w:rsidR="00F74B0D">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DD61355" w:rsidR="00EF04E0" w:rsidRPr="00F93A2E" w:rsidRDefault="00747F2D" w:rsidP="00F93A2E">
    <w:pPr>
      <w:pStyle w:val="Header"/>
      <w:jc w:val="right"/>
    </w:pPr>
    <w:r>
      <w:t>ECE/TRANS/WP.29/GRSP/2018/24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BC56E8"/>
    <w:multiLevelType w:val="hybridMultilevel"/>
    <w:tmpl w:val="F00C8ADC"/>
    <w:lvl w:ilvl="0" w:tplc="A6904D3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AEE7E06"/>
    <w:multiLevelType w:val="hybridMultilevel"/>
    <w:tmpl w:val="EA00C550"/>
    <w:lvl w:ilvl="0" w:tplc="080C000F">
      <w:start w:val="1"/>
      <w:numFmt w:val="decimal"/>
      <w:lvlText w:val="%1."/>
      <w:lvlJc w:val="left"/>
      <w:pPr>
        <w:ind w:left="2214" w:hanging="360"/>
      </w:pPr>
    </w:lvl>
    <w:lvl w:ilvl="1" w:tplc="080C0019" w:tentative="1">
      <w:start w:val="1"/>
      <w:numFmt w:val="lowerLetter"/>
      <w:lvlText w:val="%2."/>
      <w:lvlJc w:val="left"/>
      <w:pPr>
        <w:ind w:left="2934" w:hanging="360"/>
      </w:pPr>
    </w:lvl>
    <w:lvl w:ilvl="2" w:tplc="080C001B" w:tentative="1">
      <w:start w:val="1"/>
      <w:numFmt w:val="lowerRoman"/>
      <w:lvlText w:val="%3."/>
      <w:lvlJc w:val="right"/>
      <w:pPr>
        <w:ind w:left="3654" w:hanging="180"/>
      </w:pPr>
    </w:lvl>
    <w:lvl w:ilvl="3" w:tplc="080C000F" w:tentative="1">
      <w:start w:val="1"/>
      <w:numFmt w:val="decimal"/>
      <w:lvlText w:val="%4."/>
      <w:lvlJc w:val="left"/>
      <w:pPr>
        <w:ind w:left="4374" w:hanging="360"/>
      </w:pPr>
    </w:lvl>
    <w:lvl w:ilvl="4" w:tplc="080C0019" w:tentative="1">
      <w:start w:val="1"/>
      <w:numFmt w:val="lowerLetter"/>
      <w:lvlText w:val="%5."/>
      <w:lvlJc w:val="left"/>
      <w:pPr>
        <w:ind w:left="5094" w:hanging="360"/>
      </w:pPr>
    </w:lvl>
    <w:lvl w:ilvl="5" w:tplc="080C001B" w:tentative="1">
      <w:start w:val="1"/>
      <w:numFmt w:val="lowerRoman"/>
      <w:lvlText w:val="%6."/>
      <w:lvlJc w:val="right"/>
      <w:pPr>
        <w:ind w:left="5814" w:hanging="180"/>
      </w:pPr>
    </w:lvl>
    <w:lvl w:ilvl="6" w:tplc="080C000F" w:tentative="1">
      <w:start w:val="1"/>
      <w:numFmt w:val="decimal"/>
      <w:lvlText w:val="%7."/>
      <w:lvlJc w:val="left"/>
      <w:pPr>
        <w:ind w:left="6534" w:hanging="360"/>
      </w:pPr>
    </w:lvl>
    <w:lvl w:ilvl="7" w:tplc="080C0019" w:tentative="1">
      <w:start w:val="1"/>
      <w:numFmt w:val="lowerLetter"/>
      <w:lvlText w:val="%8."/>
      <w:lvlJc w:val="left"/>
      <w:pPr>
        <w:ind w:left="7254" w:hanging="360"/>
      </w:pPr>
    </w:lvl>
    <w:lvl w:ilvl="8" w:tplc="080C001B" w:tentative="1">
      <w:start w:val="1"/>
      <w:numFmt w:val="lowerRoman"/>
      <w:lvlText w:val="%9."/>
      <w:lvlJc w:val="right"/>
      <w:pPr>
        <w:ind w:left="797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1"/>
  </w:num>
  <w:num w:numId="14">
    <w:abstractNumId w:val="20"/>
  </w:num>
  <w:num w:numId="15">
    <w:abstractNumId w:val="22"/>
  </w:num>
  <w:num w:numId="16">
    <w:abstractNumId w:val="10"/>
  </w:num>
  <w:num w:numId="17">
    <w:abstractNumId w:val="13"/>
  </w:num>
  <w:num w:numId="18">
    <w:abstractNumId w:val="15"/>
  </w:num>
  <w:num w:numId="19">
    <w:abstractNumId w:val="19"/>
  </w:num>
  <w:num w:numId="20">
    <w:abstractNumId w:val="14"/>
  </w:num>
  <w:num w:numId="21">
    <w:abstractNumId w:val="21"/>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042A9"/>
    <w:rsid w:val="00010C59"/>
    <w:rsid w:val="00016854"/>
    <w:rsid w:val="00027EF4"/>
    <w:rsid w:val="00034378"/>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85B"/>
    <w:rsid w:val="001176D6"/>
    <w:rsid w:val="001230CF"/>
    <w:rsid w:val="00123351"/>
    <w:rsid w:val="001343DF"/>
    <w:rsid w:val="00134642"/>
    <w:rsid w:val="0014495F"/>
    <w:rsid w:val="00150085"/>
    <w:rsid w:val="0015009E"/>
    <w:rsid w:val="00153C24"/>
    <w:rsid w:val="00165F3A"/>
    <w:rsid w:val="00167DBE"/>
    <w:rsid w:val="001752CB"/>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D5A9E"/>
    <w:rsid w:val="001E3936"/>
    <w:rsid w:val="001E7B67"/>
    <w:rsid w:val="001F594E"/>
    <w:rsid w:val="00202DA8"/>
    <w:rsid w:val="00206CA5"/>
    <w:rsid w:val="00211E0B"/>
    <w:rsid w:val="002248D1"/>
    <w:rsid w:val="00232DC0"/>
    <w:rsid w:val="002332BE"/>
    <w:rsid w:val="00241A70"/>
    <w:rsid w:val="0024772E"/>
    <w:rsid w:val="00265D22"/>
    <w:rsid w:val="00267F5F"/>
    <w:rsid w:val="00270951"/>
    <w:rsid w:val="00272334"/>
    <w:rsid w:val="00272C0A"/>
    <w:rsid w:val="00273459"/>
    <w:rsid w:val="00277019"/>
    <w:rsid w:val="002800DD"/>
    <w:rsid w:val="00286B4D"/>
    <w:rsid w:val="002875DA"/>
    <w:rsid w:val="002927C4"/>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175D4"/>
    <w:rsid w:val="003229D8"/>
    <w:rsid w:val="003305BF"/>
    <w:rsid w:val="00332191"/>
    <w:rsid w:val="003323BE"/>
    <w:rsid w:val="003361F0"/>
    <w:rsid w:val="00336311"/>
    <w:rsid w:val="00337150"/>
    <w:rsid w:val="00337A71"/>
    <w:rsid w:val="00352709"/>
    <w:rsid w:val="003607A0"/>
    <w:rsid w:val="003619B5"/>
    <w:rsid w:val="00361AC3"/>
    <w:rsid w:val="0036315B"/>
    <w:rsid w:val="00365763"/>
    <w:rsid w:val="00371178"/>
    <w:rsid w:val="00372819"/>
    <w:rsid w:val="00380B6A"/>
    <w:rsid w:val="00380FCC"/>
    <w:rsid w:val="0038789B"/>
    <w:rsid w:val="00391015"/>
    <w:rsid w:val="00392E47"/>
    <w:rsid w:val="003A5399"/>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4619"/>
    <w:rsid w:val="004B7D95"/>
    <w:rsid w:val="004C2461"/>
    <w:rsid w:val="004C7462"/>
    <w:rsid w:val="004D41F1"/>
    <w:rsid w:val="004E77B2"/>
    <w:rsid w:val="004F56C9"/>
    <w:rsid w:val="00500E20"/>
    <w:rsid w:val="00503411"/>
    <w:rsid w:val="0050350B"/>
    <w:rsid w:val="00503690"/>
    <w:rsid w:val="00504B2D"/>
    <w:rsid w:val="00505D50"/>
    <w:rsid w:val="00510CF8"/>
    <w:rsid w:val="00517F6A"/>
    <w:rsid w:val="0052136D"/>
    <w:rsid w:val="0052775E"/>
    <w:rsid w:val="00530EDF"/>
    <w:rsid w:val="0053789D"/>
    <w:rsid w:val="005420F2"/>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0C52"/>
    <w:rsid w:val="00602001"/>
    <w:rsid w:val="00605042"/>
    <w:rsid w:val="00610511"/>
    <w:rsid w:val="00611FC4"/>
    <w:rsid w:val="006163E7"/>
    <w:rsid w:val="006176FB"/>
    <w:rsid w:val="00620CEE"/>
    <w:rsid w:val="00621E01"/>
    <w:rsid w:val="0063342E"/>
    <w:rsid w:val="0063756B"/>
    <w:rsid w:val="00637EA9"/>
    <w:rsid w:val="00640B26"/>
    <w:rsid w:val="00652D0A"/>
    <w:rsid w:val="00662BB6"/>
    <w:rsid w:val="0066322D"/>
    <w:rsid w:val="00671B51"/>
    <w:rsid w:val="0067362F"/>
    <w:rsid w:val="00673D12"/>
    <w:rsid w:val="006764DF"/>
    <w:rsid w:val="00676606"/>
    <w:rsid w:val="0068235E"/>
    <w:rsid w:val="00684C21"/>
    <w:rsid w:val="006865D2"/>
    <w:rsid w:val="00694787"/>
    <w:rsid w:val="00696DAF"/>
    <w:rsid w:val="006A2530"/>
    <w:rsid w:val="006A6343"/>
    <w:rsid w:val="006B3BEB"/>
    <w:rsid w:val="006B7479"/>
    <w:rsid w:val="006C267F"/>
    <w:rsid w:val="006C3589"/>
    <w:rsid w:val="006D0FFB"/>
    <w:rsid w:val="006D143B"/>
    <w:rsid w:val="006D34B4"/>
    <w:rsid w:val="006D37AF"/>
    <w:rsid w:val="006D44A0"/>
    <w:rsid w:val="006D51D0"/>
    <w:rsid w:val="006D5FB9"/>
    <w:rsid w:val="006D658E"/>
    <w:rsid w:val="006E564B"/>
    <w:rsid w:val="006E7191"/>
    <w:rsid w:val="006F12C5"/>
    <w:rsid w:val="00701198"/>
    <w:rsid w:val="00701FB5"/>
    <w:rsid w:val="00703577"/>
    <w:rsid w:val="00705894"/>
    <w:rsid w:val="00711D0C"/>
    <w:rsid w:val="00712203"/>
    <w:rsid w:val="00717714"/>
    <w:rsid w:val="0072632A"/>
    <w:rsid w:val="007327D5"/>
    <w:rsid w:val="007332C6"/>
    <w:rsid w:val="007336A0"/>
    <w:rsid w:val="0073517B"/>
    <w:rsid w:val="007366C5"/>
    <w:rsid w:val="00736C51"/>
    <w:rsid w:val="00743C97"/>
    <w:rsid w:val="00746DE1"/>
    <w:rsid w:val="00747F2D"/>
    <w:rsid w:val="00755E6C"/>
    <w:rsid w:val="00756584"/>
    <w:rsid w:val="00756B3B"/>
    <w:rsid w:val="007629C8"/>
    <w:rsid w:val="00765F66"/>
    <w:rsid w:val="00767B94"/>
    <w:rsid w:val="0077047D"/>
    <w:rsid w:val="0077609A"/>
    <w:rsid w:val="00786AE2"/>
    <w:rsid w:val="007B2106"/>
    <w:rsid w:val="007B37D9"/>
    <w:rsid w:val="007B6BA5"/>
    <w:rsid w:val="007C246A"/>
    <w:rsid w:val="007C3390"/>
    <w:rsid w:val="007C39C2"/>
    <w:rsid w:val="007C4F4B"/>
    <w:rsid w:val="007D03DC"/>
    <w:rsid w:val="007D2A4D"/>
    <w:rsid w:val="007E01E9"/>
    <w:rsid w:val="007E157C"/>
    <w:rsid w:val="007E2C60"/>
    <w:rsid w:val="007E63F3"/>
    <w:rsid w:val="007F29D1"/>
    <w:rsid w:val="007F3C31"/>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40F93"/>
    <w:rsid w:val="00941619"/>
    <w:rsid w:val="009427DA"/>
    <w:rsid w:val="00943F28"/>
    <w:rsid w:val="009448C3"/>
    <w:rsid w:val="00944FF1"/>
    <w:rsid w:val="00972869"/>
    <w:rsid w:val="009737F1"/>
    <w:rsid w:val="00975B63"/>
    <w:rsid w:val="009760F3"/>
    <w:rsid w:val="00976CFB"/>
    <w:rsid w:val="00980319"/>
    <w:rsid w:val="009865C9"/>
    <w:rsid w:val="009873AE"/>
    <w:rsid w:val="009A0830"/>
    <w:rsid w:val="009A0E8D"/>
    <w:rsid w:val="009A7636"/>
    <w:rsid w:val="009B26E7"/>
    <w:rsid w:val="009B454C"/>
    <w:rsid w:val="009B6330"/>
    <w:rsid w:val="009B64BB"/>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56704"/>
    <w:rsid w:val="00A6129C"/>
    <w:rsid w:val="00A618CF"/>
    <w:rsid w:val="00A70FB7"/>
    <w:rsid w:val="00A728D2"/>
    <w:rsid w:val="00A72F22"/>
    <w:rsid w:val="00A7360F"/>
    <w:rsid w:val="00A748A6"/>
    <w:rsid w:val="00A769F4"/>
    <w:rsid w:val="00A776B4"/>
    <w:rsid w:val="00A87A91"/>
    <w:rsid w:val="00A94361"/>
    <w:rsid w:val="00AA293C"/>
    <w:rsid w:val="00AB160D"/>
    <w:rsid w:val="00AB3DD1"/>
    <w:rsid w:val="00AB4454"/>
    <w:rsid w:val="00AB59A1"/>
    <w:rsid w:val="00AB6D7D"/>
    <w:rsid w:val="00AC4511"/>
    <w:rsid w:val="00AC6853"/>
    <w:rsid w:val="00AE1254"/>
    <w:rsid w:val="00AE4A02"/>
    <w:rsid w:val="00AF04BC"/>
    <w:rsid w:val="00AF1B36"/>
    <w:rsid w:val="00AF484D"/>
    <w:rsid w:val="00B00D2D"/>
    <w:rsid w:val="00B0627E"/>
    <w:rsid w:val="00B15073"/>
    <w:rsid w:val="00B1726A"/>
    <w:rsid w:val="00B30179"/>
    <w:rsid w:val="00B408C5"/>
    <w:rsid w:val="00B421C1"/>
    <w:rsid w:val="00B47CC9"/>
    <w:rsid w:val="00B53C21"/>
    <w:rsid w:val="00B55C71"/>
    <w:rsid w:val="00B56E4A"/>
    <w:rsid w:val="00B56E9C"/>
    <w:rsid w:val="00B602B8"/>
    <w:rsid w:val="00B6184B"/>
    <w:rsid w:val="00B63919"/>
    <w:rsid w:val="00B64B1F"/>
    <w:rsid w:val="00B6553F"/>
    <w:rsid w:val="00B67855"/>
    <w:rsid w:val="00B72298"/>
    <w:rsid w:val="00B764E9"/>
    <w:rsid w:val="00B77D05"/>
    <w:rsid w:val="00B81206"/>
    <w:rsid w:val="00B81E12"/>
    <w:rsid w:val="00B91B13"/>
    <w:rsid w:val="00B91B38"/>
    <w:rsid w:val="00BA7BD1"/>
    <w:rsid w:val="00BC3FA0"/>
    <w:rsid w:val="00BC74E9"/>
    <w:rsid w:val="00BD2AE0"/>
    <w:rsid w:val="00BE0D43"/>
    <w:rsid w:val="00BE1550"/>
    <w:rsid w:val="00BE362B"/>
    <w:rsid w:val="00BF50D7"/>
    <w:rsid w:val="00BF68A8"/>
    <w:rsid w:val="00C03FB3"/>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87D95"/>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10CE"/>
    <w:rsid w:val="00D55855"/>
    <w:rsid w:val="00D606A2"/>
    <w:rsid w:val="00D6330E"/>
    <w:rsid w:val="00D71317"/>
    <w:rsid w:val="00D73523"/>
    <w:rsid w:val="00D773DF"/>
    <w:rsid w:val="00D77D19"/>
    <w:rsid w:val="00D95303"/>
    <w:rsid w:val="00D978C6"/>
    <w:rsid w:val="00D97D5B"/>
    <w:rsid w:val="00DA3C1C"/>
    <w:rsid w:val="00DA7846"/>
    <w:rsid w:val="00DB1107"/>
    <w:rsid w:val="00DC6954"/>
    <w:rsid w:val="00DC6D39"/>
    <w:rsid w:val="00DE352F"/>
    <w:rsid w:val="00DF4A93"/>
    <w:rsid w:val="00E046DF"/>
    <w:rsid w:val="00E04D13"/>
    <w:rsid w:val="00E22B0C"/>
    <w:rsid w:val="00E263F3"/>
    <w:rsid w:val="00E27346"/>
    <w:rsid w:val="00E40A45"/>
    <w:rsid w:val="00E435C6"/>
    <w:rsid w:val="00E560CA"/>
    <w:rsid w:val="00E56B62"/>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0355"/>
    <w:rsid w:val="00EC4B12"/>
    <w:rsid w:val="00ED481E"/>
    <w:rsid w:val="00ED7A2A"/>
    <w:rsid w:val="00EE2C7C"/>
    <w:rsid w:val="00EE343A"/>
    <w:rsid w:val="00EE45BF"/>
    <w:rsid w:val="00EE5661"/>
    <w:rsid w:val="00EF04E0"/>
    <w:rsid w:val="00EF0649"/>
    <w:rsid w:val="00EF1D7F"/>
    <w:rsid w:val="00EF6F11"/>
    <w:rsid w:val="00F13FA1"/>
    <w:rsid w:val="00F24A94"/>
    <w:rsid w:val="00F257F2"/>
    <w:rsid w:val="00F31E5F"/>
    <w:rsid w:val="00F34122"/>
    <w:rsid w:val="00F5288E"/>
    <w:rsid w:val="00F5569E"/>
    <w:rsid w:val="00F56C7F"/>
    <w:rsid w:val="00F6100A"/>
    <w:rsid w:val="00F6339E"/>
    <w:rsid w:val="00F647BF"/>
    <w:rsid w:val="00F718EF"/>
    <w:rsid w:val="00F71DD2"/>
    <w:rsid w:val="00F74B0D"/>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3839D4"/>
  <w15:docId w15:val="{2AD2EEBC-7FD9-4E8E-8A45-B1C85D2D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3</Pages>
  <Words>647</Words>
  <Characters>3689</Characters>
  <Application>Microsoft Office Word</Application>
  <DocSecurity>0</DocSecurity>
  <Lines>30</Lines>
  <Paragraphs>8</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ECE/TRANS/WP.29/GRSP/2018/24</vt:lpstr>
      <vt:lpstr>United Nations</vt:lpstr>
      <vt:lpstr>United Nations</vt:lpstr>
      <vt:lpstr>United Nations</vt:lpstr>
    </vt:vector>
  </TitlesOfParts>
  <Company>CSD</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ECE/TRANS/WP.29/GRSP/2018/24</dc:title>
  <dc:subject>1815926</dc:subject>
  <dc:creator>Una Giltsoff</dc:creator>
  <cp:keywords/>
  <dc:description/>
  <cp:lastModifiedBy>Benedicte Boudol</cp:lastModifiedBy>
  <cp:revision>2</cp:revision>
  <cp:lastPrinted>2018-09-06T10:20:00Z</cp:lastPrinted>
  <dcterms:created xsi:type="dcterms:W3CDTF">2018-10-24T14:34:00Z</dcterms:created>
  <dcterms:modified xsi:type="dcterms:W3CDTF">2018-10-24T14:34:00Z</dcterms:modified>
</cp:coreProperties>
</file>