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0913F4B" w14:textId="77777777" w:rsidTr="00C97039">
        <w:trPr>
          <w:trHeight w:hRule="exact" w:val="851"/>
        </w:trPr>
        <w:tc>
          <w:tcPr>
            <w:tcW w:w="1276" w:type="dxa"/>
            <w:tcBorders>
              <w:bottom w:val="single" w:sz="4" w:space="0" w:color="auto"/>
            </w:tcBorders>
          </w:tcPr>
          <w:p w14:paraId="08E59C8D" w14:textId="77777777" w:rsidR="00F35BAF" w:rsidRPr="00DB58B5" w:rsidRDefault="00F35BAF" w:rsidP="008365D6"/>
        </w:tc>
        <w:tc>
          <w:tcPr>
            <w:tcW w:w="2268" w:type="dxa"/>
            <w:tcBorders>
              <w:bottom w:val="single" w:sz="4" w:space="0" w:color="auto"/>
            </w:tcBorders>
            <w:vAlign w:val="bottom"/>
          </w:tcPr>
          <w:p w14:paraId="6BB38B1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1ECB2B9" w14:textId="77777777" w:rsidR="00F35BAF" w:rsidRPr="00DB58B5" w:rsidRDefault="008365D6" w:rsidP="008365D6">
            <w:pPr>
              <w:jc w:val="right"/>
            </w:pPr>
            <w:r w:rsidRPr="008365D6">
              <w:rPr>
                <w:sz w:val="40"/>
              </w:rPr>
              <w:t>ECE</w:t>
            </w:r>
            <w:r>
              <w:t>/TRANS/WP.29/GRSG/94</w:t>
            </w:r>
            <w:r w:rsidR="008D5B60" w:rsidRPr="008D5B60">
              <w:rPr>
                <w:rStyle w:val="FootnoteReference"/>
                <w:sz w:val="20"/>
                <w:vertAlign w:val="baseline"/>
              </w:rPr>
              <w:footnoteReference w:customMarkFollows="1" w:id="2"/>
              <w:t>*</w:t>
            </w:r>
          </w:p>
        </w:tc>
      </w:tr>
      <w:tr w:rsidR="00F35BAF" w:rsidRPr="00DB58B5" w14:paraId="0C27FE75" w14:textId="77777777" w:rsidTr="00C97039">
        <w:trPr>
          <w:trHeight w:hRule="exact" w:val="2835"/>
        </w:trPr>
        <w:tc>
          <w:tcPr>
            <w:tcW w:w="1276" w:type="dxa"/>
            <w:tcBorders>
              <w:top w:val="single" w:sz="4" w:space="0" w:color="auto"/>
              <w:bottom w:val="single" w:sz="12" w:space="0" w:color="auto"/>
            </w:tcBorders>
          </w:tcPr>
          <w:p w14:paraId="6F360326" w14:textId="77777777" w:rsidR="00F35BAF" w:rsidRPr="00DB58B5" w:rsidRDefault="00F35BAF" w:rsidP="00C97039">
            <w:pPr>
              <w:spacing w:before="120"/>
              <w:jc w:val="center"/>
            </w:pPr>
            <w:r>
              <w:rPr>
                <w:noProof/>
                <w:lang w:eastAsia="fr-CH"/>
              </w:rPr>
              <w:drawing>
                <wp:inline distT="0" distB="0" distL="0" distR="0" wp14:anchorId="18D8C4EB" wp14:editId="4F073C4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23C00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48A32FF" w14:textId="77777777" w:rsidR="00F35BAF" w:rsidRDefault="008365D6" w:rsidP="00C97039">
            <w:pPr>
              <w:spacing w:before="240"/>
            </w:pPr>
            <w:r>
              <w:t>Distr. générale</w:t>
            </w:r>
          </w:p>
          <w:p w14:paraId="64D3166F" w14:textId="77777777" w:rsidR="008365D6" w:rsidRDefault="008365D6" w:rsidP="008365D6">
            <w:pPr>
              <w:spacing w:line="240" w:lineRule="exact"/>
            </w:pPr>
            <w:r>
              <w:t>27 novembre 2018</w:t>
            </w:r>
          </w:p>
          <w:p w14:paraId="11108A33" w14:textId="77777777" w:rsidR="008365D6" w:rsidRDefault="008365D6" w:rsidP="008365D6">
            <w:pPr>
              <w:spacing w:line="240" w:lineRule="exact"/>
            </w:pPr>
            <w:r>
              <w:t>Français</w:t>
            </w:r>
          </w:p>
          <w:p w14:paraId="42929341" w14:textId="77777777" w:rsidR="008365D6" w:rsidRPr="00DB58B5" w:rsidRDefault="008365D6" w:rsidP="008365D6">
            <w:pPr>
              <w:spacing w:line="240" w:lineRule="exact"/>
            </w:pPr>
            <w:r>
              <w:t>Original : anglais</w:t>
            </w:r>
          </w:p>
        </w:tc>
      </w:tr>
    </w:tbl>
    <w:p w14:paraId="755979CF" w14:textId="77777777" w:rsidR="007F20FA" w:rsidRPr="000312C0" w:rsidRDefault="007F20FA" w:rsidP="007F20FA">
      <w:pPr>
        <w:spacing w:before="120"/>
        <w:rPr>
          <w:b/>
          <w:sz w:val="28"/>
          <w:szCs w:val="28"/>
        </w:rPr>
      </w:pPr>
      <w:r w:rsidRPr="000312C0">
        <w:rPr>
          <w:b/>
          <w:sz w:val="28"/>
          <w:szCs w:val="28"/>
        </w:rPr>
        <w:t>Commission économique pour l’Europe</w:t>
      </w:r>
    </w:p>
    <w:p w14:paraId="04A2F9F5" w14:textId="77777777" w:rsidR="007F20FA" w:rsidRDefault="007F20FA" w:rsidP="007F20FA">
      <w:pPr>
        <w:spacing w:before="120"/>
        <w:rPr>
          <w:sz w:val="28"/>
          <w:szCs w:val="28"/>
        </w:rPr>
      </w:pPr>
      <w:r w:rsidRPr="00685843">
        <w:rPr>
          <w:sz w:val="28"/>
          <w:szCs w:val="28"/>
        </w:rPr>
        <w:t>Comité des transports intérieurs</w:t>
      </w:r>
    </w:p>
    <w:p w14:paraId="7B5BD3F0" w14:textId="77777777" w:rsidR="008365D6" w:rsidRDefault="008365D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CDE9746" w14:textId="77777777" w:rsidR="008365D6" w:rsidRDefault="008365D6" w:rsidP="00257168">
      <w:pPr>
        <w:spacing w:before="120" w:after="120" w:line="240" w:lineRule="exact"/>
        <w:rPr>
          <w:b/>
        </w:rPr>
      </w:pPr>
      <w:r>
        <w:rPr>
          <w:b/>
        </w:rPr>
        <w:t>Groupe de travail des dispositions générales de sécurité</w:t>
      </w:r>
    </w:p>
    <w:p w14:paraId="525E2049" w14:textId="77777777" w:rsidR="008365D6" w:rsidRDefault="008365D6" w:rsidP="00257168">
      <w:pPr>
        <w:spacing w:before="120" w:line="240" w:lineRule="exact"/>
        <w:rPr>
          <w:b/>
        </w:rPr>
      </w:pPr>
      <w:r w:rsidRPr="00BB58C9">
        <w:rPr>
          <w:b/>
          <w:bCs/>
        </w:rPr>
        <w:t>115</w:t>
      </w:r>
      <w:r w:rsidRPr="00BB58C9">
        <w:rPr>
          <w:b/>
          <w:bCs/>
          <w:vertAlign w:val="superscript"/>
        </w:rPr>
        <w:t>e</w:t>
      </w:r>
      <w:r>
        <w:rPr>
          <w:b/>
          <w:bCs/>
        </w:rPr>
        <w:t> </w:t>
      </w:r>
      <w:r>
        <w:rPr>
          <w:b/>
        </w:rPr>
        <w:t>session</w:t>
      </w:r>
    </w:p>
    <w:p w14:paraId="000971C8" w14:textId="77777777" w:rsidR="008365D6" w:rsidRDefault="008365D6" w:rsidP="00257168">
      <w:pPr>
        <w:spacing w:line="240" w:lineRule="exact"/>
      </w:pPr>
      <w:r>
        <w:t xml:space="preserve">Genève, </w:t>
      </w:r>
      <w:r w:rsidRPr="008365D6">
        <w:t>9-12 octobre 2018</w:t>
      </w:r>
    </w:p>
    <w:p w14:paraId="055EB04B" w14:textId="77777777" w:rsidR="008365D6" w:rsidRDefault="008365D6" w:rsidP="008365D6">
      <w:pPr>
        <w:pStyle w:val="HChG"/>
      </w:pPr>
      <w:r>
        <w:tab/>
      </w:r>
      <w:r>
        <w:tab/>
      </w:r>
      <w:r w:rsidRPr="00BB58C9">
        <w:t xml:space="preserve">Rapport du Groupe de travail des dispositions </w:t>
      </w:r>
      <w:r>
        <w:br/>
      </w:r>
      <w:r w:rsidRPr="00BB58C9">
        <w:t>générales de sécurité sur sa 115</w:t>
      </w:r>
      <w:r w:rsidRPr="00BB58C9">
        <w:rPr>
          <w:vertAlign w:val="superscript"/>
        </w:rPr>
        <w:t>e</w:t>
      </w:r>
      <w:r>
        <w:t> </w:t>
      </w:r>
      <w:r w:rsidRPr="00BB58C9">
        <w:t>session</w:t>
      </w:r>
    </w:p>
    <w:p w14:paraId="1C9DEE4A" w14:textId="77777777" w:rsidR="008365D6" w:rsidRPr="008365D6" w:rsidRDefault="008365D6" w:rsidP="008365D6">
      <w:pPr>
        <w:spacing w:after="120"/>
        <w:rPr>
          <w:sz w:val="28"/>
        </w:rPr>
      </w:pPr>
      <w:r w:rsidRPr="008365D6">
        <w:rPr>
          <w:sz w:val="28"/>
        </w:rPr>
        <w:t>Table des matières</w:t>
      </w:r>
    </w:p>
    <w:p w14:paraId="71CB4120" w14:textId="77777777" w:rsidR="008365D6" w:rsidRPr="008365D6" w:rsidRDefault="008365D6" w:rsidP="008365D6">
      <w:pPr>
        <w:tabs>
          <w:tab w:val="right" w:pos="8929"/>
          <w:tab w:val="right" w:pos="9638"/>
        </w:tabs>
        <w:spacing w:after="120"/>
        <w:ind w:left="283"/>
        <w:rPr>
          <w:i/>
          <w:sz w:val="18"/>
        </w:rPr>
      </w:pPr>
      <w:r w:rsidRPr="008365D6">
        <w:rPr>
          <w:i/>
          <w:sz w:val="18"/>
        </w:rPr>
        <w:tab/>
        <w:t>Paragraphes</w:t>
      </w:r>
      <w:r w:rsidRPr="008365D6">
        <w:rPr>
          <w:i/>
          <w:sz w:val="18"/>
        </w:rPr>
        <w:tab/>
        <w:t>Page</w:t>
      </w:r>
    </w:p>
    <w:p w14:paraId="1D8E51C0" w14:textId="77777777" w:rsidR="008365D6" w:rsidRDefault="008365D6" w:rsidP="008365D6">
      <w:pPr>
        <w:tabs>
          <w:tab w:val="right" w:pos="850"/>
          <w:tab w:val="right" w:leader="dot" w:pos="7654"/>
          <w:tab w:val="right" w:pos="8929"/>
          <w:tab w:val="right" w:pos="9638"/>
        </w:tabs>
        <w:spacing w:after="120"/>
        <w:ind w:left="1134" w:hanging="1134"/>
      </w:pPr>
      <w:r>
        <w:tab/>
        <w:t>I.</w:t>
      </w:r>
      <w:r>
        <w:tab/>
      </w:r>
      <w:r w:rsidRPr="00BA020F">
        <w:t>Participation</w:t>
      </w:r>
      <w:r>
        <w:tab/>
      </w:r>
      <w:r>
        <w:tab/>
        <w:t>1</w:t>
      </w:r>
      <w:r>
        <w:tab/>
      </w:r>
      <w:r w:rsidR="00A3314E">
        <w:t>3</w:t>
      </w:r>
    </w:p>
    <w:p w14:paraId="77E30697" w14:textId="77777777" w:rsidR="008365D6" w:rsidRDefault="008365D6" w:rsidP="008365D6">
      <w:pPr>
        <w:tabs>
          <w:tab w:val="right" w:pos="850"/>
          <w:tab w:val="right" w:leader="dot" w:pos="7654"/>
          <w:tab w:val="right" w:pos="8929"/>
          <w:tab w:val="right" w:pos="9638"/>
        </w:tabs>
        <w:spacing w:after="120"/>
        <w:ind w:left="1134" w:hanging="1134"/>
      </w:pPr>
      <w:r>
        <w:tab/>
        <w:t>II.</w:t>
      </w:r>
      <w:r>
        <w:tab/>
      </w:r>
      <w:r w:rsidR="00BA020F" w:rsidRPr="00BA020F">
        <w:t>Adoption de l’ordre du jour (point 1 de l’ordre du jour)</w:t>
      </w:r>
      <w:r>
        <w:tab/>
      </w:r>
      <w:r>
        <w:tab/>
        <w:t>2−4</w:t>
      </w:r>
      <w:r>
        <w:tab/>
      </w:r>
      <w:r w:rsidR="00A3314E">
        <w:t>3</w:t>
      </w:r>
    </w:p>
    <w:p w14:paraId="5B80D8DF" w14:textId="77777777" w:rsidR="008365D6" w:rsidRDefault="008365D6" w:rsidP="008365D6">
      <w:pPr>
        <w:tabs>
          <w:tab w:val="right" w:pos="850"/>
          <w:tab w:val="right" w:leader="dot" w:pos="7654"/>
          <w:tab w:val="right" w:pos="8929"/>
          <w:tab w:val="right" w:pos="9638"/>
        </w:tabs>
        <w:spacing w:after="120"/>
        <w:ind w:left="1134" w:hanging="1134"/>
      </w:pPr>
      <w:r>
        <w:tab/>
        <w:t>III.</w:t>
      </w:r>
      <w:r>
        <w:tab/>
      </w:r>
      <w:r w:rsidR="00BA020F" w:rsidRPr="00BA020F">
        <w:t xml:space="preserve">Amendements aux Règlements sur les autobus et les autocars </w:t>
      </w:r>
      <w:r w:rsidR="00BA020F">
        <w:br/>
      </w:r>
      <w:r w:rsidR="00BA020F" w:rsidRPr="00BA020F">
        <w:t>(point 2 de l’ordre du jour)</w:t>
      </w:r>
      <w:r>
        <w:tab/>
      </w:r>
      <w:r>
        <w:tab/>
        <w:t>5−11</w:t>
      </w:r>
      <w:r>
        <w:tab/>
      </w:r>
      <w:r w:rsidR="00A3314E">
        <w:t>4</w:t>
      </w:r>
    </w:p>
    <w:p w14:paraId="790CD353" w14:textId="77777777" w:rsidR="008365D6" w:rsidRDefault="008365D6" w:rsidP="008365D6">
      <w:pPr>
        <w:tabs>
          <w:tab w:val="right" w:leader="dot" w:pos="7654"/>
          <w:tab w:val="right" w:pos="8929"/>
          <w:tab w:val="right" w:pos="9638"/>
        </w:tabs>
        <w:spacing w:after="120"/>
        <w:ind w:left="1559" w:hanging="425"/>
      </w:pPr>
      <w:r>
        <w:t>A.</w:t>
      </w:r>
      <w:r>
        <w:tab/>
      </w:r>
      <w:r w:rsidR="00BA020F" w:rsidRPr="00BA020F">
        <w:t xml:space="preserve">Règlement ONU </w:t>
      </w:r>
      <w:r w:rsidR="00BA020F" w:rsidRPr="002D76F4">
        <w:rPr>
          <w:rFonts w:eastAsia="MS Mincho"/>
          <w:szCs w:val="22"/>
        </w:rPr>
        <w:t>n</w:t>
      </w:r>
      <w:r w:rsidR="00BA020F" w:rsidRPr="002D76F4">
        <w:rPr>
          <w:rFonts w:eastAsia="MS Mincho"/>
          <w:szCs w:val="22"/>
          <w:vertAlign w:val="superscript"/>
        </w:rPr>
        <w:t>o</w:t>
      </w:r>
      <w:r w:rsidR="00BA020F" w:rsidRPr="00BA020F">
        <w:t> 107 (Véhicules des catégories M2 et M3)</w:t>
      </w:r>
      <w:r>
        <w:tab/>
      </w:r>
      <w:r>
        <w:tab/>
        <w:t>5−9</w:t>
      </w:r>
      <w:r>
        <w:tab/>
      </w:r>
      <w:r w:rsidR="00A3314E">
        <w:t>4</w:t>
      </w:r>
    </w:p>
    <w:p w14:paraId="7C142211" w14:textId="77777777" w:rsidR="008365D6" w:rsidRDefault="008365D6" w:rsidP="008365D6">
      <w:pPr>
        <w:tabs>
          <w:tab w:val="right" w:leader="dot" w:pos="7654"/>
          <w:tab w:val="right" w:pos="8929"/>
          <w:tab w:val="right" w:pos="9638"/>
        </w:tabs>
        <w:spacing w:after="120"/>
        <w:ind w:left="1559" w:hanging="425"/>
      </w:pPr>
      <w:r>
        <w:t>B.</w:t>
      </w:r>
      <w:r>
        <w:tab/>
      </w:r>
      <w:r w:rsidR="00BA020F" w:rsidRPr="00BA020F">
        <w:t>Règlement ONU n</w:t>
      </w:r>
      <w:r w:rsidR="00BA020F" w:rsidRPr="00BA020F">
        <w:rPr>
          <w:vertAlign w:val="superscript"/>
        </w:rPr>
        <w:t>o</w:t>
      </w:r>
      <w:r w:rsidR="00BA020F" w:rsidRPr="00BA020F">
        <w:t> 118 (Comportement au feu des matériaux)</w:t>
      </w:r>
      <w:r>
        <w:tab/>
      </w:r>
      <w:r>
        <w:tab/>
        <w:t>10−11</w:t>
      </w:r>
      <w:r>
        <w:tab/>
      </w:r>
      <w:r w:rsidR="00A3314E">
        <w:t>5</w:t>
      </w:r>
    </w:p>
    <w:p w14:paraId="2B6BDD63" w14:textId="77777777" w:rsidR="008365D6" w:rsidRDefault="008365D6" w:rsidP="008365D6">
      <w:pPr>
        <w:tabs>
          <w:tab w:val="right" w:pos="850"/>
          <w:tab w:val="right" w:leader="dot" w:pos="7654"/>
          <w:tab w:val="right" w:pos="8929"/>
          <w:tab w:val="right" w:pos="9638"/>
        </w:tabs>
        <w:spacing w:after="120"/>
        <w:ind w:left="1134" w:hanging="1134"/>
      </w:pPr>
      <w:r>
        <w:tab/>
        <w:t>IV.</w:t>
      </w:r>
      <w:r>
        <w:tab/>
      </w:r>
      <w:r w:rsidR="002C2489" w:rsidRPr="002C2489">
        <w:t>Règlement ONU n</w:t>
      </w:r>
      <w:r w:rsidR="002C2489" w:rsidRPr="002C2489">
        <w:rPr>
          <w:vertAlign w:val="superscript"/>
        </w:rPr>
        <w:t>o</w:t>
      </w:r>
      <w:r w:rsidR="002C2489" w:rsidRPr="002C2489">
        <w:t xml:space="preserve"> 26 (Saillies extérieures des voitures particulières) </w:t>
      </w:r>
      <w:r w:rsidR="002C2489">
        <w:br/>
      </w:r>
      <w:r w:rsidR="002C2489" w:rsidRPr="002C2489">
        <w:t>(point 3 de l’ordre du jour)</w:t>
      </w:r>
      <w:r>
        <w:tab/>
      </w:r>
      <w:r>
        <w:tab/>
        <w:t>12−13</w:t>
      </w:r>
      <w:r>
        <w:tab/>
      </w:r>
      <w:r w:rsidR="00A3314E">
        <w:t>5</w:t>
      </w:r>
    </w:p>
    <w:p w14:paraId="6418F881" w14:textId="77777777" w:rsidR="008365D6" w:rsidRDefault="008365D6" w:rsidP="008365D6">
      <w:pPr>
        <w:tabs>
          <w:tab w:val="right" w:pos="850"/>
          <w:tab w:val="right" w:leader="dot" w:pos="7654"/>
          <w:tab w:val="right" w:pos="8929"/>
          <w:tab w:val="right" w:pos="9638"/>
        </w:tabs>
        <w:spacing w:after="120"/>
        <w:ind w:left="1134" w:hanging="1134"/>
      </w:pPr>
      <w:r>
        <w:tab/>
        <w:t>V.</w:t>
      </w:r>
      <w:r>
        <w:tab/>
      </w:r>
      <w:r w:rsidR="002C2489" w:rsidRPr="002C2489">
        <w:t xml:space="preserve">Règlement ONU </w:t>
      </w:r>
      <w:r w:rsidR="002C2489" w:rsidRPr="002D76F4">
        <w:rPr>
          <w:rFonts w:eastAsia="MS Mincho"/>
          <w:szCs w:val="22"/>
        </w:rPr>
        <w:t>n</w:t>
      </w:r>
      <w:r w:rsidR="002C2489" w:rsidRPr="002D76F4">
        <w:rPr>
          <w:rFonts w:eastAsia="MS Mincho"/>
          <w:szCs w:val="22"/>
          <w:vertAlign w:val="superscript"/>
        </w:rPr>
        <w:t>o</w:t>
      </w:r>
      <w:r w:rsidR="002C2489">
        <w:t> </w:t>
      </w:r>
      <w:r w:rsidR="002C2489" w:rsidRPr="002C2489">
        <w:t xml:space="preserve">35 (Disposition des pédales de commande) </w:t>
      </w:r>
      <w:r w:rsidR="002C2489">
        <w:br/>
      </w:r>
      <w:r w:rsidR="002C2489" w:rsidRPr="002C2489">
        <w:t>(point 4 de l’ordre du jour)</w:t>
      </w:r>
      <w:r>
        <w:tab/>
      </w:r>
      <w:r>
        <w:tab/>
        <w:t>14</w:t>
      </w:r>
      <w:r>
        <w:tab/>
      </w:r>
      <w:r w:rsidR="00A3314E">
        <w:t>6</w:t>
      </w:r>
    </w:p>
    <w:p w14:paraId="2D024907" w14:textId="77777777" w:rsidR="008365D6" w:rsidRDefault="008365D6" w:rsidP="008365D6">
      <w:pPr>
        <w:tabs>
          <w:tab w:val="right" w:pos="850"/>
          <w:tab w:val="right" w:leader="dot" w:pos="7654"/>
          <w:tab w:val="right" w:pos="8929"/>
          <w:tab w:val="right" w:pos="9638"/>
        </w:tabs>
        <w:spacing w:after="120"/>
        <w:ind w:left="1134" w:hanging="1134"/>
      </w:pPr>
      <w:r>
        <w:tab/>
        <w:t>VI.</w:t>
      </w:r>
      <w:r>
        <w:tab/>
      </w:r>
      <w:r w:rsidR="002C2489" w:rsidRPr="002C2489">
        <w:t xml:space="preserve">Amendements aux règlements relatifs aux vitrages de sécurité </w:t>
      </w:r>
      <w:r w:rsidR="002C2489">
        <w:br/>
      </w:r>
      <w:r w:rsidR="002C2489" w:rsidRPr="002C2489">
        <w:t>(point</w:t>
      </w:r>
      <w:r w:rsidR="002C2489">
        <w:t> </w:t>
      </w:r>
      <w:r w:rsidR="002C2489" w:rsidRPr="002C2489">
        <w:t>5 de l’ordre du jour)</w:t>
      </w:r>
      <w:r>
        <w:tab/>
      </w:r>
      <w:r>
        <w:tab/>
        <w:t>15−21</w:t>
      </w:r>
      <w:r>
        <w:tab/>
      </w:r>
      <w:r w:rsidR="00A3314E">
        <w:t>6</w:t>
      </w:r>
    </w:p>
    <w:p w14:paraId="4BB8550E" w14:textId="77777777" w:rsidR="008365D6" w:rsidRDefault="008365D6" w:rsidP="008365D6">
      <w:pPr>
        <w:tabs>
          <w:tab w:val="right" w:leader="dot" w:pos="7654"/>
          <w:tab w:val="right" w:pos="8929"/>
          <w:tab w:val="right" w:pos="9638"/>
        </w:tabs>
        <w:spacing w:after="120"/>
        <w:ind w:left="1559" w:hanging="425"/>
      </w:pPr>
      <w:r>
        <w:t>A.</w:t>
      </w:r>
      <w:r>
        <w:tab/>
      </w:r>
      <w:r w:rsidR="002C2489" w:rsidRPr="002C2489">
        <w:t xml:space="preserve">Règlement technique mondial ONU </w:t>
      </w:r>
      <w:r w:rsidR="00007C96" w:rsidRPr="00007C96">
        <w:rPr>
          <w:rFonts w:eastAsia="MS Mincho"/>
          <w:szCs w:val="22"/>
        </w:rPr>
        <w:t>n</w:t>
      </w:r>
      <w:r w:rsidR="00007C96" w:rsidRPr="00007C96">
        <w:rPr>
          <w:rFonts w:eastAsia="MS Mincho"/>
          <w:szCs w:val="22"/>
          <w:vertAlign w:val="superscript"/>
        </w:rPr>
        <w:t>o</w:t>
      </w:r>
      <w:r w:rsidR="002C2489" w:rsidRPr="002C2489">
        <w:t> 6 (Vitrages de sécurité)</w:t>
      </w:r>
      <w:r>
        <w:tab/>
      </w:r>
      <w:r>
        <w:tab/>
        <w:t>17−18</w:t>
      </w:r>
      <w:r>
        <w:tab/>
      </w:r>
      <w:r w:rsidR="00A3314E">
        <w:t>6</w:t>
      </w:r>
    </w:p>
    <w:p w14:paraId="79A3C6CF" w14:textId="77777777" w:rsidR="008365D6" w:rsidRDefault="008365D6" w:rsidP="008365D6">
      <w:pPr>
        <w:tabs>
          <w:tab w:val="right" w:leader="dot" w:pos="7654"/>
          <w:tab w:val="right" w:pos="8929"/>
          <w:tab w:val="right" w:pos="9638"/>
        </w:tabs>
        <w:spacing w:after="120"/>
        <w:ind w:left="1559" w:hanging="425"/>
      </w:pPr>
      <w:r>
        <w:t>B.</w:t>
      </w:r>
      <w:r>
        <w:tab/>
      </w:r>
      <w:r w:rsidR="002C2489" w:rsidRPr="002C2489">
        <w:t>Règlement ONU n</w:t>
      </w:r>
      <w:r w:rsidR="002C2489" w:rsidRPr="002C2489">
        <w:rPr>
          <w:vertAlign w:val="superscript"/>
        </w:rPr>
        <w:t>o</w:t>
      </w:r>
      <w:r w:rsidR="002C2489" w:rsidRPr="002C2489">
        <w:t> 43 (Vitrages de sécurité)</w:t>
      </w:r>
      <w:r>
        <w:tab/>
      </w:r>
      <w:r>
        <w:tab/>
        <w:t>19−21</w:t>
      </w:r>
      <w:r>
        <w:tab/>
      </w:r>
      <w:r w:rsidR="00A3314E">
        <w:t>6</w:t>
      </w:r>
    </w:p>
    <w:p w14:paraId="1B0EF367" w14:textId="77777777" w:rsidR="008365D6" w:rsidRDefault="008365D6" w:rsidP="008365D6">
      <w:pPr>
        <w:tabs>
          <w:tab w:val="right" w:pos="850"/>
          <w:tab w:val="right" w:leader="dot" w:pos="7654"/>
          <w:tab w:val="right" w:pos="8929"/>
          <w:tab w:val="right" w:pos="9638"/>
        </w:tabs>
        <w:spacing w:after="120"/>
        <w:ind w:left="1134" w:hanging="1134"/>
      </w:pPr>
      <w:r>
        <w:tab/>
        <w:t>VII.</w:t>
      </w:r>
      <w:r>
        <w:tab/>
      </w:r>
      <w:r w:rsidR="002C2489" w:rsidRPr="002C2489">
        <w:t xml:space="preserve">Sensibilisation à la proximité d’usagers de la route vulnérables </w:t>
      </w:r>
      <w:r w:rsidR="002C2489">
        <w:br/>
      </w:r>
      <w:r w:rsidR="002C2489" w:rsidRPr="002C2489">
        <w:t>(point 6 de l’ordre du jour)</w:t>
      </w:r>
      <w:r>
        <w:tab/>
      </w:r>
      <w:r>
        <w:tab/>
        <w:t>22−26</w:t>
      </w:r>
      <w:r>
        <w:tab/>
      </w:r>
      <w:r w:rsidR="00A3314E">
        <w:t>7</w:t>
      </w:r>
    </w:p>
    <w:p w14:paraId="279C882B" w14:textId="77777777" w:rsidR="008365D6" w:rsidRDefault="008365D6" w:rsidP="008365D6">
      <w:pPr>
        <w:tabs>
          <w:tab w:val="right" w:leader="dot" w:pos="7654"/>
          <w:tab w:val="right" w:pos="8929"/>
          <w:tab w:val="right" w:pos="9638"/>
        </w:tabs>
        <w:spacing w:after="120"/>
        <w:ind w:left="1559" w:hanging="425"/>
      </w:pPr>
      <w:r>
        <w:t>A.</w:t>
      </w:r>
      <w:r>
        <w:tab/>
      </w:r>
      <w:r w:rsidR="002C2489" w:rsidRPr="002C2489">
        <w:t>Règlement ONU n</w:t>
      </w:r>
      <w:r w:rsidR="002C2489" w:rsidRPr="002C2489">
        <w:rPr>
          <w:vertAlign w:val="superscript"/>
        </w:rPr>
        <w:t>o</w:t>
      </w:r>
      <w:r w:rsidR="002C2489" w:rsidRPr="002C2489">
        <w:t> 46 (Dispositifs de vision indirecte)</w:t>
      </w:r>
      <w:r>
        <w:tab/>
      </w:r>
      <w:r>
        <w:tab/>
        <w:t>23−24</w:t>
      </w:r>
      <w:r>
        <w:tab/>
      </w:r>
      <w:r w:rsidR="00A3314E">
        <w:t>7</w:t>
      </w:r>
    </w:p>
    <w:p w14:paraId="3B20939E" w14:textId="77777777" w:rsidR="008365D6" w:rsidRDefault="008365D6" w:rsidP="008365D6">
      <w:pPr>
        <w:tabs>
          <w:tab w:val="right" w:leader="dot" w:pos="7654"/>
          <w:tab w:val="right" w:pos="8929"/>
          <w:tab w:val="right" w:pos="9638"/>
        </w:tabs>
        <w:spacing w:after="120"/>
        <w:ind w:left="1559" w:hanging="425"/>
      </w:pPr>
      <w:r>
        <w:t>B.</w:t>
      </w:r>
      <w:r>
        <w:tab/>
      </w:r>
      <w:r w:rsidR="007972EE" w:rsidRPr="007972EE">
        <w:t xml:space="preserve">Nouveau règlement ONU sur les systèmes de surveillance </w:t>
      </w:r>
      <w:r w:rsidR="007972EE" w:rsidRPr="007972EE">
        <w:br/>
        <w:t>de l’angle mort (BSIS)</w:t>
      </w:r>
      <w:r>
        <w:tab/>
      </w:r>
      <w:r>
        <w:tab/>
        <w:t>25−26</w:t>
      </w:r>
      <w:r>
        <w:tab/>
      </w:r>
      <w:r w:rsidR="00A3314E">
        <w:t>8</w:t>
      </w:r>
    </w:p>
    <w:p w14:paraId="6BCBDE80" w14:textId="77777777" w:rsidR="008365D6" w:rsidRDefault="008365D6" w:rsidP="000B1885">
      <w:pPr>
        <w:keepNext/>
        <w:keepLines/>
        <w:tabs>
          <w:tab w:val="right" w:pos="850"/>
          <w:tab w:val="right" w:leader="dot" w:pos="7654"/>
          <w:tab w:val="right" w:pos="8929"/>
          <w:tab w:val="right" w:pos="9638"/>
        </w:tabs>
        <w:spacing w:after="120"/>
        <w:ind w:left="1134" w:hanging="1134"/>
      </w:pPr>
      <w:r>
        <w:lastRenderedPageBreak/>
        <w:tab/>
        <w:t>VIII.</w:t>
      </w:r>
      <w:r>
        <w:tab/>
      </w:r>
      <w:r w:rsidR="007972EE" w:rsidRPr="007972EE">
        <w:t>Règlement ONU n</w:t>
      </w:r>
      <w:r w:rsidR="007972EE" w:rsidRPr="007972EE">
        <w:rPr>
          <w:vertAlign w:val="superscript"/>
        </w:rPr>
        <w:t>o</w:t>
      </w:r>
      <w:r w:rsidR="007972EE" w:rsidRPr="007972EE">
        <w:t xml:space="preserve"> 55 (Pièces mécaniques d’attelage) </w:t>
      </w:r>
      <w:r w:rsidR="007972EE" w:rsidRPr="007972EE">
        <w:br/>
        <w:t>(point 7 de l’ordre du jour)</w:t>
      </w:r>
      <w:r>
        <w:tab/>
      </w:r>
      <w:r>
        <w:tab/>
        <w:t>27−30</w:t>
      </w:r>
      <w:r>
        <w:tab/>
      </w:r>
      <w:r w:rsidR="00E839A2">
        <w:t>8</w:t>
      </w:r>
    </w:p>
    <w:p w14:paraId="0723C6FF" w14:textId="77777777" w:rsidR="008365D6" w:rsidRDefault="008365D6" w:rsidP="008365D6">
      <w:pPr>
        <w:tabs>
          <w:tab w:val="right" w:pos="850"/>
          <w:tab w:val="right" w:leader="dot" w:pos="7654"/>
          <w:tab w:val="right" w:pos="8929"/>
          <w:tab w:val="right" w:pos="9638"/>
        </w:tabs>
        <w:spacing w:after="120"/>
        <w:ind w:left="1134" w:hanging="1134"/>
      </w:pPr>
      <w:r>
        <w:tab/>
        <w:t>IX.</w:t>
      </w:r>
      <w:r>
        <w:tab/>
      </w:r>
      <w:r w:rsidR="007972EE" w:rsidRPr="007972EE">
        <w:t>Règlement ONU n</w:t>
      </w:r>
      <w:r w:rsidR="007972EE" w:rsidRPr="007972EE">
        <w:rPr>
          <w:vertAlign w:val="superscript"/>
        </w:rPr>
        <w:t>o</w:t>
      </w:r>
      <w:r w:rsidR="007972EE" w:rsidRPr="007972EE">
        <w:t xml:space="preserve"> 62 (Dispositifs antivol des cyclomoteurs et motocycles) </w:t>
      </w:r>
      <w:r w:rsidR="007972EE">
        <w:br/>
      </w:r>
      <w:r w:rsidR="007972EE" w:rsidRPr="007972EE">
        <w:t>(point 8 de l’ordre du jour)</w:t>
      </w:r>
      <w:r>
        <w:tab/>
      </w:r>
      <w:r>
        <w:tab/>
        <w:t>31</w:t>
      </w:r>
      <w:r>
        <w:tab/>
      </w:r>
      <w:r w:rsidR="00E839A2">
        <w:t>9</w:t>
      </w:r>
    </w:p>
    <w:p w14:paraId="0295C6BC" w14:textId="77777777" w:rsidR="008365D6" w:rsidRDefault="008365D6" w:rsidP="008365D6">
      <w:pPr>
        <w:tabs>
          <w:tab w:val="right" w:pos="850"/>
          <w:tab w:val="right" w:leader="dot" w:pos="7654"/>
          <w:tab w:val="right" w:pos="8929"/>
          <w:tab w:val="right" w:pos="9638"/>
        </w:tabs>
        <w:spacing w:after="120"/>
        <w:ind w:left="1134" w:hanging="1134"/>
      </w:pPr>
      <w:r>
        <w:tab/>
        <w:t>X.</w:t>
      </w:r>
      <w:r>
        <w:tab/>
      </w:r>
      <w:r w:rsidR="007972EE" w:rsidRPr="007972EE">
        <w:t xml:space="preserve">Amendements aux règlements concernant les véhicules fonctionnant au gaz </w:t>
      </w:r>
      <w:r w:rsidR="007972EE">
        <w:br/>
      </w:r>
      <w:r w:rsidR="007972EE" w:rsidRPr="007972EE">
        <w:t>(point 9 de l’ordre du jour)</w:t>
      </w:r>
      <w:r>
        <w:tab/>
      </w:r>
      <w:r>
        <w:tab/>
        <w:t>32−42</w:t>
      </w:r>
      <w:r>
        <w:tab/>
      </w:r>
      <w:r w:rsidR="00E839A2">
        <w:t>9</w:t>
      </w:r>
    </w:p>
    <w:p w14:paraId="46F5C036" w14:textId="77777777" w:rsidR="008365D6" w:rsidRDefault="008365D6" w:rsidP="008365D6">
      <w:pPr>
        <w:tabs>
          <w:tab w:val="right" w:leader="dot" w:pos="7654"/>
          <w:tab w:val="right" w:pos="8929"/>
          <w:tab w:val="right" w:pos="9638"/>
        </w:tabs>
        <w:spacing w:after="120"/>
        <w:ind w:left="1559" w:hanging="425"/>
      </w:pPr>
      <w:r>
        <w:t>A.</w:t>
      </w:r>
      <w:r>
        <w:tab/>
      </w:r>
      <w:r w:rsidR="007972EE" w:rsidRPr="007972EE">
        <w:t>Règlement ONU n</w:t>
      </w:r>
      <w:r w:rsidR="007972EE" w:rsidRPr="007972EE">
        <w:rPr>
          <w:vertAlign w:val="superscript"/>
        </w:rPr>
        <w:t>o</w:t>
      </w:r>
      <w:r w:rsidR="007972EE" w:rsidRPr="007972EE">
        <w:t> 67 (Véhicules alimentés au GPL)</w:t>
      </w:r>
      <w:r>
        <w:tab/>
      </w:r>
      <w:r>
        <w:tab/>
        <w:t>34−36</w:t>
      </w:r>
      <w:r>
        <w:tab/>
      </w:r>
      <w:r w:rsidR="00E839A2">
        <w:t>10</w:t>
      </w:r>
    </w:p>
    <w:p w14:paraId="5CDBAE03" w14:textId="77777777" w:rsidR="008365D6" w:rsidRDefault="008365D6" w:rsidP="008365D6">
      <w:pPr>
        <w:tabs>
          <w:tab w:val="right" w:leader="dot" w:pos="7654"/>
          <w:tab w:val="right" w:pos="8929"/>
          <w:tab w:val="right" w:pos="9638"/>
        </w:tabs>
        <w:spacing w:after="120"/>
        <w:ind w:left="1559" w:hanging="425"/>
      </w:pPr>
      <w:r>
        <w:t>B.</w:t>
      </w:r>
      <w:r>
        <w:tab/>
      </w:r>
      <w:r w:rsidR="007972EE" w:rsidRPr="007972EE">
        <w:t>Règlement ONU n</w:t>
      </w:r>
      <w:r w:rsidR="007972EE" w:rsidRPr="007972EE">
        <w:rPr>
          <w:vertAlign w:val="superscript"/>
        </w:rPr>
        <w:t>o</w:t>
      </w:r>
      <w:r w:rsidR="007972EE" w:rsidRPr="007972EE">
        <w:t> 110 (Véhicules alimentés au GNC/GNL)</w:t>
      </w:r>
      <w:r>
        <w:tab/>
      </w:r>
      <w:r>
        <w:tab/>
        <w:t>37−42</w:t>
      </w:r>
      <w:r>
        <w:tab/>
      </w:r>
      <w:r w:rsidR="00E839A2">
        <w:t>10</w:t>
      </w:r>
    </w:p>
    <w:p w14:paraId="72AF8420" w14:textId="77777777" w:rsidR="008365D6" w:rsidRDefault="008365D6" w:rsidP="008365D6">
      <w:pPr>
        <w:tabs>
          <w:tab w:val="right" w:pos="850"/>
          <w:tab w:val="right" w:leader="dot" w:pos="7654"/>
          <w:tab w:val="right" w:pos="8929"/>
          <w:tab w:val="right" w:pos="9638"/>
        </w:tabs>
        <w:spacing w:after="120"/>
        <w:ind w:left="1134" w:hanging="1134"/>
      </w:pPr>
      <w:r>
        <w:tab/>
        <w:t>XI.</w:t>
      </w:r>
      <w:r>
        <w:tab/>
      </w:r>
      <w:r w:rsidR="007972EE" w:rsidRPr="007972EE">
        <w:t>Règlement ONU n</w:t>
      </w:r>
      <w:r w:rsidR="007972EE" w:rsidRPr="007972EE">
        <w:rPr>
          <w:vertAlign w:val="superscript"/>
        </w:rPr>
        <w:t>o</w:t>
      </w:r>
      <w:r w:rsidR="007972EE" w:rsidRPr="007972EE">
        <w:t xml:space="preserve"> 73 (Dispositifs de protection latérale) </w:t>
      </w:r>
      <w:r w:rsidR="007972EE">
        <w:br/>
      </w:r>
      <w:r w:rsidR="007972EE" w:rsidRPr="007972EE">
        <w:t>(point 10 de l’ordre du jour)</w:t>
      </w:r>
      <w:r>
        <w:tab/>
      </w:r>
      <w:r>
        <w:tab/>
        <w:t>43−44</w:t>
      </w:r>
      <w:r>
        <w:tab/>
      </w:r>
      <w:r w:rsidR="00E839A2">
        <w:t>11</w:t>
      </w:r>
    </w:p>
    <w:p w14:paraId="526CB410" w14:textId="77777777" w:rsidR="008365D6" w:rsidRDefault="008365D6" w:rsidP="008365D6">
      <w:pPr>
        <w:tabs>
          <w:tab w:val="right" w:pos="850"/>
          <w:tab w:val="right" w:leader="dot" w:pos="7654"/>
          <w:tab w:val="right" w:pos="8929"/>
          <w:tab w:val="right" w:pos="9638"/>
        </w:tabs>
        <w:spacing w:after="120"/>
        <w:ind w:left="1134" w:hanging="1134"/>
      </w:pPr>
      <w:r>
        <w:tab/>
        <w:t>XII.</w:t>
      </w:r>
      <w:r>
        <w:tab/>
      </w:r>
      <w:r w:rsidR="007972EE" w:rsidRPr="007972EE">
        <w:t>Règlement ONU n</w:t>
      </w:r>
      <w:r w:rsidR="007972EE" w:rsidRPr="007972EE">
        <w:rPr>
          <w:vertAlign w:val="superscript"/>
        </w:rPr>
        <w:t>o</w:t>
      </w:r>
      <w:r w:rsidR="007972EE" w:rsidRPr="007972EE">
        <w:t xml:space="preserve"> 105 (Véhicules destinés au transport de marchandises </w:t>
      </w:r>
      <w:r w:rsidR="007972EE">
        <w:br/>
      </w:r>
      <w:r w:rsidR="007972EE" w:rsidRPr="007972EE">
        <w:t>dangereuses) (point 11 de l’ordre du jour)</w:t>
      </w:r>
      <w:r>
        <w:tab/>
      </w:r>
      <w:r>
        <w:tab/>
        <w:t>45</w:t>
      </w:r>
      <w:r>
        <w:tab/>
      </w:r>
      <w:r w:rsidR="00E839A2">
        <w:t>12</w:t>
      </w:r>
    </w:p>
    <w:p w14:paraId="2F44AE25" w14:textId="77777777" w:rsidR="008365D6" w:rsidRDefault="008365D6" w:rsidP="008365D6">
      <w:pPr>
        <w:tabs>
          <w:tab w:val="right" w:pos="850"/>
          <w:tab w:val="right" w:leader="dot" w:pos="7654"/>
          <w:tab w:val="right" w:pos="8929"/>
          <w:tab w:val="right" w:pos="9638"/>
        </w:tabs>
        <w:spacing w:after="120"/>
        <w:ind w:left="1134" w:hanging="1134"/>
      </w:pPr>
      <w:r>
        <w:tab/>
        <w:t>XIII.</w:t>
      </w:r>
      <w:r>
        <w:tab/>
      </w:r>
      <w:r w:rsidR="007972EE" w:rsidRPr="007972EE">
        <w:t>Règlement ONU n</w:t>
      </w:r>
      <w:r w:rsidR="007972EE" w:rsidRPr="007972EE">
        <w:rPr>
          <w:vertAlign w:val="superscript"/>
        </w:rPr>
        <w:t>o</w:t>
      </w:r>
      <w:r w:rsidR="007972EE" w:rsidRPr="007972EE">
        <w:t xml:space="preserve"> 116 (Dispositifs antivol et systèmes d’alarme) </w:t>
      </w:r>
      <w:r w:rsidR="007972EE">
        <w:br/>
      </w:r>
      <w:r w:rsidR="007972EE" w:rsidRPr="007972EE">
        <w:t>(point 12 de l’ordre du jour)</w:t>
      </w:r>
      <w:r w:rsidRPr="007972EE">
        <w:tab/>
      </w:r>
      <w:r>
        <w:tab/>
        <w:t>46−50</w:t>
      </w:r>
      <w:r>
        <w:tab/>
      </w:r>
      <w:r w:rsidR="00E839A2">
        <w:t>12</w:t>
      </w:r>
    </w:p>
    <w:p w14:paraId="78D97D3B" w14:textId="77777777" w:rsidR="008365D6" w:rsidRDefault="008365D6" w:rsidP="008365D6">
      <w:pPr>
        <w:tabs>
          <w:tab w:val="right" w:pos="850"/>
          <w:tab w:val="right" w:leader="dot" w:pos="7654"/>
          <w:tab w:val="right" w:pos="8929"/>
          <w:tab w:val="right" w:pos="9638"/>
        </w:tabs>
        <w:spacing w:after="120"/>
        <w:ind w:left="1134" w:hanging="1134"/>
      </w:pPr>
      <w:r>
        <w:tab/>
        <w:t>XIV.</w:t>
      </w:r>
      <w:r>
        <w:tab/>
      </w:r>
      <w:r w:rsidR="007972EE" w:rsidRPr="007972EE">
        <w:t>Règlement ONU n</w:t>
      </w:r>
      <w:r w:rsidR="007972EE" w:rsidRPr="007972EE">
        <w:rPr>
          <w:vertAlign w:val="superscript"/>
        </w:rPr>
        <w:t>o</w:t>
      </w:r>
      <w:r w:rsidR="007972EE" w:rsidRPr="007972EE">
        <w:t xml:space="preserve"> 121 (Identification des commandes manuelles, </w:t>
      </w:r>
      <w:r w:rsidR="007972EE">
        <w:br/>
      </w:r>
      <w:r w:rsidR="007972EE" w:rsidRPr="007972EE">
        <w:t>des témoins et des indicateurs) (point 13 de l’ordre du jour)</w:t>
      </w:r>
      <w:r>
        <w:tab/>
      </w:r>
      <w:r>
        <w:tab/>
        <w:t>51−53</w:t>
      </w:r>
      <w:r>
        <w:tab/>
      </w:r>
      <w:r w:rsidR="00E839A2">
        <w:t>13</w:t>
      </w:r>
    </w:p>
    <w:p w14:paraId="4AA63EB0" w14:textId="77777777" w:rsidR="008365D6" w:rsidRDefault="008365D6" w:rsidP="008365D6">
      <w:pPr>
        <w:tabs>
          <w:tab w:val="right" w:pos="850"/>
          <w:tab w:val="right" w:leader="dot" w:pos="7654"/>
          <w:tab w:val="right" w:pos="8929"/>
          <w:tab w:val="right" w:pos="9638"/>
        </w:tabs>
        <w:spacing w:after="120"/>
        <w:ind w:left="1134" w:hanging="1134"/>
      </w:pPr>
      <w:r>
        <w:tab/>
        <w:t>XV.</w:t>
      </w:r>
      <w:r>
        <w:tab/>
      </w:r>
      <w:r w:rsidR="007972EE" w:rsidRPr="007972EE">
        <w:t>Règlement ONU n</w:t>
      </w:r>
      <w:r w:rsidR="007972EE" w:rsidRPr="007972EE">
        <w:rPr>
          <w:vertAlign w:val="superscript"/>
        </w:rPr>
        <w:t>o</w:t>
      </w:r>
      <w:r w:rsidR="007972EE" w:rsidRPr="007972EE">
        <w:t xml:space="preserve"> 122 (Systèmes de chauffage) </w:t>
      </w:r>
      <w:r w:rsidR="007972EE" w:rsidRPr="007972EE">
        <w:br/>
        <w:t>(point 14 de l’ordre du jour)</w:t>
      </w:r>
      <w:r>
        <w:tab/>
      </w:r>
      <w:r>
        <w:tab/>
        <w:t>54−55</w:t>
      </w:r>
      <w:r>
        <w:tab/>
      </w:r>
      <w:r w:rsidR="00E839A2">
        <w:t>14</w:t>
      </w:r>
    </w:p>
    <w:p w14:paraId="66BFC252" w14:textId="77777777" w:rsidR="008365D6" w:rsidRDefault="008365D6" w:rsidP="008365D6">
      <w:pPr>
        <w:tabs>
          <w:tab w:val="right" w:pos="850"/>
          <w:tab w:val="right" w:leader="dot" w:pos="7654"/>
          <w:tab w:val="right" w:pos="8929"/>
          <w:tab w:val="right" w:pos="9638"/>
        </w:tabs>
        <w:spacing w:after="120"/>
        <w:ind w:left="1134" w:hanging="1134"/>
      </w:pPr>
      <w:r>
        <w:tab/>
        <w:t>XVI.</w:t>
      </w:r>
      <w:r>
        <w:tab/>
      </w:r>
      <w:r w:rsidR="007972EE" w:rsidRPr="007972EE">
        <w:t>Règlement ONU n</w:t>
      </w:r>
      <w:r w:rsidR="007972EE" w:rsidRPr="007972EE">
        <w:rPr>
          <w:vertAlign w:val="superscript"/>
        </w:rPr>
        <w:t>o</w:t>
      </w:r>
      <w:r w:rsidR="007972EE" w:rsidRPr="007972EE">
        <w:t xml:space="preserve"> 144 (Systèmes automatiques d’appel d’urgence </w:t>
      </w:r>
      <w:r w:rsidR="007972EE">
        <w:br/>
      </w:r>
      <w:r w:rsidR="007972EE" w:rsidRPr="007972EE">
        <w:t>en cas d’accident) (point 15 de l’ordre du jour)</w:t>
      </w:r>
      <w:r>
        <w:tab/>
      </w:r>
      <w:r>
        <w:tab/>
        <w:t>56</w:t>
      </w:r>
      <w:r>
        <w:tab/>
      </w:r>
      <w:r w:rsidR="00E839A2">
        <w:t>14</w:t>
      </w:r>
    </w:p>
    <w:p w14:paraId="658EC291" w14:textId="77777777" w:rsidR="008365D6" w:rsidRDefault="008365D6" w:rsidP="008365D6">
      <w:pPr>
        <w:tabs>
          <w:tab w:val="right" w:pos="850"/>
          <w:tab w:val="right" w:leader="dot" w:pos="7654"/>
          <w:tab w:val="right" w:pos="8929"/>
          <w:tab w:val="right" w:pos="9638"/>
        </w:tabs>
        <w:spacing w:after="120"/>
        <w:ind w:left="1134" w:hanging="1134"/>
      </w:pPr>
      <w:r>
        <w:tab/>
        <w:t>XVII.</w:t>
      </w:r>
      <w:r>
        <w:tab/>
      </w:r>
      <w:r w:rsidR="007972EE" w:rsidRPr="007972EE">
        <w:t>Règlement ONU n</w:t>
      </w:r>
      <w:r w:rsidR="007972EE" w:rsidRPr="007972EE">
        <w:rPr>
          <w:vertAlign w:val="superscript"/>
        </w:rPr>
        <w:t>o</w:t>
      </w:r>
      <w:r w:rsidR="007972EE" w:rsidRPr="007972EE">
        <w:t xml:space="preserve"> 0 (Homologation de type internationale de l’ensemble </w:t>
      </w:r>
      <w:r w:rsidR="007972EE">
        <w:br/>
      </w:r>
      <w:r w:rsidR="007972EE" w:rsidRPr="007972EE">
        <w:t>du véhicule) (point 16 de l’ordre du jour)</w:t>
      </w:r>
      <w:r>
        <w:tab/>
      </w:r>
      <w:r>
        <w:tab/>
        <w:t>57−58</w:t>
      </w:r>
      <w:r>
        <w:tab/>
      </w:r>
      <w:r w:rsidR="00E839A2">
        <w:t>15</w:t>
      </w:r>
    </w:p>
    <w:p w14:paraId="30CB1B67" w14:textId="77777777" w:rsidR="008365D6" w:rsidRDefault="008365D6" w:rsidP="008365D6">
      <w:pPr>
        <w:tabs>
          <w:tab w:val="right" w:pos="850"/>
          <w:tab w:val="right" w:leader="dot" w:pos="7654"/>
          <w:tab w:val="right" w:pos="8929"/>
          <w:tab w:val="right" w:pos="9638"/>
        </w:tabs>
        <w:spacing w:after="120"/>
        <w:ind w:left="1134" w:hanging="1134"/>
      </w:pPr>
      <w:r>
        <w:tab/>
        <w:t>XVIII.</w:t>
      </w:r>
      <w:r>
        <w:tab/>
      </w:r>
      <w:r w:rsidR="007972EE" w:rsidRPr="007972EE">
        <w:t xml:space="preserve">Échange de vues sur l’automatisation des véhicules </w:t>
      </w:r>
      <w:r w:rsidR="007972EE" w:rsidRPr="007972EE">
        <w:br/>
        <w:t>(point 17 de l’ordre du jour)</w:t>
      </w:r>
      <w:r>
        <w:tab/>
      </w:r>
      <w:r>
        <w:tab/>
        <w:t>59−60</w:t>
      </w:r>
      <w:r>
        <w:tab/>
      </w:r>
      <w:r w:rsidR="00E839A2">
        <w:t>15</w:t>
      </w:r>
    </w:p>
    <w:p w14:paraId="7AE71961" w14:textId="77777777" w:rsidR="008365D6" w:rsidRDefault="008365D6" w:rsidP="008365D6">
      <w:pPr>
        <w:tabs>
          <w:tab w:val="right" w:pos="850"/>
          <w:tab w:val="right" w:leader="dot" w:pos="7654"/>
          <w:tab w:val="right" w:pos="8929"/>
          <w:tab w:val="right" w:pos="9638"/>
        </w:tabs>
        <w:spacing w:after="120"/>
        <w:ind w:left="1134" w:hanging="1134"/>
      </w:pPr>
      <w:r>
        <w:tab/>
        <w:t>XIX.</w:t>
      </w:r>
      <w:r>
        <w:tab/>
      </w:r>
      <w:r w:rsidR="007972EE" w:rsidRPr="007972EE">
        <w:t xml:space="preserve">Stratégie du Comité des transports intérieurs </w:t>
      </w:r>
      <w:r w:rsidR="007972EE" w:rsidRPr="007972EE">
        <w:br/>
        <w:t>(point 18 de l’ordre du jour)</w:t>
      </w:r>
      <w:r>
        <w:tab/>
      </w:r>
      <w:r>
        <w:tab/>
        <w:t>61</w:t>
      </w:r>
      <w:r>
        <w:tab/>
      </w:r>
      <w:r w:rsidR="00E839A2">
        <w:t>16</w:t>
      </w:r>
    </w:p>
    <w:p w14:paraId="0EC58BB6" w14:textId="77777777" w:rsidR="008365D6" w:rsidRDefault="008365D6" w:rsidP="008365D6">
      <w:pPr>
        <w:tabs>
          <w:tab w:val="right" w:pos="850"/>
          <w:tab w:val="right" w:leader="dot" w:pos="7654"/>
          <w:tab w:val="right" w:pos="8929"/>
          <w:tab w:val="right" w:pos="9638"/>
        </w:tabs>
        <w:spacing w:after="120"/>
        <w:ind w:left="1134" w:hanging="1134"/>
      </w:pPr>
      <w:r>
        <w:tab/>
        <w:t>XX.</w:t>
      </w:r>
      <w:r>
        <w:tab/>
      </w:r>
      <w:r w:rsidR="00E11FF7" w:rsidRPr="00E11FF7">
        <w:t>Élection du Bureau (point 19 de l’ordre du jour)</w:t>
      </w:r>
      <w:r>
        <w:tab/>
      </w:r>
      <w:r>
        <w:tab/>
        <w:t>62</w:t>
      </w:r>
      <w:r>
        <w:tab/>
      </w:r>
      <w:r w:rsidR="00E839A2">
        <w:t>16</w:t>
      </w:r>
    </w:p>
    <w:p w14:paraId="4B8D8721" w14:textId="77777777" w:rsidR="008365D6" w:rsidRDefault="008365D6" w:rsidP="008365D6">
      <w:pPr>
        <w:tabs>
          <w:tab w:val="right" w:pos="850"/>
          <w:tab w:val="right" w:leader="dot" w:pos="7654"/>
          <w:tab w:val="right" w:pos="8929"/>
          <w:tab w:val="right" w:pos="9638"/>
        </w:tabs>
        <w:spacing w:after="120"/>
        <w:ind w:left="1134" w:hanging="1134"/>
      </w:pPr>
      <w:r>
        <w:tab/>
        <w:t>XXI.</w:t>
      </w:r>
      <w:r>
        <w:tab/>
      </w:r>
      <w:r w:rsidR="00E11FF7" w:rsidRPr="00E11FF7">
        <w:t>Questions diverses (point 20 de l’ordre du jour)</w:t>
      </w:r>
      <w:r>
        <w:tab/>
      </w:r>
      <w:r>
        <w:tab/>
        <w:t>63−69</w:t>
      </w:r>
      <w:r>
        <w:tab/>
      </w:r>
      <w:r w:rsidR="00E839A2">
        <w:t>16</w:t>
      </w:r>
    </w:p>
    <w:p w14:paraId="0F85D7CE" w14:textId="77777777" w:rsidR="008365D6" w:rsidRDefault="008365D6" w:rsidP="008365D6">
      <w:pPr>
        <w:tabs>
          <w:tab w:val="right" w:leader="dot" w:pos="7654"/>
          <w:tab w:val="right" w:pos="8929"/>
          <w:tab w:val="right" w:pos="9638"/>
        </w:tabs>
        <w:spacing w:after="120"/>
        <w:ind w:left="1559" w:hanging="425"/>
      </w:pPr>
      <w:r>
        <w:t>A.</w:t>
      </w:r>
      <w:r>
        <w:tab/>
      </w:r>
      <w:r w:rsidR="00E11FF7" w:rsidRPr="00E11FF7">
        <w:t>Règlement ONU n</w:t>
      </w:r>
      <w:r w:rsidR="00E11FF7" w:rsidRPr="00E11FF7">
        <w:rPr>
          <w:vertAlign w:val="superscript"/>
        </w:rPr>
        <w:t>o</w:t>
      </w:r>
      <w:r w:rsidR="00E11FF7" w:rsidRPr="00E11FF7">
        <w:t> 58 (Dispositifs contre l’encastrement à l’arrière)</w:t>
      </w:r>
      <w:r>
        <w:tab/>
      </w:r>
      <w:r>
        <w:tab/>
        <w:t>63−64</w:t>
      </w:r>
      <w:r>
        <w:tab/>
      </w:r>
      <w:r w:rsidR="00E839A2">
        <w:t>16</w:t>
      </w:r>
    </w:p>
    <w:p w14:paraId="1CB4B302" w14:textId="77777777" w:rsidR="008365D6" w:rsidRDefault="008365D6" w:rsidP="008365D6">
      <w:pPr>
        <w:tabs>
          <w:tab w:val="right" w:leader="dot" w:pos="7654"/>
          <w:tab w:val="right" w:pos="8929"/>
          <w:tab w:val="right" w:pos="9638"/>
        </w:tabs>
        <w:spacing w:after="120"/>
        <w:ind w:left="1559" w:hanging="425"/>
      </w:pPr>
      <w:r>
        <w:t>B.</w:t>
      </w:r>
      <w:r>
        <w:tab/>
      </w:r>
      <w:r w:rsidR="00E11FF7" w:rsidRPr="00E11FF7">
        <w:t>Résolution d’ensemble sur la construction des véhicules (R.E.3)</w:t>
      </w:r>
      <w:r>
        <w:tab/>
      </w:r>
      <w:r>
        <w:tab/>
        <w:t>65</w:t>
      </w:r>
      <w:r>
        <w:tab/>
      </w:r>
      <w:r w:rsidR="00E839A2">
        <w:t>16</w:t>
      </w:r>
    </w:p>
    <w:p w14:paraId="5B441DE7" w14:textId="77777777" w:rsidR="008365D6" w:rsidRDefault="008365D6" w:rsidP="008365D6">
      <w:pPr>
        <w:tabs>
          <w:tab w:val="right" w:leader="dot" w:pos="7654"/>
          <w:tab w:val="right" w:pos="8929"/>
          <w:tab w:val="right" w:pos="9638"/>
        </w:tabs>
        <w:spacing w:after="120"/>
        <w:ind w:left="1559" w:hanging="425"/>
      </w:pPr>
      <w:r>
        <w:t>C.</w:t>
      </w:r>
      <w:r>
        <w:tab/>
      </w:r>
      <w:r w:rsidR="00E11FF7" w:rsidRPr="00E11FF7">
        <w:t>Règlement ONU n</w:t>
      </w:r>
      <w:r w:rsidR="00E11FF7" w:rsidRPr="00E11FF7">
        <w:rPr>
          <w:vertAlign w:val="superscript"/>
        </w:rPr>
        <w:t>o</w:t>
      </w:r>
      <w:r w:rsidR="00E11FF7" w:rsidRPr="00E11FF7">
        <w:t> 93 (Dispositifs contre l’encastrement à l’avant)</w:t>
      </w:r>
      <w:r>
        <w:tab/>
      </w:r>
      <w:r>
        <w:tab/>
        <w:t>66−67</w:t>
      </w:r>
      <w:r>
        <w:tab/>
      </w:r>
      <w:r w:rsidR="00E839A2">
        <w:t>16</w:t>
      </w:r>
    </w:p>
    <w:p w14:paraId="5F3C2060" w14:textId="77777777" w:rsidR="008365D6" w:rsidRDefault="008365D6" w:rsidP="008365D6">
      <w:pPr>
        <w:tabs>
          <w:tab w:val="right" w:leader="dot" w:pos="7654"/>
          <w:tab w:val="right" w:pos="8929"/>
          <w:tab w:val="right" w:pos="9638"/>
        </w:tabs>
        <w:spacing w:after="120"/>
        <w:ind w:left="1559" w:hanging="425"/>
      </w:pPr>
      <w:r>
        <w:t>D.</w:t>
      </w:r>
      <w:r>
        <w:tab/>
      </w:r>
      <w:r w:rsidR="00E11FF7" w:rsidRPr="00E11FF7">
        <w:t>Hommages à MM. </w:t>
      </w:r>
      <w:proofErr w:type="spellStart"/>
      <w:r w:rsidR="00E11FF7" w:rsidRPr="00E11FF7">
        <w:t>Kincl</w:t>
      </w:r>
      <w:proofErr w:type="spellEnd"/>
      <w:r w:rsidR="00E11FF7" w:rsidRPr="00E11FF7">
        <w:t xml:space="preserve"> et </w:t>
      </w:r>
      <w:proofErr w:type="spellStart"/>
      <w:r w:rsidR="00E11FF7" w:rsidRPr="00E11FF7">
        <w:t>Gouweleeuw</w:t>
      </w:r>
      <w:proofErr w:type="spellEnd"/>
      <w:r>
        <w:tab/>
      </w:r>
      <w:r>
        <w:tab/>
        <w:t>68−69</w:t>
      </w:r>
      <w:r>
        <w:tab/>
      </w:r>
      <w:r w:rsidR="00E839A2">
        <w:t>17</w:t>
      </w:r>
    </w:p>
    <w:p w14:paraId="20B2ED93" w14:textId="77777777" w:rsidR="008365D6" w:rsidRDefault="008365D6" w:rsidP="008365D6">
      <w:pPr>
        <w:tabs>
          <w:tab w:val="right" w:pos="850"/>
          <w:tab w:val="right" w:leader="dot" w:pos="7654"/>
          <w:tab w:val="right" w:pos="8929"/>
          <w:tab w:val="right" w:pos="9638"/>
        </w:tabs>
        <w:spacing w:after="120"/>
        <w:ind w:left="1134" w:hanging="1134"/>
      </w:pPr>
      <w:r>
        <w:tab/>
        <w:t>XXII.</w:t>
      </w:r>
      <w:r>
        <w:tab/>
      </w:r>
      <w:r w:rsidR="00E11FF7" w:rsidRPr="00E11FF7">
        <w:t>Ordre du jour provisoire de la 116</w:t>
      </w:r>
      <w:r w:rsidR="00E11FF7" w:rsidRPr="00E11FF7">
        <w:rPr>
          <w:vertAlign w:val="superscript"/>
        </w:rPr>
        <w:t>e</w:t>
      </w:r>
      <w:r w:rsidR="00E11FF7" w:rsidRPr="00E11FF7">
        <w:t> session</w:t>
      </w:r>
      <w:r>
        <w:tab/>
      </w:r>
      <w:r>
        <w:tab/>
        <w:t>70</w:t>
      </w:r>
      <w:r>
        <w:tab/>
      </w:r>
      <w:r w:rsidR="00E839A2">
        <w:t>17</w:t>
      </w:r>
    </w:p>
    <w:p w14:paraId="0B50ED0F" w14:textId="77777777" w:rsidR="008365D6" w:rsidRPr="008365D6" w:rsidRDefault="008365D6" w:rsidP="008365D6">
      <w:pPr>
        <w:tabs>
          <w:tab w:val="right" w:pos="850"/>
        </w:tabs>
        <w:spacing w:after="120"/>
      </w:pPr>
      <w:r>
        <w:tab/>
        <w:t>Annexes</w:t>
      </w:r>
    </w:p>
    <w:p w14:paraId="3AA304F5" w14:textId="77777777" w:rsidR="008365D6" w:rsidRDefault="008365D6" w:rsidP="008365D6">
      <w:pPr>
        <w:tabs>
          <w:tab w:val="right" w:pos="850"/>
          <w:tab w:val="right" w:leader="dot" w:pos="8929"/>
          <w:tab w:val="right" w:pos="9638"/>
        </w:tabs>
        <w:spacing w:after="120"/>
        <w:ind w:left="1134" w:hanging="1134"/>
      </w:pPr>
      <w:r>
        <w:tab/>
        <w:t>I.</w:t>
      </w:r>
      <w:r>
        <w:tab/>
      </w:r>
      <w:r w:rsidR="00FE05BA" w:rsidRPr="00FE05BA">
        <w:t>Liste des documents informels examinés pendant la session</w:t>
      </w:r>
      <w:r>
        <w:tab/>
      </w:r>
      <w:r>
        <w:tab/>
      </w:r>
      <w:r w:rsidR="00E839A2">
        <w:t>19</w:t>
      </w:r>
    </w:p>
    <w:p w14:paraId="1B0200CD" w14:textId="77777777" w:rsidR="008365D6" w:rsidRDefault="008365D6" w:rsidP="008365D6">
      <w:pPr>
        <w:tabs>
          <w:tab w:val="right" w:pos="850"/>
          <w:tab w:val="right" w:leader="dot" w:pos="8929"/>
          <w:tab w:val="right" w:pos="9638"/>
        </w:tabs>
        <w:spacing w:after="120"/>
        <w:ind w:left="1134" w:hanging="1134"/>
      </w:pPr>
      <w:r>
        <w:tab/>
        <w:t>II.</w:t>
      </w:r>
      <w:r>
        <w:tab/>
      </w:r>
      <w:r w:rsidR="00FE05BA" w:rsidRPr="008365D6">
        <w:t xml:space="preserve">Amendements au document ECE/TRANS/WP.29/GRSG/2018/24 sur le nouveau </w:t>
      </w:r>
      <w:r w:rsidR="00FE05BA">
        <w:br/>
      </w:r>
      <w:r w:rsidR="00FE05BA" w:rsidRPr="008365D6">
        <w:t>projet de Règlement ONU sur les systèmes de surveillance de l’angle mort (par.</w:t>
      </w:r>
      <w:r w:rsidR="00FE05BA">
        <w:t> </w:t>
      </w:r>
      <w:r w:rsidR="00FE05BA" w:rsidRPr="008365D6">
        <w:t>26)</w:t>
      </w:r>
      <w:r>
        <w:tab/>
      </w:r>
      <w:r>
        <w:tab/>
      </w:r>
      <w:r w:rsidR="00E839A2">
        <w:t>23</w:t>
      </w:r>
    </w:p>
    <w:p w14:paraId="36E56B20" w14:textId="77777777" w:rsidR="008365D6" w:rsidRDefault="008365D6" w:rsidP="008365D6">
      <w:pPr>
        <w:tabs>
          <w:tab w:val="right" w:pos="850"/>
          <w:tab w:val="right" w:leader="dot" w:pos="8929"/>
          <w:tab w:val="right" w:pos="9638"/>
        </w:tabs>
        <w:spacing w:after="120"/>
        <w:ind w:left="1134" w:hanging="1134"/>
      </w:pPr>
      <w:r>
        <w:tab/>
        <w:t>III.</w:t>
      </w:r>
      <w:r>
        <w:tab/>
      </w:r>
      <w:r w:rsidR="00FE05BA" w:rsidRPr="008365D6">
        <w:t>Projet de complément</w:t>
      </w:r>
      <w:r w:rsidR="00FE05BA">
        <w:t> </w:t>
      </w:r>
      <w:r w:rsidR="00FE05BA" w:rsidRPr="008365D6">
        <w:t>2 à la série</w:t>
      </w:r>
      <w:r w:rsidR="00FE05BA">
        <w:t> </w:t>
      </w:r>
      <w:r w:rsidR="00FE05BA" w:rsidRPr="008365D6">
        <w:t>03 d’amendements au Règlement ONU n</w:t>
      </w:r>
      <w:r w:rsidR="00FE05BA" w:rsidRPr="008365D6">
        <w:rPr>
          <w:vertAlign w:val="superscript"/>
        </w:rPr>
        <w:t>o</w:t>
      </w:r>
      <w:r w:rsidR="00FE05BA">
        <w:t> </w:t>
      </w:r>
      <w:r w:rsidR="00FE05BA" w:rsidRPr="008365D6">
        <w:t xml:space="preserve">110 </w:t>
      </w:r>
      <w:r w:rsidR="00FE05BA">
        <w:br/>
      </w:r>
      <w:r w:rsidR="00FE05BA" w:rsidRPr="008365D6">
        <w:t>(Véhicules alimentés au GNC/GNL) (par.</w:t>
      </w:r>
      <w:r w:rsidR="00FE05BA">
        <w:t> </w:t>
      </w:r>
      <w:r w:rsidR="00FE05BA" w:rsidRPr="008365D6">
        <w:t>37 à</w:t>
      </w:r>
      <w:r w:rsidR="00FE05BA">
        <w:t> </w:t>
      </w:r>
      <w:r w:rsidR="00FE05BA" w:rsidRPr="008365D6">
        <w:t>39)</w:t>
      </w:r>
      <w:r>
        <w:tab/>
      </w:r>
      <w:r>
        <w:tab/>
      </w:r>
      <w:r w:rsidR="00E839A2">
        <w:t>26</w:t>
      </w:r>
      <w:r>
        <w:tab/>
      </w:r>
    </w:p>
    <w:p w14:paraId="1A4B7C60" w14:textId="77777777" w:rsidR="008365D6" w:rsidRDefault="008365D6" w:rsidP="008365D6">
      <w:pPr>
        <w:tabs>
          <w:tab w:val="right" w:pos="850"/>
          <w:tab w:val="right" w:leader="dot" w:pos="8929"/>
          <w:tab w:val="right" w:pos="9638"/>
        </w:tabs>
        <w:spacing w:after="120"/>
        <w:ind w:left="1134" w:hanging="1134"/>
      </w:pPr>
      <w:r>
        <w:tab/>
        <w:t>IV.</w:t>
      </w:r>
      <w:r>
        <w:tab/>
      </w:r>
      <w:r w:rsidR="00FE05BA" w:rsidRPr="00FE05BA">
        <w:t>Projet de complément 5 au Règlement ONU n</w:t>
      </w:r>
      <w:r w:rsidR="00FE05BA" w:rsidRPr="00FE05BA">
        <w:rPr>
          <w:vertAlign w:val="superscript"/>
        </w:rPr>
        <w:t>o</w:t>
      </w:r>
      <w:r w:rsidR="00FE05BA" w:rsidRPr="00FE05BA">
        <w:t> 122 (Systèmes de chauffage) (par. 54)</w:t>
      </w:r>
      <w:r>
        <w:tab/>
      </w:r>
      <w:r>
        <w:tab/>
      </w:r>
      <w:r w:rsidR="00E839A2">
        <w:t>29</w:t>
      </w:r>
    </w:p>
    <w:p w14:paraId="5CEF28DE" w14:textId="77777777" w:rsidR="008365D6" w:rsidRDefault="008365D6" w:rsidP="008365D6">
      <w:pPr>
        <w:tabs>
          <w:tab w:val="right" w:pos="850"/>
          <w:tab w:val="right" w:leader="dot" w:pos="8929"/>
          <w:tab w:val="right" w:pos="9638"/>
        </w:tabs>
        <w:spacing w:after="120"/>
        <w:ind w:left="1134" w:hanging="1134"/>
      </w:pPr>
      <w:r>
        <w:tab/>
        <w:t>V.</w:t>
      </w:r>
      <w:r>
        <w:tab/>
      </w:r>
      <w:r w:rsidR="00FE05BA" w:rsidRPr="00FE05BA">
        <w:t>Rectificatif 1 à la Révision 3 du Règlement ONU n</w:t>
      </w:r>
      <w:r w:rsidR="00FE05BA" w:rsidRPr="00FE05BA">
        <w:rPr>
          <w:vertAlign w:val="superscript"/>
        </w:rPr>
        <w:t>o</w:t>
      </w:r>
      <w:r w:rsidR="00FE05BA" w:rsidRPr="00FE05BA">
        <w:t xml:space="preserve"> 58 (Protection contre </w:t>
      </w:r>
      <w:r w:rsidR="00FE05BA">
        <w:br/>
      </w:r>
      <w:r w:rsidR="00FE05BA" w:rsidRPr="00FE05BA">
        <w:t>l’encastrement à l’arrière) (par. 64)</w:t>
      </w:r>
      <w:r>
        <w:tab/>
      </w:r>
      <w:r>
        <w:tab/>
      </w:r>
      <w:r w:rsidR="00E839A2">
        <w:t>30</w:t>
      </w:r>
    </w:p>
    <w:p w14:paraId="5DFFBD1D" w14:textId="77777777" w:rsidR="008365D6" w:rsidRDefault="008365D6" w:rsidP="008365D6">
      <w:pPr>
        <w:tabs>
          <w:tab w:val="right" w:pos="850"/>
          <w:tab w:val="right" w:leader="dot" w:pos="8929"/>
          <w:tab w:val="right" w:pos="9638"/>
        </w:tabs>
        <w:spacing w:after="120"/>
        <w:ind w:left="1134" w:hanging="1134"/>
      </w:pPr>
      <w:r>
        <w:tab/>
        <w:t>VI.</w:t>
      </w:r>
      <w:r>
        <w:tab/>
      </w:r>
      <w:r w:rsidR="00FE05BA" w:rsidRPr="00FE05BA">
        <w:t>Groupes informels relevant du GRSG</w:t>
      </w:r>
      <w:r>
        <w:tab/>
      </w:r>
      <w:r>
        <w:tab/>
      </w:r>
      <w:r w:rsidR="00E839A2">
        <w:t>31</w:t>
      </w:r>
    </w:p>
    <w:p w14:paraId="3706F407" w14:textId="77777777" w:rsidR="008365D6" w:rsidRPr="008365D6" w:rsidRDefault="008365D6" w:rsidP="00BA020F">
      <w:pPr>
        <w:pStyle w:val="HChG"/>
      </w:pPr>
      <w:r>
        <w:br w:type="page"/>
      </w:r>
      <w:r w:rsidR="00BA020F">
        <w:lastRenderedPageBreak/>
        <w:tab/>
      </w:r>
      <w:r w:rsidRPr="008365D6">
        <w:t>I.</w:t>
      </w:r>
      <w:r w:rsidRPr="008365D6">
        <w:tab/>
        <w:t>Participation</w:t>
      </w:r>
    </w:p>
    <w:p w14:paraId="20CC7900" w14:textId="77777777" w:rsidR="008365D6" w:rsidRPr="008365D6" w:rsidRDefault="008365D6" w:rsidP="008365D6">
      <w:pPr>
        <w:pStyle w:val="SingleTxtG"/>
      </w:pPr>
      <w:r w:rsidRPr="008365D6">
        <w:t>1.</w:t>
      </w:r>
      <w:r w:rsidRPr="008365D6">
        <w:tab/>
        <w:t>Le Groupe de travail des dispositions générales de sécurité (GRSG</w:t>
      </w:r>
      <w:r w:rsidR="00492DF1">
        <w:t>, dénommé ci-après « le Groupe de travail »</w:t>
      </w:r>
      <w:r w:rsidRPr="008365D6">
        <w:t>) a tenu sa 115</w:t>
      </w:r>
      <w:r w:rsidRPr="008365D6">
        <w:rPr>
          <w:vertAlign w:val="superscript"/>
        </w:rPr>
        <w:t>e</w:t>
      </w:r>
      <w:r w:rsidRPr="008365D6">
        <w:t> session du 9 au 12</w:t>
      </w:r>
      <w:r w:rsidR="00BA020F">
        <w:t> </w:t>
      </w:r>
      <w:r w:rsidRPr="008365D6">
        <w:t>octobre 2018, à Genève. La réunion était présidée par M.</w:t>
      </w:r>
      <w:r w:rsidR="00BA020F">
        <w:t> </w:t>
      </w:r>
      <w:r w:rsidRPr="008365D6">
        <w:t>A.</w:t>
      </w:r>
      <w:r w:rsidR="00BA020F">
        <w:t> </w:t>
      </w:r>
      <w:r w:rsidRPr="008365D6">
        <w:t>Erario (Italie). Conformément à l’article</w:t>
      </w:r>
      <w:r w:rsidR="00BA020F">
        <w:t> </w:t>
      </w:r>
      <w:r w:rsidRPr="008365D6">
        <w:t>1</w:t>
      </w:r>
      <w:r w:rsidR="00BA020F">
        <w:t> </w:t>
      </w:r>
      <w:r w:rsidRPr="008365D6">
        <w:t>a) du Règlement intérieur du Forum mondial de l’harmonisation des Règlements concernant les véhicules (WP.29) (document ECE/TRANS/WP.29/690/Rev.1), ont participé aux travaux des experts des pays suivants : Allemagne, Belgique, Canada, Chine, Espagne, Fédération de Russie, Finlande, France, Hongrie, Inde, Israël, Italie, Japon, Koweït, Lettonie, Norvège, Pays-Bas, Pologne, République de Corée, Royaume-Uni de Grande-Bretagne et d’Irlande du Nord, Serbie, Suède, Suisse, Tchéquie et Viet Nam. Un expert de la Commission européenne (CE) y a aussi participé, ainsi que des experts des organisations non gouvernementales suivantes : Association européenne des fournisseurs de l’automobile (CLEPA), Association européenne des véhicules fonctionnant au gaz naturel (NGVA Europe), Association internationale des constructeurs de motocycles (IMMA), Association internationale des véhicules fonctionnant au gaz naturel (NGV Global), Liquid Gas Europe (LG Europe), Organisation internationale de normalisation (ISO) et Organisation internationale des constructeurs d’automobiles (OICA). Sur invitation spéciale du Président, des experts du Comité de liaison de la construction de carrosseries et de remorques (CLCCR) et de la World Bicycle Industry Association (WBIA) y ont également participé.</w:t>
      </w:r>
    </w:p>
    <w:p w14:paraId="5F4AC147" w14:textId="77777777" w:rsidR="008365D6" w:rsidRPr="008365D6" w:rsidRDefault="008365D6" w:rsidP="00BA020F">
      <w:pPr>
        <w:pStyle w:val="HChG"/>
      </w:pPr>
      <w:r w:rsidRPr="008365D6">
        <w:tab/>
        <w:t>II.</w:t>
      </w:r>
      <w:r w:rsidRPr="008365D6">
        <w:tab/>
        <w:t xml:space="preserve">Adoption de l’ordre du jour </w:t>
      </w:r>
      <w:r w:rsidR="00BA020F">
        <w:br/>
      </w:r>
      <w:r w:rsidRPr="008365D6">
        <w:t>(point</w:t>
      </w:r>
      <w:r w:rsidR="00BA020F">
        <w:t> </w:t>
      </w:r>
      <w:r w:rsidRPr="008365D6">
        <w:t>1 de l’ordre du jour)</w:t>
      </w:r>
    </w:p>
    <w:p w14:paraId="51E5972F" w14:textId="77777777" w:rsidR="008365D6" w:rsidRPr="008365D6" w:rsidRDefault="008365D6" w:rsidP="00BA020F">
      <w:pPr>
        <w:pStyle w:val="SingleTxtG"/>
        <w:ind w:left="2268" w:hanging="1134"/>
        <w:jc w:val="left"/>
      </w:pPr>
      <w:r w:rsidRPr="008365D6">
        <w:rPr>
          <w:i/>
        </w:rPr>
        <w:t>Documents</w:t>
      </w:r>
      <w:r w:rsidRPr="001A2ADE">
        <w:t> :</w:t>
      </w:r>
      <w:r w:rsidRPr="008365D6">
        <w:tab/>
      </w:r>
      <w:r w:rsidR="00BA020F">
        <w:tab/>
      </w:r>
      <w:r w:rsidRPr="008365D6">
        <w:t>ECE/TRANS/WP.29/GRSG/2018/10 et Add.1</w:t>
      </w:r>
      <w:r w:rsidR="00BA020F">
        <w:t> ;</w:t>
      </w:r>
      <w:r w:rsidRPr="008365D6">
        <w:br/>
        <w:t xml:space="preserve">Documents informels WP.29-175-25, </w:t>
      </w:r>
      <w:r w:rsidR="00BA020F">
        <w:br/>
      </w:r>
      <w:r w:rsidRPr="008365D6">
        <w:t>GRSG-115-01 et GRSG-115-02</w:t>
      </w:r>
      <w:r w:rsidR="00BA020F">
        <w:t>.</w:t>
      </w:r>
    </w:p>
    <w:p w14:paraId="6FE5D078" w14:textId="77777777" w:rsidR="008365D6" w:rsidRPr="008365D6" w:rsidRDefault="008365D6" w:rsidP="008365D6">
      <w:pPr>
        <w:pStyle w:val="SingleTxtG"/>
      </w:pPr>
      <w:r w:rsidRPr="008365D6">
        <w:t>2.</w:t>
      </w:r>
      <w:r w:rsidRPr="008365D6">
        <w:tab/>
        <w:t>Le Groupe de travail a examiné et adopté l’ordre du jour proposé pour sa 115</w:t>
      </w:r>
      <w:r w:rsidRPr="008365D6">
        <w:rPr>
          <w:vertAlign w:val="superscript"/>
        </w:rPr>
        <w:t>e</w:t>
      </w:r>
      <w:r w:rsidRPr="008365D6">
        <w:t> session.</w:t>
      </w:r>
    </w:p>
    <w:p w14:paraId="5E7B8919" w14:textId="77777777" w:rsidR="008365D6" w:rsidRPr="008365D6" w:rsidRDefault="008365D6" w:rsidP="008365D6">
      <w:pPr>
        <w:pStyle w:val="SingleTxtG"/>
        <w:rPr>
          <w:b/>
        </w:rPr>
      </w:pPr>
      <w:r w:rsidRPr="008365D6">
        <w:t>3.</w:t>
      </w:r>
      <w:r w:rsidRPr="008365D6">
        <w:tab/>
        <w:t>Le Groupe de travail a adopté en outre l’ordre d’examen des points de l’ordre du jour proposé par le Président dans le document informel GRSG-115-01. Il a pris note du document informel GRSG-115-02 portant sur les principales décisions et recommandations prises par le Forum mondial à sa session de juin 2018 (documents ECE/TRANS/WP.29/1139 et Add.1). À la demande du Comité des transports intérieurs tendant à ce que soit envisagée la création d’un groupe de travail de l’automatisation des véhicules, le Forum mondial avait décidé de transformer le Groupe de travail en matière de roulement et de freinage (GRRF) en Groupe de travail des véhicules automatiques, autonomes et connectés (GRVA) et de transférer certaines tâches, notamment les pneumatiques au Groupe de travail du bruit (GRB) et les dispositifs d’attelage au GRSG (document informel WP.29-175-25). Le GRVA superviserait les autres thèmes du GRRF et s’occuperait des activités relatives à l’automatisation des véhicules. La coordination entre les groupes de travail concernant les différentes activités relatives à l’automatisation des véhicules resterait du ressort du Forum mondial. La décision du Forum mondial avait pris effet immédiatement, mais devait être confirmée par le Comité en février 2019.</w:t>
      </w:r>
    </w:p>
    <w:p w14:paraId="44476783" w14:textId="77777777" w:rsidR="008365D6" w:rsidRPr="008365D6" w:rsidRDefault="008365D6" w:rsidP="008365D6">
      <w:pPr>
        <w:pStyle w:val="SingleTxtG"/>
      </w:pPr>
      <w:r w:rsidRPr="008365D6">
        <w:t>4.</w:t>
      </w:r>
      <w:r w:rsidRPr="008365D6">
        <w:tab/>
        <w:t>On trouvera à l’annexe</w:t>
      </w:r>
      <w:r w:rsidR="00BA020F">
        <w:t> </w:t>
      </w:r>
      <w:r w:rsidRPr="008365D6">
        <w:t>I du présent rapport la liste des documents informels distribués pendant la session. La liste des groupes informels relevant du Groupe de travail figure à l’annexe</w:t>
      </w:r>
      <w:r w:rsidR="00BA020F">
        <w:t> </w:t>
      </w:r>
      <w:r w:rsidR="00DC0724">
        <w:t>VI</w:t>
      </w:r>
      <w:r w:rsidRPr="008365D6">
        <w:t>.</w:t>
      </w:r>
    </w:p>
    <w:p w14:paraId="500F493F" w14:textId="77777777" w:rsidR="00924841" w:rsidRDefault="008365D6" w:rsidP="004A0890">
      <w:pPr>
        <w:pStyle w:val="SingleTxtG"/>
      </w:pPr>
      <w:r w:rsidRPr="008365D6">
        <w:tab/>
      </w:r>
    </w:p>
    <w:p w14:paraId="5F536B06" w14:textId="77777777" w:rsidR="00924841" w:rsidRDefault="00924841">
      <w:pPr>
        <w:suppressAutoHyphens w:val="0"/>
        <w:kinsoku/>
        <w:overflowPunct/>
        <w:autoSpaceDE/>
        <w:autoSpaceDN/>
        <w:adjustRightInd/>
        <w:snapToGrid/>
        <w:spacing w:after="200" w:line="276" w:lineRule="auto"/>
        <w:rPr>
          <w:b/>
          <w:sz w:val="28"/>
        </w:rPr>
      </w:pPr>
      <w:r>
        <w:br w:type="page"/>
      </w:r>
    </w:p>
    <w:p w14:paraId="025AE7DB" w14:textId="1E3DA0AB" w:rsidR="008365D6" w:rsidRPr="008365D6" w:rsidRDefault="00924841" w:rsidP="00BA020F">
      <w:pPr>
        <w:pStyle w:val="HChG"/>
      </w:pPr>
      <w:r>
        <w:lastRenderedPageBreak/>
        <w:tab/>
      </w:r>
      <w:r w:rsidR="008365D6" w:rsidRPr="008365D6">
        <w:t>III.</w:t>
      </w:r>
      <w:r w:rsidR="008365D6" w:rsidRPr="008365D6">
        <w:tab/>
        <w:t xml:space="preserve">Amendements aux Règlements sur les autobus </w:t>
      </w:r>
      <w:r w:rsidR="00BA020F">
        <w:br/>
      </w:r>
      <w:r w:rsidR="008365D6" w:rsidRPr="008365D6">
        <w:t>et les autocars (point</w:t>
      </w:r>
      <w:r w:rsidR="00BA020F">
        <w:t> </w:t>
      </w:r>
      <w:r w:rsidR="008365D6" w:rsidRPr="008365D6">
        <w:t>2 de l’ordre du jour)</w:t>
      </w:r>
    </w:p>
    <w:p w14:paraId="747D792C" w14:textId="77777777" w:rsidR="008365D6" w:rsidRPr="008365D6" w:rsidRDefault="008365D6" w:rsidP="00BA020F">
      <w:pPr>
        <w:pStyle w:val="H1G"/>
      </w:pPr>
      <w:r w:rsidRPr="008365D6">
        <w:tab/>
        <w:t>A.</w:t>
      </w:r>
      <w:r w:rsidRPr="008365D6">
        <w:tab/>
        <w:t xml:space="preserve">Règlement ONU </w:t>
      </w:r>
      <w:r w:rsidR="00BA020F" w:rsidRPr="002D76F4">
        <w:rPr>
          <w:rFonts w:eastAsia="MS Mincho"/>
          <w:szCs w:val="22"/>
        </w:rPr>
        <w:t>n</w:t>
      </w:r>
      <w:r w:rsidR="00BA020F" w:rsidRPr="002D76F4">
        <w:rPr>
          <w:rFonts w:eastAsia="MS Mincho"/>
          <w:szCs w:val="22"/>
          <w:vertAlign w:val="superscript"/>
        </w:rPr>
        <w:t>o</w:t>
      </w:r>
      <w:r w:rsidR="00BA020F">
        <w:t> </w:t>
      </w:r>
      <w:r w:rsidRPr="008365D6">
        <w:t>107 (Véhicules des catégories M</w:t>
      </w:r>
      <w:r w:rsidRPr="008365D6">
        <w:rPr>
          <w:vertAlign w:val="subscript"/>
        </w:rPr>
        <w:t>2</w:t>
      </w:r>
      <w:r w:rsidRPr="008365D6">
        <w:t xml:space="preserve"> et M</w:t>
      </w:r>
      <w:r w:rsidRPr="008365D6">
        <w:rPr>
          <w:vertAlign w:val="subscript"/>
        </w:rPr>
        <w:t>3</w:t>
      </w:r>
      <w:r w:rsidRPr="008365D6">
        <w:t>)</w:t>
      </w:r>
    </w:p>
    <w:p w14:paraId="0C9E8B2B" w14:textId="77777777" w:rsidR="008365D6" w:rsidRPr="008365D6" w:rsidRDefault="008365D6" w:rsidP="00BA020F">
      <w:pPr>
        <w:pStyle w:val="SingleTxtG"/>
        <w:ind w:left="2268" w:hanging="1134"/>
        <w:jc w:val="left"/>
      </w:pPr>
      <w:r w:rsidRPr="008365D6">
        <w:rPr>
          <w:i/>
          <w:iCs/>
        </w:rPr>
        <w:t>Documents </w:t>
      </w:r>
      <w:r w:rsidRPr="001A2ADE">
        <w:t>:</w:t>
      </w:r>
      <w:r w:rsidRPr="008365D6">
        <w:tab/>
      </w:r>
      <w:r w:rsidR="00BA020F">
        <w:tab/>
      </w:r>
      <w:r w:rsidRPr="008365D6">
        <w:t xml:space="preserve">Documents informels GRSG-114-05, GRSG-114-16, </w:t>
      </w:r>
      <w:r w:rsidRPr="008365D6">
        <w:br/>
        <w:t>GRSG-115-04, GRSG-115-15, GRSG-115-26 et GRSG-115-41</w:t>
      </w:r>
      <w:r w:rsidR="00BA020F">
        <w:t>.</w:t>
      </w:r>
    </w:p>
    <w:p w14:paraId="394DB6AE" w14:textId="77777777" w:rsidR="008365D6" w:rsidRPr="008365D6" w:rsidRDefault="008365D6" w:rsidP="008365D6">
      <w:pPr>
        <w:pStyle w:val="SingleTxtG"/>
      </w:pPr>
      <w:r w:rsidRPr="008365D6">
        <w:t>5.</w:t>
      </w:r>
      <w:r w:rsidRPr="008365D6">
        <w:tab/>
        <w:t>L’expert de la Pologne a rappelé l’objet du document informel GRSG-114-05 concernant une erreur éventuelle dans l’annexe</w:t>
      </w:r>
      <w:r w:rsidR="00BA020F">
        <w:t> </w:t>
      </w:r>
      <w:r w:rsidRPr="008365D6">
        <w:t>11 au Règlement ONU n</w:t>
      </w:r>
      <w:r w:rsidRPr="008365D6">
        <w:rPr>
          <w:vertAlign w:val="superscript"/>
        </w:rPr>
        <w:t>o</w:t>
      </w:r>
      <w:r w:rsidR="00BA020F">
        <w:t> </w:t>
      </w:r>
      <w:r w:rsidRPr="008365D6">
        <w:t>107. L’expert de l’OICA a proposé de corriger l’annexe</w:t>
      </w:r>
      <w:r w:rsidR="00BA020F">
        <w:t> </w:t>
      </w:r>
      <w:r w:rsidRPr="008365D6">
        <w:t>3 de plusieurs compléments et séries d’amendements à ce Règlement (document informel GRSG-115-41). Le Groupe de travail a approuvé les amendements tels que reproduits ci-après. Il a demandé au secrétariat de les soumettre au Forum mondial et au Comité d’administration (AC.1) en tant que rectificatifs aux révisions 4 à 8 du Règlement ONU n</w:t>
      </w:r>
      <w:r w:rsidRPr="008365D6">
        <w:rPr>
          <w:vertAlign w:val="superscript"/>
        </w:rPr>
        <w:t>o</w:t>
      </w:r>
      <w:r w:rsidR="00BA020F">
        <w:t> </w:t>
      </w:r>
      <w:r w:rsidRPr="008365D6">
        <w:t>107 pour examen à leurs sessions de mars 2019.</w:t>
      </w:r>
    </w:p>
    <w:p w14:paraId="756604AE" w14:textId="77777777" w:rsidR="008365D6" w:rsidRPr="008365D6" w:rsidRDefault="008365D6" w:rsidP="00BA020F">
      <w:pPr>
        <w:pStyle w:val="SingleTxtG"/>
        <w:keepNext/>
        <w:keepLines/>
      </w:pPr>
      <w:r w:rsidRPr="008365D6">
        <w:rPr>
          <w:i/>
          <w:iCs/>
        </w:rPr>
        <w:t>Annexe</w:t>
      </w:r>
      <w:r w:rsidR="00BA020F">
        <w:rPr>
          <w:i/>
          <w:iCs/>
        </w:rPr>
        <w:t> </w:t>
      </w:r>
      <w:r w:rsidRPr="008365D6">
        <w:rPr>
          <w:i/>
          <w:iCs/>
        </w:rPr>
        <w:t>3, paragraphes</w:t>
      </w:r>
      <w:r w:rsidR="00BA020F">
        <w:rPr>
          <w:i/>
          <w:iCs/>
        </w:rPr>
        <w:t> </w:t>
      </w:r>
      <w:r w:rsidRPr="008365D6">
        <w:rPr>
          <w:i/>
          <w:iCs/>
        </w:rPr>
        <w:t xml:space="preserve">7.2.3.1.1 à 7.2.3.1.3, </w:t>
      </w:r>
      <w:r w:rsidRPr="008365D6">
        <w:t>supprimer.</w:t>
      </w:r>
    </w:p>
    <w:p w14:paraId="65CE6E63" w14:textId="77777777" w:rsidR="008365D6" w:rsidRPr="008365D6" w:rsidRDefault="008365D6" w:rsidP="008365D6">
      <w:pPr>
        <w:pStyle w:val="SingleTxtG"/>
      </w:pPr>
      <w:r w:rsidRPr="008365D6">
        <w:t>6.</w:t>
      </w:r>
      <w:r w:rsidRPr="008365D6">
        <w:tab/>
        <w:t>Se référant au document ECE/TRANS/WP.29/GRSG/2007/33 soumis par l’Allemagne au sujet d’un nouveau projet de règlement ONU sur la protection des autobus à l’avant, l’expert de la Norvège a présenté le document informel GRSG-115-04, dans lequel est réaffirmée la nécessité de renforcer la protection et l’intégrité du compartiment du conducteur et d’éventuels membres d’équipage en cas de choc avant. L’expert du Royaume-Uni a fait état de la rareté des données statistiques disponibles dans son pays sur de tels accidents et a émis le vœu d’obtenir d’abord les résultats de recherches plus poussées sur leurs causes. L’expert de la Finlande était du même avis et s’est demandé si cette question ne relevait pas de la responsabilité du Groupe de travail de la sécurité passive (GRSP). L’expert de l’Allemagne était d’avis que plusieurs systèmes de sécurité active existaient déjà aujourd’hui.</w:t>
      </w:r>
    </w:p>
    <w:p w14:paraId="3B6DAA73" w14:textId="77777777" w:rsidR="008365D6" w:rsidRPr="008365D6" w:rsidRDefault="008365D6" w:rsidP="008365D6">
      <w:pPr>
        <w:pStyle w:val="SingleTxtG"/>
      </w:pPr>
      <w:r w:rsidRPr="008365D6">
        <w:t>7.</w:t>
      </w:r>
      <w:r w:rsidRPr="008365D6">
        <w:tab/>
        <w:t>Enfin, le Groupe de travail est convenu de la nécessité de recueillir des données accidentologiques sur les collisions frontales d’autobus et d’autocars entraînant des risques pour le conducteur et/ou l’équipage. Le Président du Groupe de travail a invité tous les experts gouvernementaux à étudier leurs données statistiques nationales et régionales et à communiquer leurs conclusions au Groupe de travail pour examen à sa session d’avril 2019. Le Groupe de travail a décidé de maintenir le document informel GRSG-115-04 à l’ordre du jour en tant que document de référence.</w:t>
      </w:r>
    </w:p>
    <w:p w14:paraId="7930D97D" w14:textId="77777777" w:rsidR="008365D6" w:rsidRPr="008365D6" w:rsidRDefault="008365D6" w:rsidP="008365D6">
      <w:pPr>
        <w:pStyle w:val="SingleTxtG"/>
      </w:pPr>
      <w:r w:rsidRPr="008365D6">
        <w:t>8.</w:t>
      </w:r>
      <w:r w:rsidRPr="008365D6">
        <w:tab/>
        <w:t>Le Groupe de travail a examiné en détail le document informel GRSG-115-15, soumis par l’expert de l’OICA, dans lequel sont précisées les dispositions transitoires relatives à l’homologation des véhicules qui ne sont pas visés par la récente série</w:t>
      </w:r>
      <w:r w:rsidR="00BA020F">
        <w:t> </w:t>
      </w:r>
      <w:r w:rsidRPr="008365D6">
        <w:t xml:space="preserve">08 d’amendements au Règlement ONU </w:t>
      </w:r>
      <w:r w:rsidR="00BA020F" w:rsidRPr="002D76F4">
        <w:rPr>
          <w:rFonts w:eastAsia="MS Mincho"/>
          <w:szCs w:val="22"/>
        </w:rPr>
        <w:t>n</w:t>
      </w:r>
      <w:r w:rsidR="00BA020F" w:rsidRPr="002D76F4">
        <w:rPr>
          <w:rFonts w:eastAsia="MS Mincho"/>
          <w:szCs w:val="22"/>
          <w:vertAlign w:val="superscript"/>
        </w:rPr>
        <w:t>o</w:t>
      </w:r>
      <w:r w:rsidR="00BA020F">
        <w:t> </w:t>
      </w:r>
      <w:r w:rsidRPr="008365D6">
        <w:t>107. L’expert de la CE a souligné qu’il était urgent d’adopter cette disposition additionnelle pour donner une certitude aux Parties contractantes et aux constructeurs. En fin de compte, le Groupe de travail a approuvé la proposition telle que reproduite ci-après et a demandé au secrétariat de la soumettre au Forum mondial et à l’AC.1 en tant que projet de complément 1 à la série 08 d’amendements au Règlement ONU n</w:t>
      </w:r>
      <w:r w:rsidRPr="008365D6">
        <w:rPr>
          <w:vertAlign w:val="superscript"/>
        </w:rPr>
        <w:t>o</w:t>
      </w:r>
      <w:r w:rsidRPr="008365D6">
        <w:t> 107 pour examen à leurs sessions de mars 2019.</w:t>
      </w:r>
    </w:p>
    <w:p w14:paraId="621476D6" w14:textId="77777777" w:rsidR="008365D6" w:rsidRPr="008365D6" w:rsidRDefault="008365D6" w:rsidP="00BA020F">
      <w:pPr>
        <w:pStyle w:val="SingleTxtG"/>
        <w:keepNext/>
        <w:keepLines/>
      </w:pPr>
      <w:r w:rsidRPr="008365D6">
        <w:rPr>
          <w:i/>
        </w:rPr>
        <w:t>Ajouter un nouveau paragraphe</w:t>
      </w:r>
      <w:r w:rsidR="00BA020F">
        <w:rPr>
          <w:i/>
        </w:rPr>
        <w:t> </w:t>
      </w:r>
      <w:r w:rsidRPr="008365D6">
        <w:rPr>
          <w:i/>
        </w:rPr>
        <w:t>10.24</w:t>
      </w:r>
      <w:r w:rsidRPr="008365D6">
        <w:t>, libellé comme suit :</w:t>
      </w:r>
    </w:p>
    <w:p w14:paraId="461FD545" w14:textId="77777777" w:rsidR="008365D6" w:rsidRPr="008365D6" w:rsidRDefault="008365D6" w:rsidP="00BA020F">
      <w:pPr>
        <w:pStyle w:val="SingleTxtG"/>
        <w:ind w:left="2268" w:hanging="1134"/>
      </w:pPr>
      <w:r w:rsidRPr="008365D6">
        <w:t>« 10.24</w:t>
      </w:r>
      <w:r w:rsidRPr="008365D6">
        <w:tab/>
        <w:t>Nonobstant les paragraphes</w:t>
      </w:r>
      <w:r w:rsidR="00BA020F">
        <w:t> </w:t>
      </w:r>
      <w:r w:rsidRPr="008365D6">
        <w:t>10.20 et 10.22, les Parties contractantes appliquant le présent Règlement doivent continuer d’accepter les homologations de type accordées au titre de la série 06 ou 07 d’amendements aux véhicules qui ne sont pas concernés par la série 08 d’amendements. »</w:t>
      </w:r>
    </w:p>
    <w:p w14:paraId="4E4596A0" w14:textId="77777777" w:rsidR="008365D6" w:rsidRPr="008365D6" w:rsidRDefault="008365D6" w:rsidP="008365D6">
      <w:pPr>
        <w:pStyle w:val="SingleTxtG"/>
      </w:pPr>
      <w:r w:rsidRPr="008365D6">
        <w:t>9.</w:t>
      </w:r>
      <w:r w:rsidRPr="008365D6">
        <w:tab/>
        <w:t xml:space="preserve">L’expert de l’Italie a rappelé l’objet du document informel GRSG-114-16 et l’examen par le Groupe de travail, à sa session précédente, de nouvelles dispositions concernant l’approbation éventuelle de nouveaux équipements destinés à améliorer l’accessibilité des personnes à mobilité réduite, en particulier dans les autocars. Il a présenté une proposition révisée (document informel GRSG-115-26) et a souligné que les dispositions relatives à l’installation d’un élévateur ne visaient pas à remplacer les prescriptions obligatoires actuelles concernant l’accessibilité des véhicules aux personnes à mobilité réduite. L’expert </w:t>
      </w:r>
      <w:r w:rsidRPr="008365D6">
        <w:lastRenderedPageBreak/>
        <w:t>du Royaume-Uni s’est félicité de la proposition, mais a souligné que ce dispositif de remplacement ne faisait généralement pas partie du véhicule et pouvait être considéré comme une solution après-vente, au choix du transporteur par autocar. L’expert de la Finlande a déclaré qu’un tel élévateur ne pouvait pas remplacer une rampe ou une plateforme pour fauteuil roulant. Les experts de l’Allemagne et de la Fédération de Russie ont approuvé cette position et se sont demandé si un tel élévateur pouvait même être homologué en tant que composant ou entité technique distincte au sens du Règlement</w:t>
      </w:r>
      <w:r w:rsidR="00BA020F">
        <w:t> </w:t>
      </w:r>
      <w:r w:rsidRPr="008365D6">
        <w:t>ONU n</w:t>
      </w:r>
      <w:r w:rsidRPr="008365D6">
        <w:rPr>
          <w:vertAlign w:val="superscript"/>
        </w:rPr>
        <w:t>o</w:t>
      </w:r>
      <w:r w:rsidRPr="008365D6">
        <w:t> 107. L’expert du Royaume-Uni a ajouté que ces dispositifs nécessitaient l’intervention du conducteur et, dans certains cas, des manœuvres difficiles de la part de la personne handicapée. Il s’est également interrogé sur l’universalité du dispositif pour différents angles d’accès (c</w:t>
      </w:r>
      <w:r w:rsidR="00BA020F">
        <w:t>’est-à-dire</w:t>
      </w:r>
      <w:r w:rsidRPr="008365D6">
        <w:t xml:space="preserve"> en fonction de la hauteur des marches). Compte tenu des multiples solutions techniques possibles, plusieurs experts ont préféré que ces dispositifs ne soient pas intégrés au Règlement et ne soient donc pas visés par celui-ci.</w:t>
      </w:r>
    </w:p>
    <w:p w14:paraId="5EB05ACE" w14:textId="77777777" w:rsidR="008365D6" w:rsidRPr="008365D6" w:rsidRDefault="008365D6" w:rsidP="00BA020F">
      <w:pPr>
        <w:pStyle w:val="H1G"/>
      </w:pPr>
      <w:r w:rsidRPr="008365D6">
        <w:tab/>
        <w:t>B.</w:t>
      </w:r>
      <w:r w:rsidRPr="008365D6">
        <w:tab/>
        <w:t>Règlement ONU n</w:t>
      </w:r>
      <w:r w:rsidRPr="008365D6">
        <w:rPr>
          <w:vertAlign w:val="superscript"/>
        </w:rPr>
        <w:t>o</w:t>
      </w:r>
      <w:r w:rsidR="00BA020F">
        <w:t> </w:t>
      </w:r>
      <w:r w:rsidRPr="008365D6">
        <w:t>118 (Comportement au feu des matériaux)</w:t>
      </w:r>
    </w:p>
    <w:p w14:paraId="2E987325" w14:textId="77777777" w:rsidR="008365D6" w:rsidRPr="008365D6" w:rsidRDefault="008365D6" w:rsidP="008365D6">
      <w:pPr>
        <w:pStyle w:val="SingleTxtG"/>
      </w:pPr>
      <w:r w:rsidRPr="008365D6">
        <w:rPr>
          <w:i/>
        </w:rPr>
        <w:t>Document </w:t>
      </w:r>
      <w:r w:rsidRPr="001A2ADE">
        <w:t>:</w:t>
      </w:r>
      <w:r w:rsidRPr="008365D6">
        <w:tab/>
        <w:t>Document informel GRSG-115-07</w:t>
      </w:r>
      <w:r w:rsidR="00BA020F">
        <w:t>.</w:t>
      </w:r>
    </w:p>
    <w:p w14:paraId="298611E8" w14:textId="77777777" w:rsidR="008365D6" w:rsidRPr="008365D6" w:rsidRDefault="008365D6" w:rsidP="008365D6">
      <w:pPr>
        <w:pStyle w:val="SingleTxtG"/>
      </w:pPr>
      <w:r w:rsidRPr="008365D6">
        <w:t>10.</w:t>
      </w:r>
      <w:r w:rsidRPr="008365D6">
        <w:tab/>
        <w:t>L’expert de la France, qui préside le groupe de travail informel du comportement de la structure générale des véhicules des catégories M</w:t>
      </w:r>
      <w:r w:rsidRPr="008365D6">
        <w:rPr>
          <w:vertAlign w:val="subscript"/>
        </w:rPr>
        <w:t>2</w:t>
      </w:r>
      <w:r w:rsidRPr="008365D6">
        <w:t xml:space="preserve"> et M</w:t>
      </w:r>
      <w:r w:rsidRPr="008365D6">
        <w:rPr>
          <w:vertAlign w:val="subscript"/>
        </w:rPr>
        <w:t>3</w:t>
      </w:r>
      <w:r w:rsidRPr="008365D6">
        <w:t xml:space="preserve"> en cas d’incendie, a présenté le document informel GRSG-115-07 sur les résultats des récentes réunions tenues à Berlin le 15</w:t>
      </w:r>
      <w:r w:rsidR="00BA020F">
        <w:t> </w:t>
      </w:r>
      <w:r w:rsidRPr="008365D6">
        <w:t>juin 2018 et à Paris les 10 et 11</w:t>
      </w:r>
      <w:r w:rsidR="00BA020F">
        <w:t> </w:t>
      </w:r>
      <w:r w:rsidRPr="008365D6">
        <w:t>septembre 2018. Il a indiqué que le groupe informel avait principalement déterminé qu’il était nécessaire de renforcer les dispositions : a)</w:t>
      </w:r>
      <w:r w:rsidR="002C2489">
        <w:t> </w:t>
      </w:r>
      <w:r w:rsidRPr="008365D6">
        <w:t>du Règlement ONU n</w:t>
      </w:r>
      <w:r w:rsidRPr="008365D6">
        <w:rPr>
          <w:vertAlign w:val="superscript"/>
        </w:rPr>
        <w:t>o</w:t>
      </w:r>
      <w:r w:rsidRPr="008365D6">
        <w:t> 118, en particulier en ce qui concernait la toxicité et l’opacité des fumées, leur propagation et leur évacuation</w:t>
      </w:r>
      <w:r w:rsidR="002C2489">
        <w:t> ;</w:t>
      </w:r>
      <w:r w:rsidRPr="008365D6">
        <w:t xml:space="preserve"> et b)</w:t>
      </w:r>
      <w:r w:rsidR="002C2489">
        <w:t> </w:t>
      </w:r>
      <w:r w:rsidRPr="008365D6">
        <w:t>du Règlement ONU</w:t>
      </w:r>
      <w:r w:rsidR="002C2489">
        <w:t> </w:t>
      </w:r>
      <w:r w:rsidR="002C2489" w:rsidRPr="002D76F4">
        <w:rPr>
          <w:rFonts w:eastAsia="MS Mincho"/>
          <w:szCs w:val="22"/>
        </w:rPr>
        <w:t>n</w:t>
      </w:r>
      <w:r w:rsidR="002C2489" w:rsidRPr="002D76F4">
        <w:rPr>
          <w:rFonts w:eastAsia="MS Mincho"/>
          <w:szCs w:val="22"/>
          <w:vertAlign w:val="superscript"/>
        </w:rPr>
        <w:t>o</w:t>
      </w:r>
      <w:r w:rsidR="002C2489">
        <w:t> </w:t>
      </w:r>
      <w:r w:rsidRPr="008365D6">
        <w:t>107, sur les systèmes d’extraction de fumée et de détection d’incendie, compte tenu des consignes de sécurité et des fonctionnalités relatives à l’ouverture automatique des issues, aux indicateurs lumineux et aux cheminements. Le Groupe de travail a accueilli avec intérêt les informations actualisées communiquées par la France sur l’état d’avancement des travaux et a noté que la prochaine réunion du groupe de travail informel devait se tenir à Madrid les 27 et 28</w:t>
      </w:r>
      <w:r w:rsidR="002C2489">
        <w:t> </w:t>
      </w:r>
      <w:r w:rsidRPr="008365D6">
        <w:t>novembre 2018.</w:t>
      </w:r>
    </w:p>
    <w:p w14:paraId="1769C55B" w14:textId="77777777" w:rsidR="008365D6" w:rsidRPr="008365D6" w:rsidRDefault="008365D6" w:rsidP="008365D6">
      <w:pPr>
        <w:pStyle w:val="SingleTxtG"/>
      </w:pPr>
      <w:r w:rsidRPr="008365D6">
        <w:t>11.</w:t>
      </w:r>
      <w:r w:rsidRPr="008365D6">
        <w:tab/>
        <w:t>Le Groupe de travail a décidé de reprendre l’examen de cette question à sa session suivante.</w:t>
      </w:r>
    </w:p>
    <w:p w14:paraId="4FC4DFE4" w14:textId="77777777" w:rsidR="008365D6" w:rsidRPr="008365D6" w:rsidRDefault="008365D6" w:rsidP="002C2489">
      <w:pPr>
        <w:pStyle w:val="HChG"/>
      </w:pPr>
      <w:r w:rsidRPr="008365D6">
        <w:tab/>
        <w:t xml:space="preserve">IV. </w:t>
      </w:r>
      <w:r w:rsidRPr="008365D6">
        <w:tab/>
        <w:t>Règlement ONU n</w:t>
      </w:r>
      <w:r w:rsidRPr="008365D6">
        <w:rPr>
          <w:vertAlign w:val="superscript"/>
        </w:rPr>
        <w:t>o</w:t>
      </w:r>
      <w:r w:rsidR="002C2489">
        <w:t> </w:t>
      </w:r>
      <w:r w:rsidRPr="008365D6">
        <w:t>26 (Saillies extérieures des voitures particulières) (point</w:t>
      </w:r>
      <w:r w:rsidR="002C2489">
        <w:t> </w:t>
      </w:r>
      <w:r w:rsidRPr="008365D6">
        <w:t>3 de l’ordre du jour)</w:t>
      </w:r>
    </w:p>
    <w:p w14:paraId="4ECE11A2" w14:textId="77777777" w:rsidR="008365D6" w:rsidRPr="008365D6" w:rsidRDefault="008365D6" w:rsidP="002C2489">
      <w:pPr>
        <w:pStyle w:val="SingleTxtG"/>
        <w:ind w:left="2268" w:hanging="1134"/>
        <w:jc w:val="left"/>
      </w:pPr>
      <w:r w:rsidRPr="008365D6">
        <w:rPr>
          <w:i/>
        </w:rPr>
        <w:t>Documents </w:t>
      </w:r>
      <w:r w:rsidRPr="001A2ADE">
        <w:t>:</w:t>
      </w:r>
      <w:r w:rsidRPr="008365D6">
        <w:tab/>
      </w:r>
      <w:r w:rsidR="002C2489">
        <w:tab/>
      </w:r>
      <w:r w:rsidRPr="008365D6">
        <w:t>ECE/TRANS/WP 29/GRSG/2018/17</w:t>
      </w:r>
      <w:r w:rsidR="002C2489">
        <w:t> ;</w:t>
      </w:r>
      <w:r w:rsidRPr="008365D6">
        <w:br/>
        <w:t xml:space="preserve">Documents informels GRSG-115-08, GRSG-115-16 </w:t>
      </w:r>
      <w:r w:rsidRPr="008365D6">
        <w:br/>
        <w:t>et GRSG-115-32</w:t>
      </w:r>
      <w:r w:rsidR="002C2489">
        <w:t>.</w:t>
      </w:r>
    </w:p>
    <w:p w14:paraId="52874B97" w14:textId="77777777" w:rsidR="008365D6" w:rsidRPr="008365D6" w:rsidRDefault="008365D6" w:rsidP="008365D6">
      <w:pPr>
        <w:pStyle w:val="SingleTxtG"/>
      </w:pPr>
      <w:r w:rsidRPr="008365D6">
        <w:t>12.</w:t>
      </w:r>
      <w:r w:rsidRPr="008365D6">
        <w:tab/>
        <w:t>Se référant au document ECE/TRANS/WP.29/GRSG/2018/17, l’expert de la France a présenté le document informel GRSG-115-08 dans lequel sont précisées les prescriptions applicables aux essuie-glaces au moyen d’un simple dessin générique des zones concernées. L’expert de la CE a appuyé la proposition. L’expert de la CLEPA a estimé que les précisions apportées par la France imposaient des prescriptions plus strictes, en particulier pour le support d’essuie-glace, et nécessitaient de justifier l’évolution des coûts (document informel GRSG-115-32). L’expert de l’OICA a approuvé la position de la CLEPA. Il a suggéré d’insérer des dispositions transitoires et d’adopter la proposition en tant que nouvelle série d’amendements au Règlement ONU n</w:t>
      </w:r>
      <w:r w:rsidRPr="008365D6">
        <w:rPr>
          <w:vertAlign w:val="superscript"/>
        </w:rPr>
        <w:t>o</w:t>
      </w:r>
      <w:r w:rsidRPr="008365D6">
        <w:t> 26. Le Président a invité les experts de la France et de l’OICA à soumettre en temps voulu une proposition révisée comprenant des dispositions transitoires pour examen par le Groupe de travail à sa session suivante sur la base d’un document muni d’une cote officielle.</w:t>
      </w:r>
    </w:p>
    <w:p w14:paraId="2B6BD498" w14:textId="77777777" w:rsidR="008365D6" w:rsidRPr="008365D6" w:rsidRDefault="008365D6" w:rsidP="008365D6">
      <w:pPr>
        <w:pStyle w:val="SingleTxtG"/>
      </w:pPr>
      <w:r w:rsidRPr="008365D6">
        <w:t>13.</w:t>
      </w:r>
      <w:r w:rsidRPr="008365D6">
        <w:tab/>
        <w:t xml:space="preserve">L’expert de l’OICA a présenté le document informel GRSG-115-16, tendant à modifier les dispositions relatives aux bords arrière du capot, qui peuvent être considérés comme non dangereux en raison de leur emplacement sur le véhicule. L’expert de la CE a émis une réserve pour complément d’étude. Le Groupe de travail a demandé au secrétariat </w:t>
      </w:r>
      <w:r w:rsidRPr="008365D6">
        <w:lastRenderedPageBreak/>
        <w:t>de faire distribuer le document informel GRSG-115-16 sous une cote officielle pour examen à sa session suivante.</w:t>
      </w:r>
    </w:p>
    <w:p w14:paraId="62C7A4E8" w14:textId="77777777" w:rsidR="008365D6" w:rsidRPr="008365D6" w:rsidRDefault="008365D6" w:rsidP="002C2489">
      <w:pPr>
        <w:pStyle w:val="HChG"/>
      </w:pPr>
      <w:r w:rsidRPr="008365D6">
        <w:tab/>
        <w:t>V.</w:t>
      </w:r>
      <w:r w:rsidRPr="008365D6">
        <w:tab/>
        <w:t>Règlement ONU n</w:t>
      </w:r>
      <w:r w:rsidRPr="008365D6">
        <w:rPr>
          <w:vertAlign w:val="superscript"/>
        </w:rPr>
        <w:t>o</w:t>
      </w:r>
      <w:r w:rsidR="002C2489">
        <w:t> </w:t>
      </w:r>
      <w:r w:rsidRPr="008365D6">
        <w:t xml:space="preserve">35 (Disposition des pédales </w:t>
      </w:r>
      <w:r w:rsidR="002C2489">
        <w:br/>
      </w:r>
      <w:r w:rsidRPr="008365D6">
        <w:t>de commande) (point</w:t>
      </w:r>
      <w:r w:rsidR="002C2489">
        <w:t> </w:t>
      </w:r>
      <w:r w:rsidRPr="008365D6">
        <w:t>4 de l’ordre du jour)</w:t>
      </w:r>
    </w:p>
    <w:p w14:paraId="200E4262" w14:textId="77777777" w:rsidR="008365D6" w:rsidRPr="008365D6" w:rsidRDefault="008365D6" w:rsidP="008365D6">
      <w:pPr>
        <w:pStyle w:val="SingleTxtG"/>
      </w:pPr>
      <w:r w:rsidRPr="008365D6">
        <w:rPr>
          <w:i/>
        </w:rPr>
        <w:t>Document </w:t>
      </w:r>
      <w:r w:rsidRPr="001A2ADE">
        <w:t>:</w:t>
      </w:r>
      <w:r w:rsidRPr="008365D6">
        <w:tab/>
        <w:t>Document informel GRSG-115-17</w:t>
      </w:r>
      <w:r w:rsidR="002C2489">
        <w:t>.</w:t>
      </w:r>
    </w:p>
    <w:p w14:paraId="5E1564DE" w14:textId="77777777" w:rsidR="008365D6" w:rsidRPr="008365D6" w:rsidRDefault="008365D6" w:rsidP="008365D6">
      <w:pPr>
        <w:pStyle w:val="SingleTxtG"/>
      </w:pPr>
      <w:r w:rsidRPr="008365D6">
        <w:t>14.</w:t>
      </w:r>
      <w:r w:rsidRPr="008365D6">
        <w:tab/>
        <w:t xml:space="preserve">L’expert de l’OICA a présenté le document informel GRSG-115-17, dans lequel est précisée la méthode de mesure des distances latérales des pédales à la paroi la plus proche à gauche. Il a ajouté que la proposition devait être introduite sous la forme d’une nouvelle série d’amendements car les nouvelles dispositions pouvaient entraîner des contraintes pour les constructeurs. Le Groupe de travail n’a noté aucune objection et </w:t>
      </w:r>
      <w:r w:rsidRPr="008365D6">
        <w:rPr>
          <w:bCs/>
        </w:rPr>
        <w:t>a décidé de reprendre l’examen de la question à sa session suivante sur la base d’un document muni d’une cote officielle.</w:t>
      </w:r>
    </w:p>
    <w:p w14:paraId="75CB8C7C" w14:textId="77777777" w:rsidR="008365D6" w:rsidRPr="008365D6" w:rsidRDefault="008365D6" w:rsidP="002C2489">
      <w:pPr>
        <w:pStyle w:val="HChG"/>
      </w:pPr>
      <w:r w:rsidRPr="008365D6">
        <w:tab/>
        <w:t>VI.</w:t>
      </w:r>
      <w:r w:rsidRPr="008365D6">
        <w:tab/>
        <w:t>Amendements aux règlements relatifs aux vitrages de sécurité (point 5 de l’ordre du jour)</w:t>
      </w:r>
    </w:p>
    <w:p w14:paraId="1CD96A35" w14:textId="77777777" w:rsidR="008365D6" w:rsidRPr="008365D6" w:rsidRDefault="008365D6" w:rsidP="008365D6">
      <w:pPr>
        <w:pStyle w:val="SingleTxtG"/>
      </w:pPr>
      <w:r w:rsidRPr="008365D6">
        <w:rPr>
          <w:i/>
        </w:rPr>
        <w:t>Document </w:t>
      </w:r>
      <w:r w:rsidRPr="001A2ADE">
        <w:t>:</w:t>
      </w:r>
      <w:r w:rsidRPr="008365D6">
        <w:tab/>
        <w:t>Document informel GRSG-115-35</w:t>
      </w:r>
      <w:r w:rsidR="001A2ADE">
        <w:t>.</w:t>
      </w:r>
    </w:p>
    <w:p w14:paraId="5BCC4227" w14:textId="77777777" w:rsidR="008365D6" w:rsidRPr="008365D6" w:rsidRDefault="008365D6" w:rsidP="008365D6">
      <w:pPr>
        <w:pStyle w:val="SingleTxtG"/>
      </w:pPr>
      <w:r w:rsidRPr="008365D6">
        <w:t>15.</w:t>
      </w:r>
      <w:r w:rsidRPr="008365D6">
        <w:tab/>
        <w:t>L’expert de la République de Corée, président du groupe de travail informel des vitrages de toit panoramique (PSG), a présenté le document informel GRSG-115-35 portant sur les progrès réalisés par le groupe informel à sa dixième réunion, tenue le 8</w:t>
      </w:r>
      <w:r w:rsidR="002C2489">
        <w:t> </w:t>
      </w:r>
      <w:r w:rsidRPr="008365D6">
        <w:t>octobre 2018. Le secrétaire du groupe informel a ajouté qu’aucune autre activité de recherche et d’essai sur les zones de vitrage à impression céramique n’avait commencé et qu’il était prématuré de modifier les Règlements ONU. Il a conclu que le groupe informel avait préféré adopter, dans l’intervalle, une recommandation sur les zones de vitrage à impression céramique.</w:t>
      </w:r>
    </w:p>
    <w:p w14:paraId="4612B646" w14:textId="77777777" w:rsidR="008365D6" w:rsidRPr="008365D6" w:rsidRDefault="008365D6" w:rsidP="008365D6">
      <w:pPr>
        <w:pStyle w:val="SingleTxtG"/>
        <w:rPr>
          <w:b/>
        </w:rPr>
      </w:pPr>
      <w:r w:rsidRPr="008365D6">
        <w:t>16.</w:t>
      </w:r>
      <w:r w:rsidRPr="008365D6">
        <w:tab/>
        <w:t>Le Groupe de travail a approuvé la proposition et a décidé de reprendre l’examen de cette question à sa session d’avril 2019 sur la base d’un projet de recommandation.</w:t>
      </w:r>
    </w:p>
    <w:p w14:paraId="56E768AE" w14:textId="77777777" w:rsidR="008365D6" w:rsidRPr="008365D6" w:rsidRDefault="008365D6" w:rsidP="002C2489">
      <w:pPr>
        <w:pStyle w:val="H1G"/>
      </w:pPr>
      <w:r w:rsidRPr="008365D6">
        <w:tab/>
        <w:t>A.</w:t>
      </w:r>
      <w:r w:rsidRPr="008365D6">
        <w:tab/>
        <w:t>Règlement technique mondial ONU n</w:t>
      </w:r>
      <w:r w:rsidRPr="008365D6">
        <w:rPr>
          <w:vertAlign w:val="superscript"/>
        </w:rPr>
        <w:t>o</w:t>
      </w:r>
      <w:r w:rsidR="002C2489">
        <w:t> </w:t>
      </w:r>
      <w:r w:rsidRPr="008365D6">
        <w:t>6 (Vitrages de sécurité)</w:t>
      </w:r>
    </w:p>
    <w:p w14:paraId="06A7BF78" w14:textId="77777777" w:rsidR="008365D6" w:rsidRPr="008365D6" w:rsidRDefault="008365D6" w:rsidP="002C2489">
      <w:pPr>
        <w:pStyle w:val="SingleTxtG"/>
        <w:ind w:left="1701" w:hanging="567"/>
      </w:pPr>
      <w:r w:rsidRPr="008365D6">
        <w:rPr>
          <w:i/>
        </w:rPr>
        <w:t>Documents</w:t>
      </w:r>
      <w:r w:rsidRPr="008365D6">
        <w:t> :</w:t>
      </w:r>
      <w:r w:rsidRPr="008365D6">
        <w:tab/>
        <w:t>ECE/TRANS/WP.29/2018/167</w:t>
      </w:r>
      <w:r w:rsidR="002C2489">
        <w:t> ;</w:t>
      </w:r>
      <w:r w:rsidRPr="008365D6">
        <w:br/>
      </w:r>
      <w:r w:rsidRPr="008365D6">
        <w:tab/>
        <w:t>Documents informels WP.29-175-30 et GRSG-115-38</w:t>
      </w:r>
      <w:r w:rsidR="002C2489">
        <w:t>.</w:t>
      </w:r>
    </w:p>
    <w:p w14:paraId="6C69136A" w14:textId="77777777" w:rsidR="008365D6" w:rsidRPr="008365D6" w:rsidRDefault="008365D6" w:rsidP="008365D6">
      <w:pPr>
        <w:pStyle w:val="SingleTxtG"/>
      </w:pPr>
      <w:r w:rsidRPr="008365D6">
        <w:t>17.</w:t>
      </w:r>
      <w:r w:rsidRPr="008365D6">
        <w:tab/>
        <w:t>Le Groupe de travail a pris note de la communication de l’Inde (document ECE/TRANS/WP.29/2018/167) dans lequel est demandée l’autorisation d’élaborer un amendement au Règlement technique mondial ONU n</w:t>
      </w:r>
      <w:r w:rsidRPr="008365D6">
        <w:rPr>
          <w:vertAlign w:val="superscript"/>
        </w:rPr>
        <w:t>o</w:t>
      </w:r>
      <w:r w:rsidRPr="008365D6">
        <w:t xml:space="preserve"> 6 sur les vitrages de sécurité pour examen par le Comité exécutif de l’Accord de 1998 (AC.3) à sa session de novembre 2018. </w:t>
      </w:r>
    </w:p>
    <w:p w14:paraId="161ACBE3" w14:textId="77777777" w:rsidR="008365D6" w:rsidRPr="008365D6" w:rsidRDefault="008365D6" w:rsidP="008365D6">
      <w:pPr>
        <w:pStyle w:val="SingleTxtG"/>
      </w:pPr>
      <w:r w:rsidRPr="008365D6">
        <w:t>18.</w:t>
      </w:r>
      <w:r w:rsidRPr="008365D6">
        <w:tab/>
        <w:t>Comme suite au document informel WP.29-175-30, l’expert de l’Inde a présenté le document informel GRSG-115-38 visant à harmoniser le RTM ONU n</w:t>
      </w:r>
      <w:r w:rsidRPr="008365D6">
        <w:rPr>
          <w:vertAlign w:val="superscript"/>
        </w:rPr>
        <w:t>o</w:t>
      </w:r>
      <w:r w:rsidRPr="008365D6">
        <w:t xml:space="preserve"> 6 en ce qui concerne l’utilisation facultative de vitres en verre feuilleté à propriétés mécaniques améliorées, en particulier celles des vitrages avant, extérieur et avant du pont supérieur d’un véhicule à deux étages. Le Groupe de travail a bien accueilli cette proposition et a décidé de reprendre son examen </w:t>
      </w:r>
      <w:r w:rsidRPr="008365D6">
        <w:rPr>
          <w:bCs/>
        </w:rPr>
        <w:t>à sa session suivante, en avril 2019. Il a demandé au secrétariat de distribuer le document informel GRSG-115-38 sous une cote officielle.</w:t>
      </w:r>
    </w:p>
    <w:p w14:paraId="1D0C790B" w14:textId="77777777" w:rsidR="008365D6" w:rsidRPr="008365D6" w:rsidRDefault="008365D6" w:rsidP="002C2489">
      <w:pPr>
        <w:pStyle w:val="H1G"/>
      </w:pPr>
      <w:r w:rsidRPr="008365D6">
        <w:tab/>
        <w:t>B.</w:t>
      </w:r>
      <w:r w:rsidRPr="008365D6">
        <w:tab/>
        <w:t>Règlement ONU n</w:t>
      </w:r>
      <w:r w:rsidRPr="008365D6">
        <w:rPr>
          <w:vertAlign w:val="superscript"/>
        </w:rPr>
        <w:t>o</w:t>
      </w:r>
      <w:r w:rsidR="002C2489">
        <w:t> </w:t>
      </w:r>
      <w:r w:rsidRPr="008365D6">
        <w:t>43 (Vitrages de sécurité)</w:t>
      </w:r>
    </w:p>
    <w:p w14:paraId="028C499B" w14:textId="77777777" w:rsidR="008365D6" w:rsidRPr="008365D6" w:rsidRDefault="008365D6" w:rsidP="008365D6">
      <w:pPr>
        <w:pStyle w:val="SingleTxtG"/>
      </w:pPr>
      <w:r w:rsidRPr="008365D6">
        <w:rPr>
          <w:i/>
        </w:rPr>
        <w:t>Documents</w:t>
      </w:r>
      <w:r w:rsidRPr="008365D6">
        <w:t> :</w:t>
      </w:r>
      <w:r w:rsidRPr="008365D6">
        <w:tab/>
        <w:t>Documents informels GRSG-115-09 et GRSG-115-27-Rev.1</w:t>
      </w:r>
      <w:r w:rsidR="00FA69E7">
        <w:t>.</w:t>
      </w:r>
    </w:p>
    <w:p w14:paraId="5AF07209" w14:textId="77777777" w:rsidR="008365D6" w:rsidRPr="008365D6" w:rsidRDefault="008365D6" w:rsidP="008365D6">
      <w:pPr>
        <w:pStyle w:val="SingleTxtG"/>
      </w:pPr>
      <w:r w:rsidRPr="008365D6">
        <w:t>19.</w:t>
      </w:r>
      <w:r w:rsidRPr="008365D6">
        <w:tab/>
        <w:t>L’expert de la France a présenté le document informel GRSG-115-09 tendant à préciser à l’annexe</w:t>
      </w:r>
      <w:r w:rsidR="002C2489">
        <w:t> </w:t>
      </w:r>
      <w:r w:rsidRPr="008365D6">
        <w:t>3 la référence aux prescriptions d’essai relatives à l’abrasion et à la résistance aux intempéries figurant à l’annexe</w:t>
      </w:r>
      <w:r w:rsidR="002C2489">
        <w:t> </w:t>
      </w:r>
      <w:r w:rsidRPr="008365D6">
        <w:t>4. Le Groupe de travail a pris note de l’appui général apporté à cette proposition et a demandé au secrétariat de distribuer le document GRSG-115-09 sous une cote officielle pour examen à sa session suivante.</w:t>
      </w:r>
    </w:p>
    <w:p w14:paraId="55539BFC" w14:textId="77777777" w:rsidR="008365D6" w:rsidRPr="008365D6" w:rsidRDefault="008365D6" w:rsidP="008365D6">
      <w:pPr>
        <w:pStyle w:val="SingleTxtG"/>
      </w:pPr>
      <w:r w:rsidRPr="008365D6">
        <w:lastRenderedPageBreak/>
        <w:t>20.</w:t>
      </w:r>
      <w:r w:rsidRPr="008365D6">
        <w:tab/>
        <w:t xml:space="preserve">L’expert de l’OICA a informé le Groupe de travail de l’adoption par le Forum mondial à sa session de novembre 2017 des directives révisées relatives à l’élaboration des règlements et des dispositions transitoires (document ECE/TRANS/WP.29/1044/Rev.2 </w:t>
      </w:r>
      <w:r w:rsidR="002C2489">
        <w:t>− </w:t>
      </w:r>
      <w:r w:rsidRPr="008365D6">
        <w:t>Directives générales). Il a rendu compte des débats récemment tenus au sein du Forum mondial (document ECE/TRANS/WP.29/1139, par.</w:t>
      </w:r>
      <w:r w:rsidR="002C2489">
        <w:t> </w:t>
      </w:r>
      <w:r w:rsidRPr="008365D6">
        <w:t>63 à 66) sur l’éventualité que les nouvelles directives puissent entraîner, pour certains Règlements ONU, des difficultés liées aux extensions des homologations de type précédemment accordées. À la demande du Forum mondial, il a présenté le document informel GRSG-115-27-Rev.1, dans lequel sont énoncées de nouvelles dispositions transitoires permettant, pour une période limitée, de prolonger des homologations de type existantes.</w:t>
      </w:r>
    </w:p>
    <w:p w14:paraId="039405CA" w14:textId="77777777" w:rsidR="008365D6" w:rsidRPr="008365D6" w:rsidRDefault="008365D6" w:rsidP="008365D6">
      <w:pPr>
        <w:pStyle w:val="SingleTxtG"/>
      </w:pPr>
      <w:r w:rsidRPr="008365D6">
        <w:t>21.</w:t>
      </w:r>
      <w:r w:rsidRPr="008365D6">
        <w:tab/>
        <w:t>Le Groupe de travail a approuvé la proposition telle que reproduite ci-après et a demandé au secrétariat de la soumettre au Forum mondial et à l’AC.1 en tant que projet de complément</w:t>
      </w:r>
      <w:r w:rsidR="002C2489">
        <w:t> </w:t>
      </w:r>
      <w:r w:rsidRPr="008365D6">
        <w:t>9 à la série</w:t>
      </w:r>
      <w:r w:rsidR="002C2489">
        <w:t> </w:t>
      </w:r>
      <w:r w:rsidRPr="008365D6">
        <w:t>01 d’amendements au Règlement ONU n</w:t>
      </w:r>
      <w:r w:rsidRPr="008365D6">
        <w:rPr>
          <w:vertAlign w:val="superscript"/>
        </w:rPr>
        <w:t>o</w:t>
      </w:r>
      <w:r w:rsidRPr="008365D6">
        <w:t xml:space="preserve"> 43, pour examen à leurs sessions de mars 2019. </w:t>
      </w:r>
      <w:r w:rsidRPr="008365D6">
        <w:rPr>
          <w:i/>
        </w:rPr>
        <w:t>(Note du secrétariat : À sa session de novembre 2018, le Forum mondial a confirmé qu’il n’était pas nécessaire de lui soumettre pour adoption les propositions d’amendement élaborées par le Groupe de travail en vue d’introduire les dispositions transitoires, car elles étaient prises en compte dans sa décision de juin 2018, voir les paragraphes</w:t>
      </w:r>
      <w:r w:rsidR="002C2489">
        <w:rPr>
          <w:i/>
        </w:rPr>
        <w:t> </w:t>
      </w:r>
      <w:r w:rsidRPr="008365D6">
        <w:rPr>
          <w:i/>
        </w:rPr>
        <w:t>91 et</w:t>
      </w:r>
      <w:r w:rsidR="002C2489">
        <w:rPr>
          <w:i/>
        </w:rPr>
        <w:t> </w:t>
      </w:r>
      <w:r w:rsidRPr="008365D6">
        <w:rPr>
          <w:i/>
        </w:rPr>
        <w:t>92 du rapport ECE/TRANS/WP.29/1142 et le paragraphe 65 du document ECE/TRANS/WP.29/1139).</w:t>
      </w:r>
    </w:p>
    <w:p w14:paraId="60AED7CB" w14:textId="77777777" w:rsidR="008365D6" w:rsidRPr="008365D6" w:rsidRDefault="008365D6" w:rsidP="002C2489">
      <w:pPr>
        <w:pStyle w:val="SingleTxtG"/>
        <w:keepNext/>
      </w:pPr>
      <w:r w:rsidRPr="008365D6">
        <w:rPr>
          <w:i/>
        </w:rPr>
        <w:t>Ajouter un nouveau paragraphe 12.8</w:t>
      </w:r>
      <w:r w:rsidRPr="008365D6">
        <w:t>, libellé comme suit :</w:t>
      </w:r>
    </w:p>
    <w:p w14:paraId="2E99768A" w14:textId="77777777" w:rsidR="008365D6" w:rsidRPr="008365D6" w:rsidRDefault="008365D6" w:rsidP="002C2489">
      <w:pPr>
        <w:pStyle w:val="SingleTxtG"/>
        <w:ind w:left="2268" w:hanging="1134"/>
      </w:pPr>
      <w:r w:rsidRPr="008365D6">
        <w:t>« 12.8</w:t>
      </w:r>
      <w:r w:rsidRPr="008365D6">
        <w:tab/>
      </w:r>
      <w:r w:rsidR="002C2489">
        <w:tab/>
      </w:r>
      <w:r w:rsidRPr="008365D6">
        <w:t>Jusqu’au 31 décembre 2019, les dispositions des compléments</w:t>
      </w:r>
      <w:r w:rsidR="002C2489">
        <w:t> </w:t>
      </w:r>
      <w:r w:rsidRPr="008365D6">
        <w:t>1, 4, 5 et 6 à la série</w:t>
      </w:r>
      <w:r w:rsidR="002C2489">
        <w:t> </w:t>
      </w:r>
      <w:r w:rsidRPr="008365D6">
        <w:t>01 d’amendements au présent Règlement ne s’appliquent pas aux extensions d’homologation initialement accordées avant l’entrée en vigueur desdits compléments 1, 4, 5 et 6. »</w:t>
      </w:r>
    </w:p>
    <w:p w14:paraId="50656645" w14:textId="77777777" w:rsidR="008365D6" w:rsidRPr="008365D6" w:rsidRDefault="008365D6" w:rsidP="002C2489">
      <w:pPr>
        <w:pStyle w:val="HChG"/>
      </w:pPr>
      <w:r w:rsidRPr="008365D6">
        <w:tab/>
        <w:t>VII.</w:t>
      </w:r>
      <w:r w:rsidRPr="008365D6">
        <w:tab/>
        <w:t>Sensibilisation à la proximité d’usagers de la route vulnérables (point</w:t>
      </w:r>
      <w:r w:rsidR="002C2489">
        <w:t> </w:t>
      </w:r>
      <w:r w:rsidRPr="008365D6">
        <w:t>6 de l’ordre du jour)</w:t>
      </w:r>
    </w:p>
    <w:p w14:paraId="5D11529C" w14:textId="77777777" w:rsidR="008365D6" w:rsidRPr="008365D6" w:rsidRDefault="008365D6" w:rsidP="008365D6">
      <w:pPr>
        <w:pStyle w:val="SingleTxtG"/>
      </w:pPr>
      <w:r w:rsidRPr="008365D6">
        <w:rPr>
          <w:i/>
        </w:rPr>
        <w:t>Document </w:t>
      </w:r>
      <w:r w:rsidRPr="001A2ADE">
        <w:t>:</w:t>
      </w:r>
      <w:r w:rsidRPr="008365D6">
        <w:tab/>
        <w:t>Document informel GRSG-115-40</w:t>
      </w:r>
      <w:r w:rsidR="002C2489">
        <w:t>.</w:t>
      </w:r>
    </w:p>
    <w:p w14:paraId="7C9B19F0" w14:textId="77777777" w:rsidR="008365D6" w:rsidRPr="008365D6" w:rsidRDefault="008365D6" w:rsidP="008365D6">
      <w:pPr>
        <w:pStyle w:val="SingleTxtG"/>
      </w:pPr>
      <w:r w:rsidRPr="008365D6">
        <w:t>22.</w:t>
      </w:r>
      <w:r w:rsidRPr="008365D6">
        <w:tab/>
        <w:t>Le Groupe de travail a pris note du rapport (GRSG-115-40) de l’expert du Japon sur les progrès réalisés par le groupe de travail informel de la sensibilisation à la proximité d’usagers de la route vulnérables. Il a souligné que l’objectif de l’amendement élaboré par le groupe informel était de donner au conducteur une vision claire de la zone à proximité immédiate de l’arrière du véhicule lorsque celui-ci se déplaçait en marche arrière. Il a ajouté que le groupe informel s’était mis d’accord sur une approche multimodale fondée sur des dispositifs de vision directe ou indirecte (ou une combinaison des deux), des systèmes de surveillance par caméra ou des systèmes de détection des obstacles. Enfin, il a annoncé que la réunion suivante du groupe informel devait se tenir à Yokohama (Japon) du</w:t>
      </w:r>
      <w:r w:rsidR="002C2489">
        <w:t> </w:t>
      </w:r>
      <w:r w:rsidRPr="008365D6">
        <w:t>5 au 7 février 2019.</w:t>
      </w:r>
    </w:p>
    <w:p w14:paraId="653F0246" w14:textId="77777777" w:rsidR="008365D6" w:rsidRPr="008365D6" w:rsidRDefault="008365D6" w:rsidP="002C2489">
      <w:pPr>
        <w:pStyle w:val="H1G"/>
      </w:pPr>
      <w:r w:rsidRPr="008365D6">
        <w:tab/>
        <w:t>A.</w:t>
      </w:r>
      <w:r w:rsidRPr="008365D6">
        <w:tab/>
        <w:t>Règlement ONU n</w:t>
      </w:r>
      <w:r w:rsidRPr="008365D6">
        <w:rPr>
          <w:vertAlign w:val="superscript"/>
        </w:rPr>
        <w:t>o</w:t>
      </w:r>
      <w:r w:rsidR="002C2489">
        <w:t> </w:t>
      </w:r>
      <w:r w:rsidRPr="008365D6">
        <w:t>46 (Dispositifs de vision indirecte)</w:t>
      </w:r>
    </w:p>
    <w:p w14:paraId="3D471B76" w14:textId="77777777" w:rsidR="008365D6" w:rsidRPr="008365D6" w:rsidRDefault="008365D6" w:rsidP="008365D6">
      <w:pPr>
        <w:pStyle w:val="SingleTxtG"/>
      </w:pPr>
      <w:r w:rsidRPr="008365D6">
        <w:rPr>
          <w:i/>
        </w:rPr>
        <w:t>Document </w:t>
      </w:r>
      <w:r w:rsidRPr="00C66C50">
        <w:t>:</w:t>
      </w:r>
      <w:r w:rsidRPr="008365D6">
        <w:tab/>
        <w:t>Document informel GRSG-115-39</w:t>
      </w:r>
      <w:r w:rsidR="007972EE">
        <w:t>.</w:t>
      </w:r>
    </w:p>
    <w:p w14:paraId="6BF54426" w14:textId="77777777" w:rsidR="008365D6" w:rsidRPr="008365D6" w:rsidRDefault="008365D6" w:rsidP="008365D6">
      <w:pPr>
        <w:pStyle w:val="SingleTxtG"/>
      </w:pPr>
      <w:r w:rsidRPr="008365D6">
        <w:t>23.</w:t>
      </w:r>
      <w:r w:rsidRPr="008365D6">
        <w:tab/>
        <w:t>Au nom du groupe de travail informel de la sensibilisation à la proximité d’usagers de la route vulnérables, l’expert du Japon a présenté le document informel GRSG-115-39, tendant à apporter des amendements au Règlement ONU n</w:t>
      </w:r>
      <w:r w:rsidRPr="008365D6">
        <w:rPr>
          <w:vertAlign w:val="superscript"/>
        </w:rPr>
        <w:t>o</w:t>
      </w:r>
      <w:r w:rsidRPr="008365D6">
        <w:t> 46 à effet que le conducteur, lorsqu’il conduit son véhicule en marche arrière, ait un champ de vision complet, sans angle mort, de la zone située immédiatement à l’arrière du véhicule. Il a souligné que le groupe informel avait l’intention de soumettre la proposition sous la forme d’une nouvelle série</w:t>
      </w:r>
      <w:r w:rsidR="007972EE">
        <w:t> </w:t>
      </w:r>
      <w:r w:rsidRPr="008365D6">
        <w:t>05 d’amendements, sous réserve de nouvelles considérations relatives au champ d’application et aux dispositions transitoires. Il s’est porté volontaire pour établir en temps voulu une proposition révisée qu’il soumettrait au secrétariat.</w:t>
      </w:r>
    </w:p>
    <w:p w14:paraId="3B444E2E" w14:textId="77777777" w:rsidR="008365D6" w:rsidRPr="008365D6" w:rsidRDefault="008365D6" w:rsidP="008365D6">
      <w:pPr>
        <w:pStyle w:val="SingleTxtG"/>
      </w:pPr>
      <w:r w:rsidRPr="008365D6">
        <w:t>24.</w:t>
      </w:r>
      <w:r w:rsidRPr="008365D6">
        <w:tab/>
        <w:t xml:space="preserve">Le Président du Groupe de travail s’est félicité du bon avancement des travaux et a invité tous les experts à faire parvenir leurs observations à l’expert du Japon. Le Groupe de </w:t>
      </w:r>
      <w:r w:rsidRPr="008365D6">
        <w:lastRenderedPageBreak/>
        <w:t>travail a décidé de reprendre l’examen de cette question à sa session suivante, en avril 2019, sur la base d’un document officiel.</w:t>
      </w:r>
    </w:p>
    <w:p w14:paraId="46781599" w14:textId="77777777" w:rsidR="008365D6" w:rsidRPr="008365D6" w:rsidRDefault="008365D6" w:rsidP="007972EE">
      <w:pPr>
        <w:pStyle w:val="H1G"/>
      </w:pPr>
      <w:r w:rsidRPr="008365D6">
        <w:tab/>
        <w:t xml:space="preserve">B. </w:t>
      </w:r>
      <w:r w:rsidRPr="008365D6">
        <w:tab/>
        <w:t xml:space="preserve">Nouveau règlement ONU sur les systèmes de surveillance </w:t>
      </w:r>
      <w:r w:rsidRPr="008365D6">
        <w:br/>
        <w:t>de l’angle mort (BSIS)</w:t>
      </w:r>
    </w:p>
    <w:p w14:paraId="07E17516" w14:textId="77777777" w:rsidR="008365D6" w:rsidRPr="008365D6" w:rsidRDefault="008365D6" w:rsidP="007972EE">
      <w:pPr>
        <w:pStyle w:val="SingleTxtG"/>
        <w:ind w:left="2268" w:hanging="1134"/>
        <w:jc w:val="left"/>
      </w:pPr>
      <w:r w:rsidRPr="008365D6">
        <w:rPr>
          <w:i/>
        </w:rPr>
        <w:t>Document</w:t>
      </w:r>
      <w:r w:rsidRPr="008365D6">
        <w:t> :</w:t>
      </w:r>
      <w:r w:rsidRPr="008365D6">
        <w:tab/>
        <w:t>ECE/TRANS/WP.29/GRSG/2018/24</w:t>
      </w:r>
      <w:r w:rsidR="007972EE">
        <w:t> ;</w:t>
      </w:r>
      <w:r w:rsidRPr="008365D6">
        <w:br/>
        <w:t xml:space="preserve">Documents informels GRSG-115-10-Rev.1, GRSG-115-13, </w:t>
      </w:r>
      <w:r w:rsidRPr="008365D6">
        <w:br/>
        <w:t xml:space="preserve">GRSG-115-24, GRSG-115-30, GRSG-115-31, GRSG-115-33, </w:t>
      </w:r>
      <w:r w:rsidRPr="008365D6">
        <w:br/>
        <w:t>GRSG-115-36 et GRSG-115-37</w:t>
      </w:r>
      <w:r w:rsidR="007972EE">
        <w:t>.</w:t>
      </w:r>
    </w:p>
    <w:p w14:paraId="6F55930C" w14:textId="77777777" w:rsidR="008365D6" w:rsidRPr="008365D6" w:rsidRDefault="008365D6" w:rsidP="008365D6">
      <w:pPr>
        <w:pStyle w:val="SingleTxtG"/>
      </w:pPr>
      <w:r w:rsidRPr="008365D6">
        <w:t>25.</w:t>
      </w:r>
      <w:r w:rsidRPr="008365D6">
        <w:tab/>
        <w:t>L’expert de la CE a rendu compte des résultats des travaux du groupe de travail informel de la sensibilisation à la proximité d’usagers de la route vulnérables (document ECE/TRANS/WP.29/GRSG/2018/24) tendant à établir un nouveau règlement ONU sur les systèmes de surveillance de l’angle mort. Il a ajouté que les experts du groupe informel s’étaient mis d’accord sur un certain nombre d’autres amendements à la proposition, comme indiqué dans le document informel GRSG-115-10. Les experts de l’Allemagne ont présenté le document informel GRSG-115-33, dans lequel sont résumées les modifications proposées par le groupe informel, et le document informel GRSG-115-37, dans lequel est expliqué l’aspect psychologique du concept d’information du conducteur sur les virages. Le</w:t>
      </w:r>
      <w:r w:rsidR="007972EE">
        <w:t> </w:t>
      </w:r>
      <w:r w:rsidRPr="008365D6">
        <w:t>Groupe de travail a pris note du document informel GRSG-115-13, portant sur le projet de norme ISO</w:t>
      </w:r>
      <w:r w:rsidR="007972EE">
        <w:t> </w:t>
      </w:r>
      <w:r w:rsidRPr="008365D6">
        <w:t>19206:4 mentionné dans le nouveau projet de règlement ONU sur les systèmes de surveillance de l’angle mort. L’expert de l’OICA a présenté le document informel GRSG-115-24 portant sur la nécessité de limiter, dans un premier temps, le champ d’application du nouveau règlement ONU aux seuls véhicules des catégories N</w:t>
      </w:r>
      <w:r w:rsidRPr="008365D6">
        <w:rPr>
          <w:vertAlign w:val="subscript"/>
        </w:rPr>
        <w:t>2</w:t>
      </w:r>
      <w:r w:rsidRPr="008365D6">
        <w:t xml:space="preserve"> dont la masse technique admissible est supérieure à 8</w:t>
      </w:r>
      <w:r w:rsidR="007972EE">
        <w:t> </w:t>
      </w:r>
      <w:r w:rsidRPr="008365D6">
        <w:t>tonnes et N</w:t>
      </w:r>
      <w:r w:rsidRPr="008365D6">
        <w:rPr>
          <w:vertAlign w:val="subscript"/>
        </w:rPr>
        <w:t>3</w:t>
      </w:r>
      <w:r w:rsidRPr="008365D6">
        <w:t>. Le Groupe de travail a fait sienne cette position et a chargé le groupe de travail informel de poursuivre ses travaux en vue d’une éventuelle extension du champ d’application à d’autres catégories de véhicules. L’expert d’Israël a proposé de modifier le paragraphe</w:t>
      </w:r>
      <w:r w:rsidR="007972EE">
        <w:t> </w:t>
      </w:r>
      <w:r w:rsidRPr="008365D6">
        <w:t>5.5.3 concernant les conditions d’activation du témoin d’avertissement (GRSG-115-36). En ce qui concerne la procédure d’essai des systèmes de surveillance de l’angle mort, l’expert de la CLEPA a présenté les documents GRSG-115-30, portant sur les conditions d’éclairage ambiant, et GRSG-115-31, portant sur la distance entre le véhicule et le vélo.</w:t>
      </w:r>
    </w:p>
    <w:p w14:paraId="40F72D31" w14:textId="77777777" w:rsidR="008365D6" w:rsidRPr="008365D6" w:rsidRDefault="008365D6" w:rsidP="008365D6">
      <w:pPr>
        <w:pStyle w:val="SingleTxtG"/>
      </w:pPr>
      <w:r w:rsidRPr="008365D6">
        <w:t>26.</w:t>
      </w:r>
      <w:r w:rsidRPr="008365D6">
        <w:tab/>
        <w:t>À l’issue du débat sur le document informel GRSG-115-10-Rev.1, le Groupe de travail a adopté le document ECE/TRANS/WP.29/GRSG/2018/24 tel que modifié par l’annexe II du présent rapport, et a demandé au secrétariat de le soumettre au Forum mondial et à l’AC.1 en tant que nouveau projet de règlement ONU sur les systèmes de surveillance de l’angle mort, pour examen à leurs sessions de mars 2019.</w:t>
      </w:r>
    </w:p>
    <w:p w14:paraId="658D9820" w14:textId="77777777" w:rsidR="008365D6" w:rsidRPr="008365D6" w:rsidRDefault="008365D6" w:rsidP="007972EE">
      <w:pPr>
        <w:pStyle w:val="HChG"/>
      </w:pPr>
      <w:r w:rsidRPr="008365D6">
        <w:tab/>
        <w:t>VIII.</w:t>
      </w:r>
      <w:r w:rsidRPr="008365D6">
        <w:tab/>
        <w:t>Règlement ONU n</w:t>
      </w:r>
      <w:r w:rsidRPr="008365D6">
        <w:rPr>
          <w:vertAlign w:val="superscript"/>
        </w:rPr>
        <w:t>o</w:t>
      </w:r>
      <w:r w:rsidR="007972EE">
        <w:t> </w:t>
      </w:r>
      <w:r w:rsidRPr="008365D6">
        <w:t xml:space="preserve">55 (Pièces mécaniques d’attelage) </w:t>
      </w:r>
      <w:r w:rsidRPr="008365D6">
        <w:br/>
        <w:t>(point</w:t>
      </w:r>
      <w:r w:rsidR="007972EE">
        <w:t> </w:t>
      </w:r>
      <w:r w:rsidRPr="008365D6">
        <w:t>7 de l’ordre du jour)</w:t>
      </w:r>
    </w:p>
    <w:p w14:paraId="0411EFFA" w14:textId="77777777" w:rsidR="008365D6" w:rsidRPr="008365D6" w:rsidRDefault="008365D6" w:rsidP="007972EE">
      <w:pPr>
        <w:pStyle w:val="SingleTxtG"/>
        <w:ind w:left="2268" w:hanging="1134"/>
      </w:pPr>
      <w:r w:rsidRPr="008365D6">
        <w:rPr>
          <w:i/>
        </w:rPr>
        <w:t>Documents </w:t>
      </w:r>
      <w:r w:rsidRPr="001A2ADE">
        <w:t>:</w:t>
      </w:r>
      <w:r w:rsidRPr="001A2ADE">
        <w:tab/>
      </w:r>
      <w:r w:rsidRPr="008365D6">
        <w:t>ECE/TRANS/WP.29/GRVA/2018/10</w:t>
      </w:r>
      <w:r w:rsidRPr="008365D6">
        <w:br/>
        <w:t>ECE/TRANS/WP.29/GRVA/2018/11</w:t>
      </w:r>
      <w:r w:rsidR="007972EE">
        <w:t> ;</w:t>
      </w:r>
      <w:r w:rsidRPr="008365D6">
        <w:br/>
        <w:t>Documents informels GRSG-115-11-Rev.1 et GRSG-115-34</w:t>
      </w:r>
      <w:r w:rsidR="007972EE">
        <w:t>.</w:t>
      </w:r>
    </w:p>
    <w:p w14:paraId="3F2FEFF6" w14:textId="77777777" w:rsidR="008365D6" w:rsidRPr="008365D6" w:rsidRDefault="008365D6" w:rsidP="008365D6">
      <w:pPr>
        <w:pStyle w:val="SingleTxtG"/>
      </w:pPr>
      <w:r w:rsidRPr="008365D6">
        <w:t>27.</w:t>
      </w:r>
      <w:r w:rsidRPr="008365D6">
        <w:tab/>
        <w:t>Conformément à la décision du Forum mondial (voir par.</w:t>
      </w:r>
      <w:r w:rsidR="007972EE">
        <w:t> </w:t>
      </w:r>
      <w:r w:rsidRPr="008365D6">
        <w:t xml:space="preserve">3 ci-dessus), le Groupe de travail a pris note d’une proposition transmise par le GRVA tendant à rectifier le Règlement ONU </w:t>
      </w:r>
      <w:bookmarkStart w:id="1" w:name="_Hlk533175993"/>
      <w:r w:rsidRPr="008365D6">
        <w:t>n</w:t>
      </w:r>
      <w:r w:rsidRPr="008365D6">
        <w:rPr>
          <w:vertAlign w:val="superscript"/>
        </w:rPr>
        <w:t>o</w:t>
      </w:r>
      <w:r w:rsidRPr="008365D6">
        <w:t xml:space="preserve"> 55 </w:t>
      </w:r>
      <w:bookmarkEnd w:id="1"/>
      <w:r w:rsidRPr="008365D6">
        <w:t>(document ECE/TRANS/WP.29/GRVA/2018/10). Il a adopté la proposition et a demandé au secrétariat de la soumettre au Forum mondial et à l’AC.1 en tant que rectificatif</w:t>
      </w:r>
      <w:r w:rsidR="007972EE">
        <w:t> </w:t>
      </w:r>
      <w:r w:rsidRPr="008365D6">
        <w:t>1 au complément</w:t>
      </w:r>
      <w:r w:rsidR="007972EE">
        <w:t> </w:t>
      </w:r>
      <w:r w:rsidRPr="008365D6">
        <w:t>4 à la série</w:t>
      </w:r>
      <w:r w:rsidR="007972EE">
        <w:t> </w:t>
      </w:r>
      <w:r w:rsidRPr="008365D6">
        <w:t>01 d’amendements au Règlement ONU n</w:t>
      </w:r>
      <w:r w:rsidRPr="008365D6">
        <w:rPr>
          <w:vertAlign w:val="superscript"/>
        </w:rPr>
        <w:t>o</w:t>
      </w:r>
      <w:r w:rsidRPr="008365D6">
        <w:t> 55 pour examen à leurs sessions de mars 2019.</w:t>
      </w:r>
    </w:p>
    <w:p w14:paraId="2D15754D" w14:textId="77777777" w:rsidR="008365D6" w:rsidRPr="008365D6" w:rsidRDefault="008365D6" w:rsidP="00B9393E">
      <w:pPr>
        <w:pStyle w:val="SingleTxtG"/>
      </w:pPr>
      <w:bookmarkStart w:id="2" w:name="_Hlk2157437"/>
      <w:r w:rsidRPr="008365D6">
        <w:t>28.</w:t>
      </w:r>
      <w:r w:rsidRPr="008365D6">
        <w:tab/>
        <w:t>L’expert de la Pologne a présenté le document ECE/TRANS/WP.29/GRVA/</w:t>
      </w:r>
      <w:r w:rsidR="007972EE">
        <w:br/>
      </w:r>
      <w:r w:rsidRPr="008365D6">
        <w:t xml:space="preserve">2018/11, dans lequel est précisée l’application des dispositions de l’annexe 1 au Règlement ONU </w:t>
      </w:r>
      <w:r w:rsidR="007972EE" w:rsidRPr="002D76F4">
        <w:rPr>
          <w:rFonts w:eastAsia="MS Mincho"/>
          <w:szCs w:val="22"/>
        </w:rPr>
        <w:t>n</w:t>
      </w:r>
      <w:r w:rsidR="007972EE" w:rsidRPr="002D76F4">
        <w:rPr>
          <w:rFonts w:eastAsia="MS Mincho"/>
          <w:szCs w:val="22"/>
          <w:vertAlign w:val="superscript"/>
        </w:rPr>
        <w:t>o</w:t>
      </w:r>
      <w:r w:rsidR="007972EE">
        <w:t> </w:t>
      </w:r>
      <w:r w:rsidRPr="008365D6">
        <w:t xml:space="preserve">55. Le Groupe de travail </w:t>
      </w:r>
      <w:bookmarkEnd w:id="2"/>
      <w:r w:rsidRPr="008365D6">
        <w:t xml:space="preserve">a pris note de plusieurs observations. L’expert de la CE a émis une réserve pour complément d’étude. Le Président a invité l’expert de la Pologne à </w:t>
      </w:r>
      <w:r w:rsidRPr="008365D6">
        <w:lastRenderedPageBreak/>
        <w:t>réviser sa proposition et à insérer quelques exemples concrets dans la justification. Le Groupe de travail a décidé de reprendre l’examen de cette question à sa session suivante.</w:t>
      </w:r>
    </w:p>
    <w:p w14:paraId="2B41E902" w14:textId="77777777" w:rsidR="008365D6" w:rsidRPr="008365D6" w:rsidRDefault="008365D6" w:rsidP="008365D6">
      <w:pPr>
        <w:pStyle w:val="SingleTxtG"/>
      </w:pPr>
      <w:r w:rsidRPr="008365D6">
        <w:t>29.</w:t>
      </w:r>
      <w:r w:rsidRPr="008365D6">
        <w:tab/>
        <w:t>Rappelant l’objet des dispositions transitoires adoptées pour le Règlement ONU n</w:t>
      </w:r>
      <w:r w:rsidRPr="008365D6">
        <w:rPr>
          <w:vertAlign w:val="superscript"/>
        </w:rPr>
        <w:t>o</w:t>
      </w:r>
      <w:r w:rsidRPr="008365D6">
        <w:t> 43 (par.</w:t>
      </w:r>
      <w:r w:rsidR="007972EE">
        <w:t> </w:t>
      </w:r>
      <w:r w:rsidRPr="008365D6">
        <w:t>21 ci-dessus), l’expert de l’OICA a présenté le document informel GRSG-115-11-Rev.1 dans lequel sont énoncées des dispositions analogues pour le Règlement ONU n</w:t>
      </w:r>
      <w:r w:rsidRPr="008365D6">
        <w:rPr>
          <w:vertAlign w:val="superscript"/>
        </w:rPr>
        <w:t>o</w:t>
      </w:r>
      <w:r w:rsidRPr="008365D6">
        <w:t> 55. Le Groupe de travail a approuvé la proposition telle que reproduite ci-après et a demandé au secrétariat de la soumettre au Forum mondial et à l’AC.1 en tant que projet de complément</w:t>
      </w:r>
      <w:r w:rsidR="007972EE">
        <w:t> </w:t>
      </w:r>
      <w:r w:rsidRPr="008365D6">
        <w:t>8 à la série</w:t>
      </w:r>
      <w:r w:rsidR="007972EE">
        <w:t> </w:t>
      </w:r>
      <w:r w:rsidRPr="008365D6">
        <w:t>01 d’amendements au Règlement ONU n</w:t>
      </w:r>
      <w:r w:rsidRPr="008365D6">
        <w:rPr>
          <w:vertAlign w:val="superscript"/>
        </w:rPr>
        <w:t>o</w:t>
      </w:r>
      <w:r w:rsidRPr="008365D6">
        <w:t xml:space="preserve"> 55 pour examen à leurs sessions de mars 2019. </w:t>
      </w:r>
      <w:r w:rsidRPr="008365D6">
        <w:rPr>
          <w:i/>
        </w:rPr>
        <w:t>(Voir la note du secrétariat au paragraphe</w:t>
      </w:r>
      <w:r w:rsidR="007972EE">
        <w:rPr>
          <w:i/>
        </w:rPr>
        <w:t> </w:t>
      </w:r>
      <w:r w:rsidRPr="008365D6">
        <w:rPr>
          <w:i/>
        </w:rPr>
        <w:t>21 ci-dessus</w:t>
      </w:r>
      <w:r w:rsidR="007972EE">
        <w:rPr>
          <w:i/>
        </w:rPr>
        <w:t>.</w:t>
      </w:r>
      <w:r w:rsidRPr="008365D6">
        <w:rPr>
          <w:i/>
        </w:rPr>
        <w:t>)</w:t>
      </w:r>
    </w:p>
    <w:p w14:paraId="1A94C9FF" w14:textId="77777777" w:rsidR="008365D6" w:rsidRPr="008365D6" w:rsidRDefault="008365D6" w:rsidP="007972EE">
      <w:pPr>
        <w:pStyle w:val="SingleTxtG"/>
        <w:keepNext/>
        <w:keepLines/>
      </w:pPr>
      <w:r w:rsidRPr="008365D6">
        <w:rPr>
          <w:i/>
        </w:rPr>
        <w:t>Ajouter un nouveau paragraphe</w:t>
      </w:r>
      <w:r w:rsidR="007972EE">
        <w:rPr>
          <w:i/>
        </w:rPr>
        <w:t> </w:t>
      </w:r>
      <w:r w:rsidRPr="008365D6">
        <w:rPr>
          <w:i/>
        </w:rPr>
        <w:t>13.4</w:t>
      </w:r>
      <w:r w:rsidRPr="008365D6">
        <w:t>, libellé comme suit :</w:t>
      </w:r>
    </w:p>
    <w:p w14:paraId="5915EE10" w14:textId="77777777" w:rsidR="008365D6" w:rsidRPr="008365D6" w:rsidRDefault="008365D6" w:rsidP="007972EE">
      <w:pPr>
        <w:pStyle w:val="SingleTxtG"/>
        <w:ind w:left="2268" w:hanging="1134"/>
      </w:pPr>
      <w:r w:rsidRPr="008365D6">
        <w:t>« 13.4</w:t>
      </w:r>
      <w:r w:rsidRPr="008365D6">
        <w:tab/>
      </w:r>
      <w:r w:rsidR="007972EE">
        <w:tab/>
      </w:r>
      <w:r w:rsidRPr="008365D6">
        <w:t>Jusqu’au 31</w:t>
      </w:r>
      <w:r w:rsidR="007972EE">
        <w:t> </w:t>
      </w:r>
      <w:r w:rsidRPr="008365D6">
        <w:t>décembre 2019, les dispositions des compléments</w:t>
      </w:r>
      <w:r w:rsidR="007972EE">
        <w:t> </w:t>
      </w:r>
      <w:r w:rsidRPr="008365D6">
        <w:t>1, 4, 5 et 6 à la série</w:t>
      </w:r>
      <w:r w:rsidR="007972EE">
        <w:t> </w:t>
      </w:r>
      <w:r w:rsidRPr="008365D6">
        <w:t>01 d’amendements au présent Règlement ne s’appliquent pas aux extensions d’homologation initialement accordées avant l’entrée en vigueur desdits compléments</w:t>
      </w:r>
      <w:r w:rsidR="007972EE">
        <w:t> </w:t>
      </w:r>
      <w:r w:rsidRPr="008365D6">
        <w:t>1, 4, 5 et 6. »</w:t>
      </w:r>
    </w:p>
    <w:p w14:paraId="395ABF05" w14:textId="77777777" w:rsidR="008365D6" w:rsidRPr="008365D6" w:rsidRDefault="008365D6" w:rsidP="008365D6">
      <w:pPr>
        <w:pStyle w:val="SingleTxtG"/>
      </w:pPr>
      <w:r w:rsidRPr="008365D6">
        <w:t>30.</w:t>
      </w:r>
      <w:r w:rsidRPr="008365D6">
        <w:tab/>
        <w:t xml:space="preserve">L’expert de la CE a proposé d’actualiser les dispositions relatives aux attelages mécaniques amovibles montés sur les véhicules automobiles, en particulier en ce qui concernait la nécessité de fournir des informations claires au conducteur (document informel GRSG-115-34). Le Groupe de travail a noté un certain soutien. L’expert de l’OICA a émis une réserve pour étude. Le Groupe de travail a décidé de reprendre l’examen de cette question à sa session suivante et a </w:t>
      </w:r>
      <w:r w:rsidRPr="008365D6">
        <w:rPr>
          <w:bCs/>
        </w:rPr>
        <w:t>demandé au secrétariat de distribuer le document informel GRSG-115-34 sous une cote officielle</w:t>
      </w:r>
      <w:r w:rsidRPr="008365D6">
        <w:t>.</w:t>
      </w:r>
    </w:p>
    <w:p w14:paraId="695EE92C" w14:textId="77777777" w:rsidR="008365D6" w:rsidRPr="008365D6" w:rsidRDefault="008365D6" w:rsidP="007972EE">
      <w:pPr>
        <w:pStyle w:val="HChG"/>
      </w:pPr>
      <w:r w:rsidRPr="008365D6">
        <w:tab/>
        <w:t>IX.</w:t>
      </w:r>
      <w:r w:rsidRPr="008365D6">
        <w:tab/>
        <w:t>Règlement ONU n</w:t>
      </w:r>
      <w:r w:rsidRPr="008365D6">
        <w:rPr>
          <w:vertAlign w:val="superscript"/>
        </w:rPr>
        <w:t>o</w:t>
      </w:r>
      <w:r w:rsidR="007972EE">
        <w:t> </w:t>
      </w:r>
      <w:r w:rsidRPr="008365D6">
        <w:t>62 (Dispositifs antivol des cyclomoteurs et motocycles) (point</w:t>
      </w:r>
      <w:r w:rsidR="007972EE">
        <w:t> </w:t>
      </w:r>
      <w:r w:rsidRPr="008365D6">
        <w:t>8 de l’ordre du jour)</w:t>
      </w:r>
    </w:p>
    <w:p w14:paraId="79242C53" w14:textId="77777777" w:rsidR="008365D6" w:rsidRPr="008365D6" w:rsidRDefault="008365D6" w:rsidP="008365D6">
      <w:pPr>
        <w:pStyle w:val="SingleTxtG"/>
      </w:pPr>
      <w:r w:rsidRPr="008365D6">
        <w:rPr>
          <w:i/>
        </w:rPr>
        <w:t>Document </w:t>
      </w:r>
      <w:r w:rsidRPr="001A2ADE">
        <w:t>:</w:t>
      </w:r>
      <w:r w:rsidRPr="008365D6">
        <w:tab/>
        <w:t>ECE/TRANS/WP.29/GRSG/2018/15</w:t>
      </w:r>
      <w:r w:rsidR="007972EE">
        <w:t>.</w:t>
      </w:r>
    </w:p>
    <w:p w14:paraId="7BC56934" w14:textId="77777777" w:rsidR="008365D6" w:rsidRPr="008365D6" w:rsidRDefault="008365D6" w:rsidP="008365D6">
      <w:pPr>
        <w:pStyle w:val="SingleTxtG"/>
      </w:pPr>
      <w:r w:rsidRPr="008365D6">
        <w:t>31.</w:t>
      </w:r>
      <w:r w:rsidRPr="008365D6">
        <w:tab/>
        <w:t>L’expert de l’Allemagne a présenté le document ECE/TRANS/WP.29/GRSG/</w:t>
      </w:r>
      <w:r w:rsidR="007972EE">
        <w:br/>
      </w:r>
      <w:r w:rsidRPr="008365D6">
        <w:t>2018/15 tendant à insérer dans le Règlement ONU n</w:t>
      </w:r>
      <w:r w:rsidRPr="008365D6">
        <w:rPr>
          <w:vertAlign w:val="superscript"/>
        </w:rPr>
        <w:t>o</w:t>
      </w:r>
      <w:r w:rsidRPr="008365D6">
        <w:t> 62 de nouvelles dispositions pour les dispositifs électromécaniques et électroniques (tels que les transpondeurs) conformément au Règlement ONU n</w:t>
      </w:r>
      <w:r w:rsidRPr="008365D6">
        <w:rPr>
          <w:vertAlign w:val="superscript"/>
        </w:rPr>
        <w:t>o</w:t>
      </w:r>
      <w:r w:rsidRPr="008365D6">
        <w:t> 116 (par.</w:t>
      </w:r>
      <w:r w:rsidR="007972EE">
        <w:t> </w:t>
      </w:r>
      <w:r w:rsidRPr="008365D6">
        <w:t>49 ci-dessous). Le Groupe de travail a adopté la proposition et a demandé au secrétariat de la soumettre au Forum mondial et à l’AC.1 en tant que projet de complément</w:t>
      </w:r>
      <w:r w:rsidR="007972EE">
        <w:t> </w:t>
      </w:r>
      <w:r w:rsidRPr="008365D6">
        <w:t>3 au Règlement ONU n</w:t>
      </w:r>
      <w:r w:rsidRPr="008365D6">
        <w:rPr>
          <w:vertAlign w:val="superscript"/>
        </w:rPr>
        <w:t>o</w:t>
      </w:r>
      <w:r w:rsidRPr="008365D6">
        <w:t> 62 pour examen à leurs sessions de mars 2019.</w:t>
      </w:r>
    </w:p>
    <w:p w14:paraId="5F61F63C" w14:textId="77777777" w:rsidR="008365D6" w:rsidRPr="008365D6" w:rsidRDefault="008365D6" w:rsidP="007972EE">
      <w:pPr>
        <w:pStyle w:val="HChG"/>
      </w:pPr>
      <w:r w:rsidRPr="008365D6">
        <w:tab/>
        <w:t>X.</w:t>
      </w:r>
      <w:r w:rsidRPr="008365D6">
        <w:tab/>
        <w:t>Amendements aux règlements concernant les véhicules fonctionnant au gaz (point</w:t>
      </w:r>
      <w:r w:rsidR="007972EE">
        <w:t> </w:t>
      </w:r>
      <w:r w:rsidRPr="008365D6">
        <w:t>9 de l’ordre du jour)</w:t>
      </w:r>
    </w:p>
    <w:p w14:paraId="4C304FDC" w14:textId="77777777" w:rsidR="008365D6" w:rsidRPr="008365D6" w:rsidRDefault="008365D6" w:rsidP="008365D6">
      <w:pPr>
        <w:pStyle w:val="SingleTxtG"/>
      </w:pPr>
      <w:r w:rsidRPr="008365D6">
        <w:rPr>
          <w:i/>
        </w:rPr>
        <w:t>Document </w:t>
      </w:r>
      <w:r w:rsidRPr="001A2ADE">
        <w:t>:</w:t>
      </w:r>
      <w:r w:rsidRPr="001A2ADE">
        <w:tab/>
      </w:r>
      <w:r w:rsidRPr="008365D6">
        <w:t>Document informel GRSG-115-05</w:t>
      </w:r>
      <w:r w:rsidR="007972EE">
        <w:t>.</w:t>
      </w:r>
    </w:p>
    <w:p w14:paraId="7474929F" w14:textId="77777777" w:rsidR="008365D6" w:rsidRPr="008365D6" w:rsidRDefault="008365D6" w:rsidP="008365D6">
      <w:pPr>
        <w:pStyle w:val="SingleTxtG"/>
      </w:pPr>
      <w:r w:rsidRPr="008365D6">
        <w:t>32.</w:t>
      </w:r>
      <w:r w:rsidRPr="008365D6">
        <w:tab/>
        <w:t>Le Groupe de travail a noté que l’Association européenne des gaz de pétrole liquéfiés (AEGPL) avait été rebaptisée LG Europe.</w:t>
      </w:r>
    </w:p>
    <w:p w14:paraId="3729C696" w14:textId="77777777" w:rsidR="008365D6" w:rsidRPr="008365D6" w:rsidRDefault="008365D6" w:rsidP="008365D6">
      <w:pPr>
        <w:pStyle w:val="SingleTxtG"/>
      </w:pPr>
      <w:r w:rsidRPr="008365D6">
        <w:t>33.</w:t>
      </w:r>
      <w:r w:rsidRPr="008365D6">
        <w:tab/>
        <w:t>L’expert de l’Allemagne a rendu compte de l’état d’avancement des travaux de l’Équipe spéciale des règlements concernant les véhicules fonctionnant au gaz à sa réunion tenue à Cologne (Allemagne) les 27 et 28</w:t>
      </w:r>
      <w:r w:rsidR="007972EE">
        <w:t> </w:t>
      </w:r>
      <w:r w:rsidRPr="008365D6">
        <w:t>février 2018 (document informel GRSG-115-05). Le Groupe de travail a bien accueilli cette information.</w:t>
      </w:r>
    </w:p>
    <w:p w14:paraId="58B446D3" w14:textId="77777777" w:rsidR="008365D6" w:rsidRPr="008365D6" w:rsidRDefault="008365D6" w:rsidP="007972EE">
      <w:pPr>
        <w:pStyle w:val="H1G"/>
      </w:pPr>
      <w:r w:rsidRPr="008365D6">
        <w:lastRenderedPageBreak/>
        <w:tab/>
        <w:t>A.</w:t>
      </w:r>
      <w:r w:rsidRPr="008365D6">
        <w:tab/>
        <w:t>Règlement ONU n</w:t>
      </w:r>
      <w:r w:rsidRPr="008365D6">
        <w:rPr>
          <w:vertAlign w:val="superscript"/>
        </w:rPr>
        <w:t>o</w:t>
      </w:r>
      <w:r w:rsidR="007972EE">
        <w:t> </w:t>
      </w:r>
      <w:r w:rsidRPr="008365D6">
        <w:t>67 (Véhicules alimentés au GPL)</w:t>
      </w:r>
    </w:p>
    <w:p w14:paraId="170E00CB" w14:textId="77777777" w:rsidR="008365D6" w:rsidRPr="008365D6" w:rsidRDefault="008365D6" w:rsidP="007972EE">
      <w:pPr>
        <w:pStyle w:val="SingleTxtG"/>
        <w:keepNext/>
        <w:keepLines/>
        <w:ind w:left="2268" w:hanging="1134"/>
      </w:pPr>
      <w:r w:rsidRPr="008365D6">
        <w:rPr>
          <w:i/>
        </w:rPr>
        <w:t>Documents </w:t>
      </w:r>
      <w:r w:rsidRPr="001A2ADE">
        <w:t>:</w:t>
      </w:r>
      <w:r w:rsidRPr="008365D6">
        <w:tab/>
        <w:t>ECE/TRANS/WP.29/GRSG/2017/22</w:t>
      </w:r>
      <w:r w:rsidRPr="008365D6">
        <w:br/>
        <w:t>ECE/TRANS/WP.29/GRSG/2018/2</w:t>
      </w:r>
      <w:r w:rsidRPr="008365D6">
        <w:br/>
        <w:t>ECE/TRANS/WP.29/GRSG/2018/8</w:t>
      </w:r>
      <w:r w:rsidRPr="008365D6">
        <w:br/>
        <w:t>ECE/TRANS/WP.29/GRSG/2018/20</w:t>
      </w:r>
      <w:r w:rsidR="007972EE">
        <w:t>.</w:t>
      </w:r>
    </w:p>
    <w:p w14:paraId="0F41340E" w14:textId="77777777" w:rsidR="008365D6" w:rsidRPr="008365D6" w:rsidRDefault="008365D6" w:rsidP="008365D6">
      <w:pPr>
        <w:pStyle w:val="SingleTxtG"/>
      </w:pPr>
      <w:r w:rsidRPr="008365D6">
        <w:t>34.</w:t>
      </w:r>
      <w:r w:rsidRPr="008365D6">
        <w:tab/>
        <w:t>En l’absence d’un délégué de la Turquie, le Président a suggéré de reporter l’examen du document ECE/TRANS/WP.29/GRSG/2017/22 à la session suivante du Groupe de travail.</w:t>
      </w:r>
    </w:p>
    <w:p w14:paraId="5376BB6D" w14:textId="77777777" w:rsidR="008365D6" w:rsidRPr="008365D6" w:rsidRDefault="008365D6" w:rsidP="008365D6">
      <w:pPr>
        <w:pStyle w:val="SingleTxtG"/>
      </w:pPr>
      <w:r w:rsidRPr="008365D6">
        <w:t>35.</w:t>
      </w:r>
      <w:r w:rsidRPr="008365D6">
        <w:tab/>
        <w:t>L’expert de l’OICA a informé le Groupe de travail que la proposition figurant dans le document ECE/TRANS/WP.29/GRSG/2018/2 était encore à l’examen au sein de l’Équipe spéciale des règlements concernant les véhicules fonctionnant au gaz. Le Groupe de travail a décidé de reprendre l’examen de cette question à sa session suivante et de maintenir le document ECE/TRANS/WP.29/GRSG/2018/2 à l’ordre du jour.</w:t>
      </w:r>
    </w:p>
    <w:p w14:paraId="0D01233C" w14:textId="77777777" w:rsidR="008365D6" w:rsidRPr="008365D6" w:rsidRDefault="008365D6" w:rsidP="008365D6">
      <w:pPr>
        <w:pStyle w:val="SingleTxtG"/>
      </w:pPr>
      <w:r w:rsidRPr="008365D6">
        <w:t>36.</w:t>
      </w:r>
      <w:r w:rsidRPr="008365D6">
        <w:tab/>
        <w:t>L’expert de la Pologne a rappelé que le document ECE/TRANS/WP.29/GRSG/</w:t>
      </w:r>
      <w:r w:rsidR="007972EE">
        <w:br/>
      </w:r>
      <w:r w:rsidRPr="008365D6">
        <w:t>2018/8 avait pour objet d’adapter le Règlement au progrès technique, en particulier en ce qui concernait la définition d’un type de conteneur et l’annexe 2B. L’expert de LG Europe a présenté à titre de contre-proposition le document ECE/TRANS/WP.29/GRSG/2018/20. Plusieurs experts voyaient d’un œil favorable les amendements à l’annexe</w:t>
      </w:r>
      <w:r w:rsidR="007972EE">
        <w:t> </w:t>
      </w:r>
      <w:r w:rsidRPr="008365D6">
        <w:t>2B, mais n’ont pas pu appuyer les amendements à la définition de « type de conteneur ». À l’issue du débat, le Groupe de travail a adopté le document ECE/TRANS/WP.29/GRSG/2018/20, à l’exception des amendements au paragraphe 2.4, et a demandé au secrétariat de soumettre la proposition telle que modifiée au Forum mondial et à l’AC.1 en tant que projet de complément</w:t>
      </w:r>
      <w:r w:rsidR="007972EE">
        <w:t> </w:t>
      </w:r>
      <w:r w:rsidRPr="008365D6">
        <w:t>16 à la série</w:t>
      </w:r>
      <w:r w:rsidR="007972EE">
        <w:t> </w:t>
      </w:r>
      <w:r w:rsidRPr="008365D6">
        <w:t>01 d’amendements et projet de complément</w:t>
      </w:r>
      <w:r w:rsidR="007972EE">
        <w:t> </w:t>
      </w:r>
      <w:r w:rsidRPr="008365D6">
        <w:t>1 à la série</w:t>
      </w:r>
      <w:r w:rsidR="007972EE">
        <w:t> </w:t>
      </w:r>
      <w:r w:rsidRPr="008365D6">
        <w:t>02 d’amendements au Règlement ONU n</w:t>
      </w:r>
      <w:r w:rsidRPr="008365D6">
        <w:rPr>
          <w:vertAlign w:val="superscript"/>
        </w:rPr>
        <w:t>o</w:t>
      </w:r>
      <w:r w:rsidRPr="008365D6">
        <w:t> 67 pour examen à leurs sessions de mars 2019.</w:t>
      </w:r>
    </w:p>
    <w:p w14:paraId="7FB17814" w14:textId="77777777" w:rsidR="008365D6" w:rsidRPr="008365D6" w:rsidRDefault="008365D6" w:rsidP="007972EE">
      <w:pPr>
        <w:pStyle w:val="H1G"/>
      </w:pPr>
      <w:r w:rsidRPr="008365D6">
        <w:tab/>
        <w:t>B.</w:t>
      </w:r>
      <w:r w:rsidRPr="008365D6">
        <w:tab/>
        <w:t xml:space="preserve">Règlement </w:t>
      </w:r>
      <w:bookmarkStart w:id="3" w:name="_Hlk533194552"/>
      <w:r w:rsidRPr="008365D6">
        <w:t>ONU n</w:t>
      </w:r>
      <w:r w:rsidRPr="008365D6">
        <w:rPr>
          <w:vertAlign w:val="superscript"/>
        </w:rPr>
        <w:t>o</w:t>
      </w:r>
      <w:r w:rsidR="007972EE">
        <w:t> </w:t>
      </w:r>
      <w:r w:rsidRPr="008365D6">
        <w:t xml:space="preserve">110 </w:t>
      </w:r>
      <w:bookmarkEnd w:id="3"/>
      <w:r w:rsidRPr="008365D6">
        <w:t>(Véhicules alimentés au GNC/GNL)</w:t>
      </w:r>
    </w:p>
    <w:p w14:paraId="56589BD0" w14:textId="77777777" w:rsidR="008365D6" w:rsidRPr="008365D6" w:rsidRDefault="008365D6" w:rsidP="007972EE">
      <w:pPr>
        <w:pStyle w:val="SingleTxtG"/>
        <w:ind w:left="2268" w:hanging="1134"/>
        <w:jc w:val="left"/>
      </w:pPr>
      <w:r w:rsidRPr="008365D6">
        <w:rPr>
          <w:i/>
        </w:rPr>
        <w:t>Documents </w:t>
      </w:r>
      <w:r w:rsidRPr="001A2ADE">
        <w:t>:</w:t>
      </w:r>
      <w:r w:rsidRPr="008365D6">
        <w:tab/>
        <w:t>ECE/TRANS/WP.29/GRSG/2017/29</w:t>
      </w:r>
      <w:r w:rsidRPr="008365D6">
        <w:br/>
        <w:t>ECE/TRANS/WP.29/GRSG/2018/11</w:t>
      </w:r>
      <w:r w:rsidRPr="008365D6">
        <w:br/>
        <w:t>ECE/TRANS/WP.29/GRSG/2018/12</w:t>
      </w:r>
      <w:r w:rsidRPr="008365D6">
        <w:br/>
        <w:t>ECE/TRANS/WP.29/GRSG/2018/13</w:t>
      </w:r>
      <w:r w:rsidRPr="008365D6">
        <w:br/>
        <w:t>ECE/TRANS/WP.29/GRSG/2018/16</w:t>
      </w:r>
      <w:r w:rsidRPr="008365D6">
        <w:br/>
        <w:t xml:space="preserve">Documents informels GRSG-115-06, GRSG-115-18-Rev.2 </w:t>
      </w:r>
      <w:r w:rsidRPr="008365D6">
        <w:br/>
        <w:t>et GRSG-115-19</w:t>
      </w:r>
      <w:r w:rsidR="007972EE">
        <w:t>.</w:t>
      </w:r>
    </w:p>
    <w:p w14:paraId="205E60D8" w14:textId="77777777" w:rsidR="008365D6" w:rsidRPr="008365D6" w:rsidRDefault="008365D6" w:rsidP="008365D6">
      <w:pPr>
        <w:pStyle w:val="SingleTxtG"/>
      </w:pPr>
      <w:r w:rsidRPr="008365D6">
        <w:t>37.</w:t>
      </w:r>
      <w:r w:rsidRPr="008365D6">
        <w:tab/>
        <w:t xml:space="preserve">Rappelant les débats du Groupe de travail à sa session précédente, l’expert de l’Italie a présenté le document ECE/TRANS/WP.29/GRSG/2018/16 tendant à modifier l’annexe 3A du Règlement </w:t>
      </w:r>
      <w:bookmarkStart w:id="4" w:name="_Hlk533194879"/>
      <w:r w:rsidRPr="008365D6">
        <w:t>ONU n</w:t>
      </w:r>
      <w:r w:rsidRPr="008365D6">
        <w:rPr>
          <w:vertAlign w:val="superscript"/>
        </w:rPr>
        <w:t>o</w:t>
      </w:r>
      <w:r w:rsidRPr="008365D6">
        <w:t xml:space="preserve"> 110 </w:t>
      </w:r>
      <w:bookmarkEnd w:id="4"/>
      <w:r w:rsidRPr="008365D6">
        <w:t>concernant les prescriptions d’essai applicables aux bouteilles de gaz naturel comprimé (GNC) pour éviter les défaillances structurelles pendant leur vie utile. L’expert de NGV Global a proposé quelques précisions supplémentaires (document informel GRSG-115-06) et une nouvelle définition, à savoir celle de l’expression « bouteille certifiée ». Ces propositions ont reçu un appui général.</w:t>
      </w:r>
    </w:p>
    <w:p w14:paraId="5FB5EF9F" w14:textId="77777777" w:rsidR="008365D6" w:rsidRPr="008365D6" w:rsidRDefault="008365D6" w:rsidP="008365D6">
      <w:pPr>
        <w:pStyle w:val="SingleTxtG"/>
      </w:pPr>
      <w:r w:rsidRPr="008365D6">
        <w:t>38.</w:t>
      </w:r>
      <w:r w:rsidRPr="008365D6">
        <w:tab/>
        <w:t xml:space="preserve">L’expert de l’OICA a présenté le document ECE/TRANS/WP.29/GRSG/2018/13, tendant </w:t>
      </w:r>
      <w:r w:rsidRPr="008365D6">
        <w:rPr>
          <w:bCs/>
        </w:rPr>
        <w:t xml:space="preserve">à adapter le texte du Règlement </w:t>
      </w:r>
      <w:r w:rsidRPr="008365D6">
        <w:t>ONU n</w:t>
      </w:r>
      <w:r w:rsidRPr="008365D6">
        <w:rPr>
          <w:vertAlign w:val="superscript"/>
        </w:rPr>
        <w:t>o</w:t>
      </w:r>
      <w:r w:rsidRPr="008365D6">
        <w:t xml:space="preserve"> 110 </w:t>
      </w:r>
      <w:r w:rsidRPr="008365D6">
        <w:rPr>
          <w:bCs/>
        </w:rPr>
        <w:t>à la technologie actuelle des régulateurs du débit de gaz du carburateur ou de l’injecteur. Le Groupe de travail</w:t>
      </w:r>
      <w:r w:rsidRPr="008365D6">
        <w:t xml:space="preserve"> a pris note de plusieurs observations et propositions d’amendements.</w:t>
      </w:r>
    </w:p>
    <w:p w14:paraId="61B68698" w14:textId="77777777" w:rsidR="008365D6" w:rsidRPr="008365D6" w:rsidRDefault="008365D6" w:rsidP="008365D6">
      <w:pPr>
        <w:pStyle w:val="SingleTxtG"/>
      </w:pPr>
      <w:r w:rsidRPr="008365D6">
        <w:rPr>
          <w:bCs/>
        </w:rPr>
        <w:t>39.</w:t>
      </w:r>
      <w:r w:rsidRPr="008365D6">
        <w:rPr>
          <w:bCs/>
        </w:rPr>
        <w:tab/>
      </w:r>
      <w:r w:rsidRPr="008365D6">
        <w:t>L’expert de l’OICA a présenté le document informel GRSG-115-18-Rev.2, tendant à modifier le Règlement ONU n</w:t>
      </w:r>
      <w:r w:rsidRPr="008365D6">
        <w:rPr>
          <w:vertAlign w:val="superscript"/>
        </w:rPr>
        <w:t>o</w:t>
      </w:r>
      <w:r w:rsidRPr="008365D6">
        <w:t> 110 en ce qui concerne les prescriptions relatives à l’inspection pour la requalification périodique des bouteilles de GNC afin d’éviter les défaillances structurelles pendant leur vie utile. Enfin, le Groupe de travail a adopté les documents ECE/TRANS/WP.29/GRSG/2018/16, ECE/TRANS/WP.29/GRSG/2018/13 et GRSG-115-18-Rev.2 tels que reproduits à l’annexe III du présent rapport. Il a demandé au secrétariat de soumettre les propositions au Forum mondial et à l’AC.1 en tant que projet de complément</w:t>
      </w:r>
      <w:r w:rsidR="007972EE">
        <w:t> </w:t>
      </w:r>
      <w:r w:rsidRPr="008365D6">
        <w:t>2 à la série</w:t>
      </w:r>
      <w:r w:rsidR="007972EE">
        <w:t> </w:t>
      </w:r>
      <w:r w:rsidRPr="008365D6">
        <w:t>03 d’amendements au Règlement ONU n</w:t>
      </w:r>
      <w:r w:rsidRPr="008365D6">
        <w:rPr>
          <w:vertAlign w:val="superscript"/>
        </w:rPr>
        <w:t>o</w:t>
      </w:r>
      <w:r w:rsidRPr="008365D6">
        <w:t> 110 pour examen à leurs sessions de mars 2019.</w:t>
      </w:r>
    </w:p>
    <w:p w14:paraId="32565B46" w14:textId="77777777" w:rsidR="008365D6" w:rsidRPr="008365D6" w:rsidRDefault="008365D6" w:rsidP="001A2ADE">
      <w:pPr>
        <w:pStyle w:val="SingleTxtG"/>
      </w:pPr>
      <w:r w:rsidRPr="008365D6">
        <w:lastRenderedPageBreak/>
        <w:t>40.</w:t>
      </w:r>
      <w:r w:rsidRPr="008365D6">
        <w:tab/>
        <w:t>L’expert des Pays-Bas a présenté le document ECE/TRANS/WP.29/GRSG/2018/11, portant sur les nouvelles prescriptions relatives aux « compresseurs de GNC » et « accumulateurs de GNC » utilisés dans les systèmes GNL/GNC. L’expert de l’OICA a déclaré que la proposition des Pays-Bas entraînerait des modifications du niveau des prescriptions techniques applicables aux véhicules équipés de compresseurs et/ou d’accumulateurs de GNC. Il a présenté le document informel GRSG-115-19, dans lequel il est proposé de soumettre les nouvelles prescriptions en tant que nouvelle série</w:t>
      </w:r>
      <w:r w:rsidR="007972EE">
        <w:t> </w:t>
      </w:r>
      <w:r w:rsidRPr="008365D6">
        <w:t>04 d’amendements au Règlement ONU</w:t>
      </w:r>
      <w:r w:rsidR="007972EE">
        <w:t> </w:t>
      </w:r>
      <w:r w:rsidRPr="008365D6">
        <w:t>n</w:t>
      </w:r>
      <w:r w:rsidRPr="008365D6">
        <w:rPr>
          <w:vertAlign w:val="superscript"/>
        </w:rPr>
        <w:t>o</w:t>
      </w:r>
      <w:r w:rsidRPr="008365D6">
        <w:t> 110, ainsi que les dispositions transitoires appropriées.</w:t>
      </w:r>
    </w:p>
    <w:p w14:paraId="35F84F0B" w14:textId="77777777" w:rsidR="008365D6" w:rsidRPr="008365D6" w:rsidRDefault="008365D6" w:rsidP="008365D6">
      <w:pPr>
        <w:pStyle w:val="SingleTxtG"/>
      </w:pPr>
      <w:r w:rsidRPr="008365D6">
        <w:t>41.</w:t>
      </w:r>
      <w:r w:rsidRPr="008365D6">
        <w:tab/>
        <w:t>En fin de compte, le Groupe de travail a adopté le document ECE/TRANS/WP.29/GRSG/2018/11 tel que modifié ci-dessous, et a demandé au secrétariat de soumettre la proposition au Forum mondial et à l’AC.1 en tant que projet de série 04 d’amendements au Règlement ONU n</w:t>
      </w:r>
      <w:r w:rsidRPr="008365D6">
        <w:rPr>
          <w:vertAlign w:val="superscript"/>
        </w:rPr>
        <w:t>o</w:t>
      </w:r>
      <w:r w:rsidRPr="008365D6">
        <w:t> 110 pour examen à leurs sessions de mars</w:t>
      </w:r>
      <w:r w:rsidR="007972EE">
        <w:t> </w:t>
      </w:r>
      <w:r w:rsidRPr="008365D6">
        <w:t>2019.</w:t>
      </w:r>
    </w:p>
    <w:p w14:paraId="11FD1ED5" w14:textId="77777777" w:rsidR="008365D6" w:rsidRPr="008365D6" w:rsidRDefault="008365D6" w:rsidP="007972EE">
      <w:pPr>
        <w:pStyle w:val="SingleTxtG"/>
        <w:keepNext/>
        <w:keepLines/>
      </w:pPr>
      <w:r w:rsidRPr="008365D6">
        <w:rPr>
          <w:i/>
        </w:rPr>
        <w:t>Ajouter les nouveaux paragraphes</w:t>
      </w:r>
      <w:r w:rsidR="007972EE">
        <w:rPr>
          <w:i/>
        </w:rPr>
        <w:t> </w:t>
      </w:r>
      <w:r w:rsidRPr="008365D6">
        <w:rPr>
          <w:i/>
        </w:rPr>
        <w:t>24.22 à 24.25 (Dispositions transitoires)</w:t>
      </w:r>
      <w:r w:rsidRPr="008365D6">
        <w:t>, libellés comme suit :</w:t>
      </w:r>
    </w:p>
    <w:p w14:paraId="36948FF2" w14:textId="77777777" w:rsidR="008365D6" w:rsidRPr="008365D6" w:rsidRDefault="008365D6" w:rsidP="007972EE">
      <w:pPr>
        <w:pStyle w:val="SingleTxtG"/>
        <w:ind w:left="2268" w:hanging="1134"/>
      </w:pPr>
      <w:r w:rsidRPr="008365D6">
        <w:t>« 24.22</w:t>
      </w:r>
      <w:r w:rsidRPr="008365D6">
        <w:tab/>
        <w:t>À compter de la date officielle d’entrée en vigueur de la série</w:t>
      </w:r>
      <w:r w:rsidR="007972EE">
        <w:t> </w:t>
      </w:r>
      <w:r w:rsidRPr="008365D6">
        <w:t>04 d’amendements, aucune Partie contractante appliquant le présent Règlement ne pourra refuser d’accorder ou refuser d’accepter une homologation de type en application du présent Règlement tel que modifié par la série</w:t>
      </w:r>
      <w:r w:rsidR="007972EE">
        <w:t> </w:t>
      </w:r>
      <w:r w:rsidRPr="008365D6">
        <w:t>04 d’amendements.</w:t>
      </w:r>
    </w:p>
    <w:p w14:paraId="7C630416" w14:textId="77777777" w:rsidR="008365D6" w:rsidRPr="008365D6" w:rsidRDefault="008365D6" w:rsidP="007972EE">
      <w:pPr>
        <w:pStyle w:val="SingleTxtG"/>
        <w:ind w:left="2268" w:hanging="1134"/>
      </w:pPr>
      <w:r w:rsidRPr="008365D6">
        <w:t>24.23</w:t>
      </w:r>
      <w:r w:rsidRPr="008365D6">
        <w:tab/>
      </w:r>
      <w:r w:rsidR="007972EE">
        <w:tab/>
      </w:r>
      <w:r w:rsidRPr="008365D6">
        <w:t>À compter du 1</w:t>
      </w:r>
      <w:r w:rsidRPr="008365D6">
        <w:rPr>
          <w:vertAlign w:val="superscript"/>
        </w:rPr>
        <w:t>er</w:t>
      </w:r>
      <w:r w:rsidRPr="008365D6">
        <w:t> septembre 2022, les Parties contractantes appliquant le présent Règlement ne seront pas tenues d’accepter les homologations de type délivrées pour la première fois après le 1</w:t>
      </w:r>
      <w:r w:rsidRPr="008365D6">
        <w:rPr>
          <w:vertAlign w:val="superscript"/>
        </w:rPr>
        <w:t>er</w:t>
      </w:r>
      <w:r w:rsidRPr="008365D6">
        <w:t> septembre 2022 conformément aux précédentes séries d’amendements.</w:t>
      </w:r>
    </w:p>
    <w:p w14:paraId="7DA0C3A3" w14:textId="77777777" w:rsidR="008365D6" w:rsidRPr="008365D6" w:rsidRDefault="008365D6" w:rsidP="007972EE">
      <w:pPr>
        <w:pStyle w:val="SingleTxtG"/>
        <w:ind w:left="2268" w:hanging="1134"/>
      </w:pPr>
      <w:r w:rsidRPr="008365D6">
        <w:t>24.24</w:t>
      </w:r>
      <w:r w:rsidRPr="008365D6">
        <w:tab/>
      </w:r>
      <w:r w:rsidR="007972EE">
        <w:tab/>
      </w:r>
      <w:r w:rsidRPr="008365D6">
        <w:t>Jusqu’au 1</w:t>
      </w:r>
      <w:r w:rsidRPr="008365D6">
        <w:rPr>
          <w:vertAlign w:val="superscript"/>
        </w:rPr>
        <w:t>er</w:t>
      </w:r>
      <w:r w:rsidRPr="008365D6">
        <w:t> septembre 2024, les Parties contractantes appliquant le présent Règlement sont tenues d’accepter les homologations de type délivrées pour la première fois avant le 1</w:t>
      </w:r>
      <w:r w:rsidRPr="008365D6">
        <w:rPr>
          <w:vertAlign w:val="superscript"/>
        </w:rPr>
        <w:t>er</w:t>
      </w:r>
      <w:r w:rsidRPr="008365D6">
        <w:t> septembre 2022 conformément aux précédentes séries d’amendements.</w:t>
      </w:r>
    </w:p>
    <w:p w14:paraId="1B7E49F7" w14:textId="77777777" w:rsidR="008365D6" w:rsidRPr="008365D6" w:rsidRDefault="008365D6" w:rsidP="007972EE">
      <w:pPr>
        <w:pStyle w:val="SingleTxtG"/>
        <w:ind w:left="2268" w:hanging="1134"/>
      </w:pPr>
      <w:r w:rsidRPr="008365D6">
        <w:t>24.25</w:t>
      </w:r>
      <w:r w:rsidRPr="008365D6">
        <w:tab/>
      </w:r>
      <w:r w:rsidR="007972EE">
        <w:tab/>
      </w:r>
      <w:r w:rsidRPr="008365D6">
        <w:t>À compter du 1</w:t>
      </w:r>
      <w:r w:rsidRPr="008365D6">
        <w:rPr>
          <w:vertAlign w:val="superscript"/>
        </w:rPr>
        <w:t>er</w:t>
      </w:r>
      <w:r w:rsidRPr="008365D6">
        <w:t> septembre 2024, les Parties contractantes appliquant le présent Règlement ne seront pas tenues d’accepter les homologations de type délivrées en application des précédentes séries d’amendements au présent Règlement. »</w:t>
      </w:r>
    </w:p>
    <w:p w14:paraId="56E8450C" w14:textId="77777777" w:rsidR="008365D6" w:rsidRPr="008365D6" w:rsidRDefault="008365D6" w:rsidP="008365D6">
      <w:pPr>
        <w:pStyle w:val="SingleTxtG"/>
      </w:pPr>
      <w:r w:rsidRPr="008365D6">
        <w:t>42.</w:t>
      </w:r>
      <w:r w:rsidRPr="008365D6">
        <w:tab/>
        <w:t>L’expert des Pays-Bas a présenté le document ECE/TRANS/WP.29/GRSG/2018/12, dans lequel sont énoncées de nouvelles prescriptions concernant les systèmes de gaz des véhicules pour alimenter en carburant gazeux un générateur qui fournirait de l’énergie électrique aux accessoires ou aux autres systèmes du véhicule. Le Groupe de travail a pris note de l’appui général apporté à cette proposition. Le Groupe de travail a adopté le document ECE/TRANS/WP.29/GRSG/2018/12 tel que modifié ci-dessous et a demandé au secrétariat de soumettre la proposition au Forum mondial et à l’AC.1 en tant que partie (voir par.</w:t>
      </w:r>
      <w:r w:rsidR="007972EE">
        <w:t> </w:t>
      </w:r>
      <w:r w:rsidRPr="008365D6">
        <w:t>41) du projet de série</w:t>
      </w:r>
      <w:r w:rsidR="007972EE">
        <w:t> </w:t>
      </w:r>
      <w:r w:rsidRPr="008365D6">
        <w:t>04 d’amendements au Règlement ONU n</w:t>
      </w:r>
      <w:r w:rsidRPr="008365D6">
        <w:rPr>
          <w:vertAlign w:val="superscript"/>
        </w:rPr>
        <w:t>o</w:t>
      </w:r>
      <w:r w:rsidRPr="008365D6">
        <w:t> 110 pour examen à leurs sessions de mars 2019.</w:t>
      </w:r>
    </w:p>
    <w:p w14:paraId="27ADBFAB" w14:textId="77777777" w:rsidR="008365D6" w:rsidRPr="008365D6" w:rsidRDefault="008365D6" w:rsidP="008365D6">
      <w:pPr>
        <w:pStyle w:val="SingleTxtG"/>
      </w:pPr>
      <w:r w:rsidRPr="008365D6">
        <w:rPr>
          <w:i/>
        </w:rPr>
        <w:t>Dans l’ensemble de la proposition,</w:t>
      </w:r>
      <w:r w:rsidRPr="008365D6">
        <w:t xml:space="preserve"> remplacer les mots « deuxième moteur » par « moteur</w:t>
      </w:r>
      <w:r w:rsidRPr="008365D6">
        <w:rPr>
          <w:b/>
        </w:rPr>
        <w:t xml:space="preserve"> </w:t>
      </w:r>
      <w:r w:rsidRPr="00D93E40">
        <w:t>secondaire </w:t>
      </w:r>
      <w:r w:rsidRPr="008365D6">
        <w:t>».</w:t>
      </w:r>
    </w:p>
    <w:p w14:paraId="4F9EC296" w14:textId="77777777" w:rsidR="008365D6" w:rsidRPr="008365D6" w:rsidRDefault="008365D6" w:rsidP="007972EE">
      <w:pPr>
        <w:pStyle w:val="HChG"/>
      </w:pPr>
      <w:r w:rsidRPr="008365D6">
        <w:tab/>
        <w:t>XI.</w:t>
      </w:r>
      <w:r w:rsidRPr="008365D6">
        <w:tab/>
        <w:t>Règlement ONU n</w:t>
      </w:r>
      <w:r w:rsidRPr="008365D6">
        <w:rPr>
          <w:vertAlign w:val="superscript"/>
        </w:rPr>
        <w:t>o</w:t>
      </w:r>
      <w:r w:rsidR="007972EE">
        <w:t> </w:t>
      </w:r>
      <w:r w:rsidRPr="008365D6">
        <w:t>73 (Dispositifs de protection latérale) (point</w:t>
      </w:r>
      <w:r w:rsidR="007972EE">
        <w:t> </w:t>
      </w:r>
      <w:r w:rsidRPr="008365D6">
        <w:t>10 de l’ordre du jour)</w:t>
      </w:r>
    </w:p>
    <w:p w14:paraId="189BC891" w14:textId="77777777" w:rsidR="008365D6" w:rsidRPr="008365D6" w:rsidRDefault="008365D6" w:rsidP="007972EE">
      <w:pPr>
        <w:pStyle w:val="SingleTxtG"/>
        <w:ind w:left="2835" w:hanging="1701"/>
      </w:pPr>
      <w:r w:rsidRPr="008365D6">
        <w:rPr>
          <w:i/>
        </w:rPr>
        <w:t>Document</w:t>
      </w:r>
      <w:r w:rsidR="00311807">
        <w:rPr>
          <w:i/>
        </w:rPr>
        <w:t>s</w:t>
      </w:r>
      <w:r w:rsidRPr="008365D6">
        <w:rPr>
          <w:i/>
        </w:rPr>
        <w:t> </w:t>
      </w:r>
      <w:r w:rsidRPr="00DC7E1F">
        <w:t>:</w:t>
      </w:r>
      <w:r w:rsidRPr="007972EE">
        <w:t xml:space="preserve"> </w:t>
      </w:r>
      <w:r w:rsidRPr="008365D6">
        <w:tab/>
        <w:t>ECE/TRANS/WP.29/GRSG/2018/5</w:t>
      </w:r>
      <w:r w:rsidRPr="008365D6">
        <w:br/>
        <w:t>ECE/TRANS/WP.29/GRSG/2018/18</w:t>
      </w:r>
      <w:r w:rsidRPr="008365D6">
        <w:br/>
        <w:t>ECE/TRANS/WP.29/GRSG/2018/19</w:t>
      </w:r>
      <w:r w:rsidR="00D5525A">
        <w:t> ;</w:t>
      </w:r>
      <w:r w:rsidRPr="008365D6">
        <w:br/>
        <w:t>Document informel GRSG-113-11-Rev.1</w:t>
      </w:r>
      <w:r w:rsidR="007972EE">
        <w:t>.</w:t>
      </w:r>
    </w:p>
    <w:p w14:paraId="2B6A0E83" w14:textId="77777777" w:rsidR="008365D6" w:rsidRPr="008365D6" w:rsidRDefault="008365D6" w:rsidP="008365D6">
      <w:pPr>
        <w:pStyle w:val="SingleTxtG"/>
      </w:pPr>
      <w:r w:rsidRPr="008365D6">
        <w:t>43.</w:t>
      </w:r>
      <w:r w:rsidRPr="008365D6">
        <w:tab/>
        <w:t>L’expert de la France a présenté le document ECE/TRANS/WP.29/GRSG/2018/19, tendant à rétablir la cohérence dans le Règlement ONU n</w:t>
      </w:r>
      <w:r w:rsidRPr="008365D6">
        <w:rPr>
          <w:vertAlign w:val="superscript"/>
        </w:rPr>
        <w:t>o</w:t>
      </w:r>
      <w:r w:rsidRPr="008365D6">
        <w:t> 73 entre les dispositions relatives</w:t>
      </w:r>
      <w:r w:rsidR="007972EE">
        <w:t> </w:t>
      </w:r>
      <w:r w:rsidRPr="008365D6">
        <w:t xml:space="preserve">à l’installation des dispositifs de protection latérale d’un type homologué conformément à la </w:t>
      </w:r>
      <w:r w:rsidRPr="008365D6">
        <w:lastRenderedPageBreak/>
        <w:t>deuxième partie du Règlement et celles relatives aux véhicules en ce qui concerne leurs dispositifs de protection latérale. Le Groupe de travail a adopté la proposition et a demandé au secrétariat de la soumettre au Forum mondial et à l’AC.1 en tant que projet de complément</w:t>
      </w:r>
      <w:r w:rsidR="007972EE">
        <w:t> </w:t>
      </w:r>
      <w:r w:rsidRPr="008365D6">
        <w:t>2 à la série</w:t>
      </w:r>
      <w:r w:rsidR="007972EE">
        <w:t> </w:t>
      </w:r>
      <w:r w:rsidRPr="008365D6">
        <w:t>01 d’amendements et de complément</w:t>
      </w:r>
      <w:r w:rsidR="007972EE">
        <w:t> </w:t>
      </w:r>
      <w:r w:rsidRPr="008365D6">
        <w:t>1 à la série</w:t>
      </w:r>
      <w:r w:rsidR="007972EE">
        <w:t> </w:t>
      </w:r>
      <w:r w:rsidRPr="008365D6">
        <w:t>02 d’amendements au Règlement ONU n</w:t>
      </w:r>
      <w:r w:rsidRPr="008365D6">
        <w:rPr>
          <w:vertAlign w:val="superscript"/>
        </w:rPr>
        <w:t>o</w:t>
      </w:r>
      <w:r w:rsidRPr="008365D6">
        <w:t> 73 pour examen à leurs sessions de mars</w:t>
      </w:r>
      <w:r w:rsidR="00D93E40">
        <w:t> </w:t>
      </w:r>
      <w:r w:rsidRPr="008365D6">
        <w:t>2019.</w:t>
      </w:r>
    </w:p>
    <w:p w14:paraId="1EBB7509" w14:textId="77777777" w:rsidR="008365D6" w:rsidRPr="008365D6" w:rsidRDefault="008365D6" w:rsidP="008365D6">
      <w:pPr>
        <w:pStyle w:val="SingleTxtG"/>
      </w:pPr>
      <w:r w:rsidRPr="008365D6">
        <w:t>44.</w:t>
      </w:r>
      <w:r w:rsidRPr="008365D6">
        <w:tab/>
        <w:t>Rappelant les débats du Groupe de travail à ses précédentes réunions, l’expert de la France a déclaré qu’il fallait davantage de temps pour parvenir à un accord sur la proposition visant à améliorer le niveau d’efficacité des dispositifs de protection latérale afin de mieux protéger les usagers de la route vulnérables (document ECE/TRANS/WP.29/GRSG/2018/18). Le Groupe de travail a décidé de reporter l’examen de cette question à sa session suivante.</w:t>
      </w:r>
    </w:p>
    <w:p w14:paraId="18858BA6" w14:textId="77777777" w:rsidR="008365D6" w:rsidRPr="008365D6" w:rsidRDefault="008365D6" w:rsidP="007972EE">
      <w:pPr>
        <w:pStyle w:val="HChG"/>
      </w:pPr>
      <w:r w:rsidRPr="008365D6">
        <w:tab/>
        <w:t xml:space="preserve">XII. </w:t>
      </w:r>
      <w:r w:rsidRPr="008365D6">
        <w:tab/>
        <w:t>Règlement ONU n</w:t>
      </w:r>
      <w:r w:rsidRPr="008365D6">
        <w:rPr>
          <w:vertAlign w:val="superscript"/>
        </w:rPr>
        <w:t>o</w:t>
      </w:r>
      <w:r w:rsidR="007972EE">
        <w:t> </w:t>
      </w:r>
      <w:r w:rsidRPr="008365D6">
        <w:t>105 (Véhicules destinés au transport de marchandises dangereuses) (point</w:t>
      </w:r>
      <w:r w:rsidR="007972EE">
        <w:t> </w:t>
      </w:r>
      <w:r w:rsidRPr="008365D6">
        <w:t>11 de l’ordre du jour)</w:t>
      </w:r>
    </w:p>
    <w:p w14:paraId="564B2DAE" w14:textId="77777777" w:rsidR="008365D6" w:rsidRPr="008365D6" w:rsidRDefault="008365D6" w:rsidP="008365D6">
      <w:pPr>
        <w:pStyle w:val="SingleTxtG"/>
      </w:pPr>
      <w:r w:rsidRPr="008365D6">
        <w:rPr>
          <w:i/>
        </w:rPr>
        <w:t>Document </w:t>
      </w:r>
      <w:r w:rsidRPr="00D5525A">
        <w:t>:</w:t>
      </w:r>
      <w:r w:rsidRPr="008365D6">
        <w:tab/>
        <w:t>ECE/TRANS/WP.29/2018/126</w:t>
      </w:r>
      <w:r w:rsidR="007972EE">
        <w:t>.</w:t>
      </w:r>
    </w:p>
    <w:p w14:paraId="1D2445E7" w14:textId="77777777" w:rsidR="008365D6" w:rsidRPr="008365D6" w:rsidRDefault="008365D6" w:rsidP="008365D6">
      <w:pPr>
        <w:pStyle w:val="SingleTxtG"/>
      </w:pPr>
      <w:r w:rsidRPr="008365D6">
        <w:t>45.</w:t>
      </w:r>
      <w:r w:rsidRPr="008365D6">
        <w:tab/>
        <w:t>Le Groupe de travail a noté que la proposition adoptée visant à harmoniser le Règlement ONU n</w:t>
      </w:r>
      <w:r w:rsidRPr="008365D6">
        <w:rPr>
          <w:vertAlign w:val="superscript"/>
        </w:rPr>
        <w:t>o</w:t>
      </w:r>
      <w:r w:rsidRPr="008365D6">
        <w:t> 105 avec la nouvelle édition 2019 de l’Accord européen relatif au transport international des marchandises dangereuses par route (ADR) était inscrite à l’ordre du jour de la session suivante du Forum mondial, prévue en novembre 2018 (document ECE/TRANS/WP.29/2018/126). Le Groupe de travail a décidé de retirer cette question de l’ordre du jour de sa session suivante.</w:t>
      </w:r>
    </w:p>
    <w:p w14:paraId="139A72A8" w14:textId="77777777" w:rsidR="008365D6" w:rsidRPr="008365D6" w:rsidRDefault="008365D6" w:rsidP="007972EE">
      <w:pPr>
        <w:pStyle w:val="HChG"/>
      </w:pPr>
      <w:r w:rsidRPr="008365D6">
        <w:tab/>
        <w:t>XIII.</w:t>
      </w:r>
      <w:r w:rsidRPr="008365D6">
        <w:tab/>
        <w:t>Règlement ONU n</w:t>
      </w:r>
      <w:r w:rsidRPr="008365D6">
        <w:rPr>
          <w:vertAlign w:val="superscript"/>
        </w:rPr>
        <w:t>o</w:t>
      </w:r>
      <w:r w:rsidR="007972EE">
        <w:t> </w:t>
      </w:r>
      <w:r w:rsidRPr="008365D6">
        <w:t>116 (Dispositifs antivol et systèmes d’alarme) (point</w:t>
      </w:r>
      <w:r w:rsidR="007972EE">
        <w:t> </w:t>
      </w:r>
      <w:r w:rsidRPr="008365D6">
        <w:t>12 de l’ordre du jour)</w:t>
      </w:r>
    </w:p>
    <w:p w14:paraId="272D524D" w14:textId="77777777" w:rsidR="008365D6" w:rsidRPr="008365D6" w:rsidRDefault="008365D6" w:rsidP="007972EE">
      <w:pPr>
        <w:pStyle w:val="SingleTxtG"/>
        <w:ind w:left="2268" w:hanging="1134"/>
        <w:jc w:val="left"/>
      </w:pPr>
      <w:r w:rsidRPr="008365D6">
        <w:rPr>
          <w:i/>
        </w:rPr>
        <w:t>Documents </w:t>
      </w:r>
      <w:r w:rsidRPr="00D5525A">
        <w:t>:</w:t>
      </w:r>
      <w:r w:rsidRPr="008365D6">
        <w:tab/>
        <w:t>ECE/TRANS/WP.29/GRSG/2017/23</w:t>
      </w:r>
      <w:r w:rsidRPr="008365D6">
        <w:br/>
        <w:t>ECE/TRANS/WP.29/GRSG/2017/24/Rev.1</w:t>
      </w:r>
      <w:r w:rsidRPr="008365D6">
        <w:br/>
        <w:t>ECE/TRANS/WP.29/GRSG/2017/25 et Corr.1</w:t>
      </w:r>
      <w:r w:rsidRPr="008365D6">
        <w:br/>
        <w:t>ECE/TRANS/WP.29/GRSG/2018/14</w:t>
      </w:r>
      <w:r w:rsidRPr="008365D6">
        <w:br/>
        <w:t>ECE/TRANS/WP.29/GRSG/2018/25</w:t>
      </w:r>
      <w:r w:rsidR="00D5525A">
        <w:t> ;</w:t>
      </w:r>
      <w:r w:rsidRPr="008365D6">
        <w:br/>
        <w:t>Documents informels GRSG-115-20 et GRSG-115-28-Rev.1</w:t>
      </w:r>
      <w:r w:rsidR="007972EE">
        <w:t>.</w:t>
      </w:r>
    </w:p>
    <w:p w14:paraId="10BB2174" w14:textId="77777777" w:rsidR="008365D6" w:rsidRPr="008365D6" w:rsidRDefault="008365D6" w:rsidP="008365D6">
      <w:pPr>
        <w:pStyle w:val="SingleTxtG"/>
      </w:pPr>
      <w:r w:rsidRPr="008365D6">
        <w:t>46.</w:t>
      </w:r>
      <w:r w:rsidRPr="008365D6">
        <w:tab/>
        <w:t>L’expert de l’OICA a informé le Groupe de travail de sa décision de démissionner de ses fonctions d’ambassadeur du Groupe de travail auprès du groupe de travail informel chargé de l’homologation de type internationale de l’ensemble du véhicule (IWVTA) en raison de l’augmentation de sa charge de travail. Il s’est demandé si cette fonction continuait d’être nécessaire, étant donné que le Règlement ONU n</w:t>
      </w:r>
      <w:r w:rsidRPr="008365D6">
        <w:rPr>
          <w:vertAlign w:val="superscript"/>
        </w:rPr>
        <w:t>o</w:t>
      </w:r>
      <w:r w:rsidRPr="008365D6">
        <w:t> 0 relatif à l’IWVTA était récemment entré en vigueur. Il a rendu compte de l’état d’avancement de la documentation relative à la dissociation du Règlement ONU</w:t>
      </w:r>
      <w:r w:rsidR="007972EE">
        <w:t> </w:t>
      </w:r>
      <w:r w:rsidRPr="008365D6">
        <w:t>n</w:t>
      </w:r>
      <w:r w:rsidRPr="008365D6">
        <w:rPr>
          <w:vertAlign w:val="superscript"/>
        </w:rPr>
        <w:t>o</w:t>
      </w:r>
      <w:r w:rsidRPr="008365D6">
        <w:t> 116 (documents ECE/TRANS/WP.29/GRSG/2017/23, ECE/TRANS/WP.29/GRSG/2017/24/Rev.1 et ECE/TRANS/WP.29/GRSG/2017/25) et a invité tous les experts à lui faire parvenir leurs observations. Il a proposé d’établir une série de documents finals à l’issue des débats d’une nouvelle réunion qui se tiendrait en marge de la session suivante du Groupe de travail en vue de leur adoption à la 117</w:t>
      </w:r>
      <w:r w:rsidRPr="008365D6">
        <w:rPr>
          <w:vertAlign w:val="superscript"/>
        </w:rPr>
        <w:t>e</w:t>
      </w:r>
      <w:r w:rsidRPr="008365D6">
        <w:t> session du Groupe de travail. Le Groupe de travail a approuvé cette proposition de plan d’action et a décidé de maintenir les documents à l’ordre du jour à titre de documents de référence. Le Président a remercié M.</w:t>
      </w:r>
      <w:r w:rsidR="007972EE">
        <w:t> </w:t>
      </w:r>
      <w:r w:rsidRPr="008365D6">
        <w:t>O.</w:t>
      </w:r>
      <w:r w:rsidR="007972EE">
        <w:t> </w:t>
      </w:r>
      <w:r w:rsidRPr="008365D6">
        <w:t>Fontaine de son dévouement en tant qu’ambassadeur du Groupe de travail pour l’IWVTA et de sa contribution à cette fonction.</w:t>
      </w:r>
    </w:p>
    <w:p w14:paraId="75FF0B92" w14:textId="77777777" w:rsidR="008365D6" w:rsidRPr="008365D6" w:rsidRDefault="008365D6" w:rsidP="00D5525A">
      <w:pPr>
        <w:pStyle w:val="SingleTxtG"/>
      </w:pPr>
      <w:r w:rsidRPr="008365D6">
        <w:t>47.</w:t>
      </w:r>
      <w:r w:rsidRPr="008365D6">
        <w:tab/>
        <w:t>L’expert de l’OICA a présenté le document ECE/TRANS/WP.29/GRSG/2018/14, portant sur la suppression des références aux normes européennes sur les fréquences dans le Règlement ONU n</w:t>
      </w:r>
      <w:r w:rsidRPr="008365D6">
        <w:rPr>
          <w:vertAlign w:val="superscript"/>
        </w:rPr>
        <w:t>o</w:t>
      </w:r>
      <w:r w:rsidRPr="008365D6">
        <w:t> 116. Le Groupe de travail a adopté le document tel que modifié ci</w:t>
      </w:r>
      <w:r w:rsidR="00D5525A">
        <w:noBreakHyphen/>
      </w:r>
      <w:r w:rsidRPr="008365D6">
        <w:t>après et a demandé au secrétariat de le soumettre au Forum mondial et à l’AC.1 en tant que projet de complément</w:t>
      </w:r>
      <w:r w:rsidR="007972EE">
        <w:t> </w:t>
      </w:r>
      <w:r w:rsidRPr="008365D6">
        <w:t>6 au Règlement ONU n</w:t>
      </w:r>
      <w:r w:rsidRPr="008365D6">
        <w:rPr>
          <w:vertAlign w:val="superscript"/>
        </w:rPr>
        <w:t>o</w:t>
      </w:r>
      <w:r w:rsidRPr="008365D6">
        <w:t> 116 pour examen à leurs sessions de mars</w:t>
      </w:r>
      <w:r w:rsidR="007972EE">
        <w:t> </w:t>
      </w:r>
      <w:r w:rsidRPr="008365D6">
        <w:t>2019.</w:t>
      </w:r>
    </w:p>
    <w:p w14:paraId="546BD53A" w14:textId="77777777" w:rsidR="008365D6" w:rsidRPr="008365D6" w:rsidRDefault="008365D6" w:rsidP="008365D6">
      <w:pPr>
        <w:pStyle w:val="SingleTxtG"/>
      </w:pPr>
      <w:r w:rsidRPr="008365D6">
        <w:rPr>
          <w:i/>
        </w:rPr>
        <w:t>Nouveau paragraphe</w:t>
      </w:r>
      <w:r w:rsidR="007972EE">
        <w:rPr>
          <w:i/>
        </w:rPr>
        <w:t> </w:t>
      </w:r>
      <w:r w:rsidRPr="008365D6">
        <w:rPr>
          <w:i/>
        </w:rPr>
        <w:t>1.9</w:t>
      </w:r>
      <w:r w:rsidRPr="007972EE">
        <w:t xml:space="preserve">, </w:t>
      </w:r>
      <w:r w:rsidRPr="008365D6">
        <w:t>remplacer « à la transmission radio</w:t>
      </w:r>
      <w:bookmarkStart w:id="5" w:name="_Hlk533271254"/>
      <w:r w:rsidRPr="008365D6">
        <w:t>, qu’elle soit ou non liée</w:t>
      </w:r>
      <w:bookmarkEnd w:id="5"/>
      <w:r w:rsidRPr="008365D6">
        <w:t> » par « aux fréquences de transmission radio, qu’elles soient ou non liées ».</w:t>
      </w:r>
    </w:p>
    <w:p w14:paraId="47DFEF35" w14:textId="77777777" w:rsidR="008365D6" w:rsidRPr="008365D6" w:rsidRDefault="008365D6" w:rsidP="008365D6">
      <w:pPr>
        <w:pStyle w:val="SingleTxtG"/>
      </w:pPr>
      <w:r w:rsidRPr="008365D6">
        <w:lastRenderedPageBreak/>
        <w:t>48.</w:t>
      </w:r>
      <w:r w:rsidRPr="008365D6">
        <w:tab/>
        <w:t>L’expert de l’OICA a présenté le document ECE/TRANS/WP.29/GRSG/2018/25, tendant à préciser les dispositions relatives à l’essai environnemental des clefs en tant que composants non incorporés dans le véhicule. Le Groupe de travail a pris note de plusieurs observations et d’une réserve pour complément d’étude de l’expert de l’Allemagne, et a décidé de reprendre l’examen du document à sa session suivante.</w:t>
      </w:r>
    </w:p>
    <w:p w14:paraId="74E895A0" w14:textId="77777777" w:rsidR="008365D6" w:rsidRPr="008365D6" w:rsidRDefault="008365D6" w:rsidP="008365D6">
      <w:pPr>
        <w:pStyle w:val="SingleTxtG"/>
      </w:pPr>
      <w:r w:rsidRPr="008365D6">
        <w:t>49.</w:t>
      </w:r>
      <w:r w:rsidRPr="008365D6">
        <w:tab/>
        <w:t>Rappelant les débats du Groupe de travail à ses sessions précédentes sur la nécessité d’élaborer un amendement approprié au Règlement ONU n</w:t>
      </w:r>
      <w:r w:rsidRPr="008365D6">
        <w:rPr>
          <w:vertAlign w:val="superscript"/>
        </w:rPr>
        <w:t>o</w:t>
      </w:r>
      <w:r w:rsidRPr="008365D6">
        <w:t> 116 pour prendre en compte les systèmes d’alarme novateurs pour les véhicules, l’expert de l’OICA a proposé de modifier les définitions des cl</w:t>
      </w:r>
      <w:r w:rsidR="00D93E40">
        <w:t>ef</w:t>
      </w:r>
      <w:r w:rsidRPr="008365D6">
        <w:t xml:space="preserve">s (document informel GRSG-115-20). Le Groupe de travail a pris note de plusieurs observations et réserves pour complément d’étude concernant principalement la sécurité de ces systèmes. L’expert de l’OICA a indiqué que la question de la cybersécurité était actuellement examinée par une équipe du groupe de travail informel du Forum mondial sur les systèmes de transport intelligents et la conduite automatisée. Il a ajouté que le groupe informel était chargé d’élaborer un nouveau règlement ONU horizontal sur la cybersécurité. Le Groupe de travail a décidé de reprendre l’examen de cette question à sa session suivante et a </w:t>
      </w:r>
      <w:r w:rsidRPr="008365D6">
        <w:rPr>
          <w:bCs/>
        </w:rPr>
        <w:t>demandé au secrétariat de distribuer le document informel GRSG-115-20 sous une cote officielle.</w:t>
      </w:r>
    </w:p>
    <w:p w14:paraId="19C0FF02" w14:textId="77777777" w:rsidR="008365D6" w:rsidRPr="008365D6" w:rsidRDefault="008365D6" w:rsidP="008365D6">
      <w:pPr>
        <w:pStyle w:val="SingleTxtG"/>
      </w:pPr>
      <w:r w:rsidRPr="008365D6">
        <w:t>50.</w:t>
      </w:r>
      <w:r w:rsidRPr="008365D6">
        <w:tab/>
        <w:t>L’expert de l’OICA, se référant au débat sur les dispositions transitoires (par.</w:t>
      </w:r>
      <w:r w:rsidR="007972EE">
        <w:t> </w:t>
      </w:r>
      <w:r w:rsidRPr="008365D6">
        <w:t>21 et 29 ci-dessus), a présenté le document informel GRSG-115-28-Rev.1, portant sur les dispositions analogues du Règlement ONU</w:t>
      </w:r>
      <w:r w:rsidR="007972EE">
        <w:t> </w:t>
      </w:r>
      <w:r w:rsidRPr="008365D6">
        <w:t>n</w:t>
      </w:r>
      <w:r w:rsidRPr="008365D6">
        <w:rPr>
          <w:vertAlign w:val="superscript"/>
        </w:rPr>
        <w:t>o</w:t>
      </w:r>
      <w:r w:rsidRPr="008365D6">
        <w:t> 116. Le Groupe de travail a adopté la proposition telle que reproduite ci-après et a demandé au secrétariat de la soumettre au Forum mondial et à l’AC.1 en tant que partie (voir par.</w:t>
      </w:r>
      <w:r w:rsidR="007972EE">
        <w:t> </w:t>
      </w:r>
      <w:r w:rsidRPr="008365D6">
        <w:t>47) du projet de complément</w:t>
      </w:r>
      <w:r w:rsidR="007972EE">
        <w:t> </w:t>
      </w:r>
      <w:r w:rsidRPr="008365D6">
        <w:t>6 au Règlement ONU n</w:t>
      </w:r>
      <w:r w:rsidRPr="008365D6">
        <w:rPr>
          <w:vertAlign w:val="superscript"/>
        </w:rPr>
        <w:t>o</w:t>
      </w:r>
      <w:r w:rsidRPr="008365D6">
        <w:t> 116 pour examen à leurs sessions de mars</w:t>
      </w:r>
      <w:r w:rsidR="007972EE">
        <w:t> </w:t>
      </w:r>
      <w:r w:rsidRPr="008365D6">
        <w:t xml:space="preserve">2019. </w:t>
      </w:r>
      <w:r w:rsidRPr="008365D6">
        <w:rPr>
          <w:i/>
        </w:rPr>
        <w:t>(Voir la note du secrétariat au paragraphe</w:t>
      </w:r>
      <w:r w:rsidR="007972EE">
        <w:rPr>
          <w:i/>
        </w:rPr>
        <w:t> </w:t>
      </w:r>
      <w:r w:rsidRPr="008365D6">
        <w:rPr>
          <w:i/>
        </w:rPr>
        <w:t>21 ci-dessus</w:t>
      </w:r>
      <w:r w:rsidR="007972EE">
        <w:rPr>
          <w:i/>
        </w:rPr>
        <w:t>.</w:t>
      </w:r>
      <w:r w:rsidRPr="008365D6">
        <w:rPr>
          <w:i/>
        </w:rPr>
        <w:t>)</w:t>
      </w:r>
    </w:p>
    <w:p w14:paraId="1C03A826" w14:textId="77777777" w:rsidR="008365D6" w:rsidRPr="008365D6" w:rsidRDefault="008365D6" w:rsidP="007972EE">
      <w:pPr>
        <w:pStyle w:val="SingleTxtG"/>
        <w:keepNext/>
        <w:keepLines/>
      </w:pPr>
      <w:r w:rsidRPr="008365D6">
        <w:rPr>
          <w:i/>
        </w:rPr>
        <w:t>Paragraphe</w:t>
      </w:r>
      <w:r w:rsidR="007972EE">
        <w:rPr>
          <w:i/>
        </w:rPr>
        <w:t> </w:t>
      </w:r>
      <w:r w:rsidRPr="008365D6">
        <w:rPr>
          <w:i/>
        </w:rPr>
        <w:t>13.2</w:t>
      </w:r>
      <w:r w:rsidRPr="007972EE">
        <w:t xml:space="preserve">, </w:t>
      </w:r>
      <w:r w:rsidRPr="008365D6">
        <w:t>modifier comme suit :</w:t>
      </w:r>
    </w:p>
    <w:p w14:paraId="53568B07" w14:textId="77777777" w:rsidR="008365D6" w:rsidRPr="008365D6" w:rsidRDefault="008365D6" w:rsidP="008365D6">
      <w:pPr>
        <w:pStyle w:val="SingleTxtG"/>
      </w:pPr>
      <w:r w:rsidRPr="008365D6">
        <w:t>« 13.2</w:t>
      </w:r>
      <w:r w:rsidRPr="008365D6">
        <w:tab/>
      </w:r>
      <w:r w:rsidR="007972EE">
        <w:tab/>
      </w:r>
      <w:r w:rsidRPr="008365D6">
        <w:rPr>
          <w:u w:val="single"/>
        </w:rPr>
        <w:t>Homologation d’un type de véhicule</w:t>
      </w:r>
    </w:p>
    <w:p w14:paraId="3A20617D" w14:textId="77777777" w:rsidR="008365D6" w:rsidRPr="008365D6" w:rsidRDefault="008365D6" w:rsidP="007972EE">
      <w:pPr>
        <w:pStyle w:val="SingleTxtG"/>
        <w:ind w:left="2268" w:hanging="1134"/>
        <w:rPr>
          <w:i/>
        </w:rPr>
      </w:pPr>
      <w:r w:rsidRPr="008365D6">
        <w:rPr>
          <w:b/>
        </w:rPr>
        <w:t>13.2.1</w:t>
      </w:r>
      <w:r w:rsidRPr="008365D6">
        <w:tab/>
      </w:r>
      <w:r w:rsidR="007972EE">
        <w:tab/>
      </w:r>
      <w:r w:rsidRPr="008365D6">
        <w:t xml:space="preserve">À compter de </w:t>
      </w:r>
      <w:r w:rsidRPr="008365D6">
        <w:rPr>
          <w:b/>
        </w:rPr>
        <w:t>36</w:t>
      </w:r>
      <w:r w:rsidR="007972EE">
        <w:t> </w:t>
      </w:r>
      <w:r w:rsidRPr="008365D6">
        <w:t>mois après la date d’entrée en vigueur du complément</w:t>
      </w:r>
      <w:r w:rsidR="007972EE">
        <w:t> </w:t>
      </w:r>
      <w:r w:rsidRPr="008365D6">
        <w:t>1 à la version originale du Règlement, ......... version originale du Règlement.</w:t>
      </w:r>
    </w:p>
    <w:p w14:paraId="0748B901" w14:textId="77777777" w:rsidR="008365D6" w:rsidRPr="008365D6" w:rsidRDefault="008365D6" w:rsidP="007972EE">
      <w:pPr>
        <w:pStyle w:val="SingleTxtG"/>
        <w:ind w:left="2268" w:hanging="1134"/>
      </w:pPr>
      <w:r w:rsidRPr="008365D6">
        <w:rPr>
          <w:b/>
        </w:rPr>
        <w:t>13.2.2</w:t>
      </w:r>
      <w:r w:rsidRPr="008365D6">
        <w:rPr>
          <w:b/>
        </w:rPr>
        <w:tab/>
      </w:r>
      <w:bookmarkStart w:id="6" w:name="_Hlk527014253"/>
      <w:r w:rsidR="007972EE">
        <w:rPr>
          <w:b/>
        </w:rPr>
        <w:tab/>
      </w:r>
      <w:r w:rsidRPr="008365D6">
        <w:rPr>
          <w:b/>
        </w:rPr>
        <w:t>Jusqu’au 31</w:t>
      </w:r>
      <w:r w:rsidR="007972EE">
        <w:rPr>
          <w:b/>
        </w:rPr>
        <w:t> </w:t>
      </w:r>
      <w:r w:rsidRPr="008365D6">
        <w:rPr>
          <w:b/>
        </w:rPr>
        <w:t>décembre 2019, les dispositions du complément</w:t>
      </w:r>
      <w:r w:rsidR="007972EE">
        <w:rPr>
          <w:b/>
        </w:rPr>
        <w:t> </w:t>
      </w:r>
      <w:r w:rsidRPr="008365D6">
        <w:rPr>
          <w:b/>
        </w:rPr>
        <w:t>5 à la version originale du présent Règlement ne s’appliquent pas aux extensions d’homologation initialement accordées avant l’entrée en vigueur dudit complément</w:t>
      </w:r>
      <w:r w:rsidR="007972EE">
        <w:rPr>
          <w:b/>
        </w:rPr>
        <w:t> </w:t>
      </w:r>
      <w:r w:rsidRPr="008365D6">
        <w:rPr>
          <w:b/>
        </w:rPr>
        <w:t>5</w:t>
      </w:r>
      <w:bookmarkEnd w:id="6"/>
      <w:r w:rsidRPr="008365D6">
        <w:rPr>
          <w:b/>
        </w:rPr>
        <w:t>.</w:t>
      </w:r>
      <w:r w:rsidRPr="008365D6">
        <w:t> »</w:t>
      </w:r>
    </w:p>
    <w:p w14:paraId="0BEDFE82" w14:textId="77777777" w:rsidR="008365D6" w:rsidRPr="008365D6" w:rsidRDefault="008365D6" w:rsidP="007972EE">
      <w:pPr>
        <w:pStyle w:val="HChG"/>
      </w:pPr>
      <w:r w:rsidRPr="008365D6">
        <w:tab/>
        <w:t>XIV.</w:t>
      </w:r>
      <w:r w:rsidRPr="008365D6">
        <w:tab/>
        <w:t>Règlement ONU n</w:t>
      </w:r>
      <w:r w:rsidRPr="008365D6">
        <w:rPr>
          <w:vertAlign w:val="superscript"/>
        </w:rPr>
        <w:t>o</w:t>
      </w:r>
      <w:r w:rsidR="007972EE">
        <w:t> </w:t>
      </w:r>
      <w:r w:rsidRPr="008365D6">
        <w:t xml:space="preserve">121 (Identification des commandes manuelles, des témoins et des indicateurs) </w:t>
      </w:r>
      <w:r w:rsidRPr="008365D6">
        <w:br/>
        <w:t>(point</w:t>
      </w:r>
      <w:r w:rsidR="007972EE">
        <w:t> </w:t>
      </w:r>
      <w:r w:rsidRPr="008365D6">
        <w:t>13 de l’ordre du jour)</w:t>
      </w:r>
    </w:p>
    <w:p w14:paraId="44497BF8" w14:textId="77777777" w:rsidR="008365D6" w:rsidRPr="008365D6" w:rsidRDefault="008365D6" w:rsidP="007972EE">
      <w:pPr>
        <w:pStyle w:val="SingleTxtG"/>
        <w:ind w:left="2268" w:hanging="1134"/>
      </w:pPr>
      <w:r w:rsidRPr="008365D6">
        <w:rPr>
          <w:i/>
        </w:rPr>
        <w:t>Documents </w:t>
      </w:r>
      <w:r w:rsidRPr="00D5525A">
        <w:t>:</w:t>
      </w:r>
      <w:r w:rsidRPr="00D5525A">
        <w:tab/>
      </w:r>
      <w:r w:rsidRPr="008365D6">
        <w:t>ECE/TRANS/WP.29/GRSG/2018/6</w:t>
      </w:r>
      <w:r w:rsidR="007972EE">
        <w:t> ;</w:t>
      </w:r>
      <w:r w:rsidRPr="008365D6">
        <w:br/>
        <w:t>Documents informels GRSG-115-14-Rev.1 et GRSG-115-29-Rev.1</w:t>
      </w:r>
      <w:r w:rsidR="007972EE">
        <w:t>.</w:t>
      </w:r>
    </w:p>
    <w:p w14:paraId="5225C284" w14:textId="77777777" w:rsidR="008365D6" w:rsidRPr="008365D6" w:rsidRDefault="008365D6" w:rsidP="008365D6">
      <w:pPr>
        <w:pStyle w:val="SingleTxtG"/>
      </w:pPr>
      <w:r w:rsidRPr="008365D6">
        <w:t>51.</w:t>
      </w:r>
      <w:r w:rsidRPr="008365D6">
        <w:tab/>
        <w:t>L’expert de l’OICA a rappelé le débat (document ECE/TRANS/WP.29/</w:t>
      </w:r>
      <w:r w:rsidR="007972EE">
        <w:br/>
      </w:r>
      <w:r w:rsidRPr="008365D6">
        <w:t>GRSG/2018/6) qui avait eu lieu à la session précédente du Groupe de travail sur le traitement des changements de couleur des commandes manuelles, des témoins et des indicateurs en supprimant la note de bas de page</w:t>
      </w:r>
      <w:r w:rsidRPr="008365D6">
        <w:rPr>
          <w:vertAlign w:val="superscript"/>
        </w:rPr>
        <w:t>18</w:t>
      </w:r>
      <w:r w:rsidRPr="008365D6">
        <w:t xml:space="preserve"> au tableau 1 et en insérant uniquement un renvoi à la norme ISO</w:t>
      </w:r>
      <w:r w:rsidR="007972EE">
        <w:t> </w:t>
      </w:r>
      <w:r w:rsidRPr="008365D6">
        <w:t>2575. Soulignant l’importance de la couleur pour les témoins, l’expert de la France préférait conserver la note</w:t>
      </w:r>
      <w:r w:rsidRPr="008365D6">
        <w:rPr>
          <w:vertAlign w:val="superscript"/>
        </w:rPr>
        <w:t>18</w:t>
      </w:r>
      <w:r w:rsidRPr="008365D6">
        <w:t>. L’expert de l’OICA a proposé de réviser la proposition et d’insérer une nouvelle note de bas de page qui imposerait la couleur pour les témoins. Le Groupe de travail a décidé de reprendre l’examen de cette question à sa session suivante sur la base d’un document révisé établi conjointement par les experts de la France et de l’OICA.</w:t>
      </w:r>
    </w:p>
    <w:p w14:paraId="0DA4319A" w14:textId="77777777" w:rsidR="008365D6" w:rsidRPr="008365D6" w:rsidRDefault="008365D6" w:rsidP="008365D6">
      <w:pPr>
        <w:pStyle w:val="SingleTxtG"/>
      </w:pPr>
      <w:r w:rsidRPr="008365D6">
        <w:t>52.</w:t>
      </w:r>
      <w:r w:rsidRPr="008365D6">
        <w:tab/>
        <w:t>L’expert de la République de Corée a présenté le document informel GRSG-115-14-Rev.1 tendant à ajouter dans le Règlement ONU n</w:t>
      </w:r>
      <w:r w:rsidRPr="008365D6">
        <w:rPr>
          <w:vertAlign w:val="superscript"/>
        </w:rPr>
        <w:t>o</w:t>
      </w:r>
      <w:r w:rsidRPr="008365D6">
        <w:t xml:space="preserve"> 121 un nouveau symbole pour les commandes « marche/arrêt » dans les véhicules équipés d’une chaîne de traction électrique, notamment les véhicules électriques. Le Groupe de travail a pris note de plusieurs observations. L’expert de la République de Corée s’est porté volontaire pour réviser sa proposition en tenant compte des observations reçues. Le Groupe de travail a décidé de </w:t>
      </w:r>
      <w:r w:rsidRPr="008365D6">
        <w:lastRenderedPageBreak/>
        <w:t>reprendre l’examen de cette question à sa session suivante, en avril 2019, sur la base d’un document officiel</w:t>
      </w:r>
      <w:r w:rsidRPr="008365D6">
        <w:rPr>
          <w:bCs/>
        </w:rPr>
        <w:t>.</w:t>
      </w:r>
    </w:p>
    <w:p w14:paraId="6F0F86C8" w14:textId="77777777" w:rsidR="008365D6" w:rsidRPr="008365D6" w:rsidRDefault="008365D6" w:rsidP="008365D6">
      <w:pPr>
        <w:pStyle w:val="SingleTxtG"/>
      </w:pPr>
      <w:r w:rsidRPr="008365D6">
        <w:t>53.</w:t>
      </w:r>
      <w:r w:rsidRPr="008365D6">
        <w:tab/>
        <w:t>Dans le prolongement du débat sur les dispositions transitoires (par.</w:t>
      </w:r>
      <w:r w:rsidR="007972EE">
        <w:t> </w:t>
      </w:r>
      <w:r w:rsidRPr="008365D6">
        <w:t>21, 29 et</w:t>
      </w:r>
      <w:r w:rsidR="007972EE">
        <w:t> </w:t>
      </w:r>
      <w:r w:rsidRPr="008365D6">
        <w:t>50 ci</w:t>
      </w:r>
      <w:r w:rsidR="007972EE">
        <w:noBreakHyphen/>
      </w:r>
      <w:r w:rsidRPr="008365D6">
        <w:t>dessus), l’expert de l’OICA a présenté le document informel GRSG-115-29-Rev.1, portant sur des dispositions additionnelles au Règlement ONU n</w:t>
      </w:r>
      <w:r w:rsidRPr="008365D6">
        <w:rPr>
          <w:vertAlign w:val="superscript"/>
        </w:rPr>
        <w:t>o</w:t>
      </w:r>
      <w:r w:rsidRPr="008365D6">
        <w:t> 121. Le Groupe de travail a adopté la proposition telle que reproduite ci-après et a demandé au secrétariat de la soumettre au Forum mondial et à l’AC.1 en tant que projet de complément</w:t>
      </w:r>
      <w:r w:rsidR="007972EE">
        <w:t> </w:t>
      </w:r>
      <w:r w:rsidRPr="008365D6">
        <w:t>4 à la série</w:t>
      </w:r>
      <w:r w:rsidR="007972EE">
        <w:t> </w:t>
      </w:r>
      <w:r w:rsidRPr="008365D6">
        <w:t>01 d’amendements au Règlement ONU n</w:t>
      </w:r>
      <w:r w:rsidRPr="008365D6">
        <w:rPr>
          <w:vertAlign w:val="superscript"/>
        </w:rPr>
        <w:t>o</w:t>
      </w:r>
      <w:r w:rsidRPr="008365D6">
        <w:t xml:space="preserve"> 121 pour examen à leurs sessions de mars 2019. </w:t>
      </w:r>
      <w:r w:rsidRPr="008365D6">
        <w:rPr>
          <w:i/>
        </w:rPr>
        <w:t>(Voir la note du secrétariat au paragraphe</w:t>
      </w:r>
      <w:r w:rsidR="007972EE">
        <w:rPr>
          <w:i/>
        </w:rPr>
        <w:t> </w:t>
      </w:r>
      <w:r w:rsidRPr="008365D6">
        <w:rPr>
          <w:i/>
        </w:rPr>
        <w:t>21 ci-dessus.)</w:t>
      </w:r>
    </w:p>
    <w:p w14:paraId="41B29C72" w14:textId="77777777" w:rsidR="008365D6" w:rsidRPr="008365D6" w:rsidRDefault="008365D6" w:rsidP="007972EE">
      <w:pPr>
        <w:pStyle w:val="SingleTxtG"/>
        <w:keepNext/>
        <w:keepLines/>
      </w:pPr>
      <w:r w:rsidRPr="008365D6">
        <w:rPr>
          <w:i/>
        </w:rPr>
        <w:t>Ajouter un nouveau paragraphe</w:t>
      </w:r>
      <w:r w:rsidR="007972EE">
        <w:rPr>
          <w:i/>
        </w:rPr>
        <w:t> </w:t>
      </w:r>
      <w:r w:rsidRPr="008365D6">
        <w:rPr>
          <w:i/>
        </w:rPr>
        <w:t>12.4</w:t>
      </w:r>
      <w:r w:rsidRPr="007972EE">
        <w:t>,</w:t>
      </w:r>
      <w:r w:rsidRPr="008365D6">
        <w:t xml:space="preserve"> libellé comme suit :</w:t>
      </w:r>
    </w:p>
    <w:p w14:paraId="7C288991" w14:textId="77777777" w:rsidR="008365D6" w:rsidRPr="008365D6" w:rsidRDefault="008365D6" w:rsidP="007972EE">
      <w:pPr>
        <w:pStyle w:val="SingleTxtG"/>
        <w:ind w:left="2268" w:hanging="1134"/>
      </w:pPr>
      <w:r w:rsidRPr="008365D6">
        <w:t>« </w:t>
      </w:r>
      <w:r w:rsidRPr="008365D6">
        <w:rPr>
          <w:b/>
        </w:rPr>
        <w:t>12.4</w:t>
      </w:r>
      <w:r w:rsidRPr="008365D6">
        <w:rPr>
          <w:b/>
        </w:rPr>
        <w:tab/>
        <w:t>Jusqu’au 31</w:t>
      </w:r>
      <w:r w:rsidR="007972EE">
        <w:rPr>
          <w:b/>
        </w:rPr>
        <w:t> </w:t>
      </w:r>
      <w:r w:rsidRPr="008365D6">
        <w:rPr>
          <w:b/>
        </w:rPr>
        <w:t>décembre 2019, les dispositions du complément</w:t>
      </w:r>
      <w:r w:rsidR="007972EE">
        <w:rPr>
          <w:b/>
        </w:rPr>
        <w:t> </w:t>
      </w:r>
      <w:r w:rsidRPr="008365D6">
        <w:rPr>
          <w:b/>
        </w:rPr>
        <w:t>2 à la série 01 d’amendements au présent Règlement ne s’appliquent pas aux extensions d’homologation initialement accordées avant l’entrée en vigueur dudit complément</w:t>
      </w:r>
      <w:r w:rsidR="007972EE">
        <w:rPr>
          <w:b/>
        </w:rPr>
        <w:t> </w:t>
      </w:r>
      <w:r w:rsidRPr="008365D6">
        <w:rPr>
          <w:b/>
        </w:rPr>
        <w:t>2</w:t>
      </w:r>
      <w:r w:rsidRPr="008365D6">
        <w:t>. »</w:t>
      </w:r>
    </w:p>
    <w:p w14:paraId="3A327CCF" w14:textId="77777777" w:rsidR="008365D6" w:rsidRPr="008365D6" w:rsidRDefault="008365D6" w:rsidP="007972EE">
      <w:pPr>
        <w:pStyle w:val="HChG"/>
      </w:pPr>
      <w:r w:rsidRPr="008365D6">
        <w:tab/>
        <w:t>XV.</w:t>
      </w:r>
      <w:r w:rsidRPr="008365D6">
        <w:tab/>
        <w:t>Règlement ONU</w:t>
      </w:r>
      <w:r w:rsidR="007972EE">
        <w:t> </w:t>
      </w:r>
      <w:r w:rsidRPr="008365D6">
        <w:t>n</w:t>
      </w:r>
      <w:r w:rsidRPr="008365D6">
        <w:rPr>
          <w:vertAlign w:val="superscript"/>
        </w:rPr>
        <w:t>o</w:t>
      </w:r>
      <w:r w:rsidRPr="008365D6">
        <w:t xml:space="preserve"> 122 (Systèmes de chauffage) </w:t>
      </w:r>
      <w:r w:rsidRPr="008365D6">
        <w:br/>
        <w:t>(point</w:t>
      </w:r>
      <w:r w:rsidR="007972EE">
        <w:t> </w:t>
      </w:r>
      <w:r w:rsidRPr="008365D6">
        <w:t>14 de l’ordre du jour)</w:t>
      </w:r>
    </w:p>
    <w:p w14:paraId="3DEAD1DD" w14:textId="77777777" w:rsidR="008365D6" w:rsidRPr="008365D6" w:rsidRDefault="008365D6" w:rsidP="007972EE">
      <w:pPr>
        <w:pStyle w:val="SingleTxtG"/>
        <w:ind w:left="2268" w:hanging="1134"/>
        <w:jc w:val="left"/>
      </w:pPr>
      <w:r w:rsidRPr="008365D6">
        <w:rPr>
          <w:i/>
        </w:rPr>
        <w:t>Documents </w:t>
      </w:r>
      <w:r w:rsidRPr="00D5525A">
        <w:t>:</w:t>
      </w:r>
      <w:r w:rsidRPr="008365D6">
        <w:tab/>
        <w:t>ECE/TRANS/WP.29/GRSG/2018/21</w:t>
      </w:r>
      <w:r w:rsidRPr="008365D6">
        <w:br/>
        <w:t>ECE/TRANS/WP. 29/GRSG/2018/22</w:t>
      </w:r>
      <w:r w:rsidR="007972EE">
        <w:t> ;</w:t>
      </w:r>
      <w:r w:rsidRPr="008365D6">
        <w:br/>
        <w:t>Document informel GRSG-115-21</w:t>
      </w:r>
      <w:r w:rsidR="007972EE">
        <w:t>.</w:t>
      </w:r>
    </w:p>
    <w:p w14:paraId="7481DBC1" w14:textId="77777777" w:rsidR="008365D6" w:rsidRPr="008365D6" w:rsidRDefault="008365D6" w:rsidP="008365D6">
      <w:pPr>
        <w:pStyle w:val="SingleTxtG"/>
      </w:pPr>
      <w:r w:rsidRPr="008365D6">
        <w:t>54.</w:t>
      </w:r>
      <w:r w:rsidRPr="008365D6">
        <w:tab/>
        <w:t>L’expert de la France a proposé de modifier le Règlement ONU n</w:t>
      </w:r>
      <w:r w:rsidRPr="008365D6">
        <w:rPr>
          <w:vertAlign w:val="superscript"/>
        </w:rPr>
        <w:t>o</w:t>
      </w:r>
      <w:r w:rsidRPr="008365D6">
        <w:t> 122 de manière à y incorporer de nouvelles dispositions relatives aux systèmes de chauffage de l’habitacle par pompe à chaleur (document ECE/TRANS/WP.29/GRSG/2018/21). L’expert de l’OICA a présenté le document informel GRSG-115-21, dans lequel il est proposé de soumettre ces nouvelles dispositions en tant que nouvelle série 01 d’amendements au Règlement ONU n</w:t>
      </w:r>
      <w:r w:rsidRPr="008365D6">
        <w:rPr>
          <w:vertAlign w:val="superscript"/>
        </w:rPr>
        <w:t>o</w:t>
      </w:r>
      <w:r w:rsidRPr="008365D6">
        <w:t> 122, accompagnées des dispositions transitoires appropriées. L’expert de la France a ajouté que les nouvelles dispositions devaient être considérées comme des prescriptions « si</w:t>
      </w:r>
      <w:r w:rsidR="007972EE">
        <w:t> </w:t>
      </w:r>
      <w:r w:rsidRPr="008365D6">
        <w:t>installé » et n’accroîtraient donc pas le degré de rigueur du Règlement ONU. Il a également présenté le document ECE/TRANS/WP.29/GRSG/2018/22, qui tend à limiter les possibilités d’exemption concernant les dispositifs de chauffage électrique utilisés pour chauffer l’habitacle.</w:t>
      </w:r>
    </w:p>
    <w:p w14:paraId="34D87E77" w14:textId="77777777" w:rsidR="008365D6" w:rsidRPr="008365D6" w:rsidRDefault="008365D6" w:rsidP="008365D6">
      <w:pPr>
        <w:pStyle w:val="SingleTxtG"/>
      </w:pPr>
      <w:r w:rsidRPr="008365D6">
        <w:t>55.</w:t>
      </w:r>
      <w:r w:rsidRPr="008365D6">
        <w:tab/>
        <w:t>Le Groupe de travail a adopté les deux propositions telles qu’elles figurent à l’annexe IV du présent rapport. Il a demandé au secrétariat de soumettre la proposition au Forum mondial et à l’AC.1 en tant que projet de complément</w:t>
      </w:r>
      <w:r w:rsidR="007972EE">
        <w:t> </w:t>
      </w:r>
      <w:r w:rsidRPr="008365D6">
        <w:t>5 au Règlement ONU n</w:t>
      </w:r>
      <w:r w:rsidRPr="008365D6">
        <w:rPr>
          <w:vertAlign w:val="superscript"/>
        </w:rPr>
        <w:t>o</w:t>
      </w:r>
      <w:r w:rsidRPr="008365D6">
        <w:t> 122 pour examen à leurs sessions de mars 2019.</w:t>
      </w:r>
    </w:p>
    <w:p w14:paraId="70785EBD" w14:textId="77777777" w:rsidR="008365D6" w:rsidRPr="008365D6" w:rsidRDefault="008365D6" w:rsidP="007972EE">
      <w:pPr>
        <w:pStyle w:val="HChG"/>
      </w:pPr>
      <w:r w:rsidRPr="008365D6">
        <w:tab/>
        <w:t>XVI.</w:t>
      </w:r>
      <w:r w:rsidRPr="008365D6">
        <w:tab/>
        <w:t>Règlement ONU n</w:t>
      </w:r>
      <w:r w:rsidRPr="008365D6">
        <w:rPr>
          <w:vertAlign w:val="superscript"/>
        </w:rPr>
        <w:t>o</w:t>
      </w:r>
      <w:r w:rsidR="007972EE">
        <w:t> </w:t>
      </w:r>
      <w:r w:rsidRPr="008365D6">
        <w:t>144 (Systèmes automatiques d’appel d’urgence en cas d’accident) (point</w:t>
      </w:r>
      <w:r w:rsidR="007972EE">
        <w:t> </w:t>
      </w:r>
      <w:r w:rsidRPr="008365D6">
        <w:t>15 de l’ordre du jour)</w:t>
      </w:r>
    </w:p>
    <w:p w14:paraId="54D76BC0" w14:textId="77777777" w:rsidR="008365D6" w:rsidRPr="008365D6" w:rsidRDefault="008365D6" w:rsidP="007972EE">
      <w:pPr>
        <w:pStyle w:val="SingleTxtG"/>
        <w:ind w:left="2268" w:hanging="1134"/>
        <w:rPr>
          <w:i/>
        </w:rPr>
      </w:pPr>
      <w:r w:rsidRPr="008365D6">
        <w:rPr>
          <w:i/>
        </w:rPr>
        <w:t>Documents </w:t>
      </w:r>
      <w:r w:rsidRPr="00D5525A">
        <w:t>:</w:t>
      </w:r>
      <w:r w:rsidRPr="008365D6">
        <w:rPr>
          <w:i/>
        </w:rPr>
        <w:tab/>
      </w:r>
      <w:r w:rsidRPr="008365D6">
        <w:t>ECE/TRANS/WP.29/GRSG/2018/23</w:t>
      </w:r>
      <w:r w:rsidR="007972EE">
        <w:t> ;</w:t>
      </w:r>
      <w:r w:rsidRPr="008365D6">
        <w:rPr>
          <w:i/>
        </w:rPr>
        <w:br/>
      </w:r>
      <w:r w:rsidRPr="008365D6">
        <w:t>Documents informels GRSG-115-22 et GRSG-115-23</w:t>
      </w:r>
      <w:r w:rsidR="007972EE">
        <w:t>.</w:t>
      </w:r>
    </w:p>
    <w:p w14:paraId="674D7E96" w14:textId="77777777" w:rsidR="008365D6" w:rsidRPr="008365D6" w:rsidRDefault="008365D6" w:rsidP="008365D6">
      <w:pPr>
        <w:pStyle w:val="SingleTxtG"/>
      </w:pPr>
      <w:r w:rsidRPr="008365D6">
        <w:t>56.</w:t>
      </w:r>
      <w:r w:rsidRPr="008365D6">
        <w:tab/>
        <w:t>L’expert de l’OICA a présenté le document ECE/TRANS/WP.29/GRSG/2018/23, tendant à corriger le champ d’application du nouveau Règlement ONU n</w:t>
      </w:r>
      <w:r w:rsidRPr="008365D6">
        <w:rPr>
          <w:vertAlign w:val="superscript"/>
        </w:rPr>
        <w:t>o</w:t>
      </w:r>
      <w:r w:rsidRPr="008365D6">
        <w:t> 144 sur les systèmes automatiques d’appel d’urgence en cas d’accident, qui avait été examiné à la 114</w:t>
      </w:r>
      <w:r w:rsidRPr="008365D6">
        <w:rPr>
          <w:vertAlign w:val="superscript"/>
        </w:rPr>
        <w:t>e</w:t>
      </w:r>
      <w:r w:rsidRPr="008365D6">
        <w:t> session du Groupe de travail. Il a également présenté les documents informels GRSG-115-22 et GRSG-115-23 tendant à corriger des erreurs de rédaction et de numérotation et à préciser les références à certains règlements relatifs à la sécurité passive. Les propositions ont fait l’objet de plusieurs observations. En fin de compte, le Groupe de travail a décidé de créer, sous la direction de l’OICA, une équipe spéciale chargée d’examiner et de résoudre les questions en suspens. Le Groupe de travail a convenu de procéder à l’examen définitif de ces documents à sa session suivante, en avril 2019, sur la base de la proposition révisée que lui soumettrait l’équipe spéciale</w:t>
      </w:r>
      <w:r w:rsidRPr="008365D6">
        <w:rPr>
          <w:bCs/>
        </w:rPr>
        <w:t xml:space="preserve">. Il </w:t>
      </w:r>
      <w:r w:rsidRPr="008365D6">
        <w:t>a décidé de maintenir le document ECE/TRANS/WP.29/GRSG/2018/23 à l’ordre du jour de sa session suivante.</w:t>
      </w:r>
    </w:p>
    <w:p w14:paraId="22FE3888" w14:textId="77777777" w:rsidR="008365D6" w:rsidRPr="008365D6" w:rsidRDefault="008365D6" w:rsidP="007972EE">
      <w:pPr>
        <w:pStyle w:val="HChG"/>
      </w:pPr>
      <w:r w:rsidRPr="008365D6">
        <w:lastRenderedPageBreak/>
        <w:tab/>
        <w:t>XVII.</w:t>
      </w:r>
      <w:r w:rsidRPr="008365D6">
        <w:tab/>
        <w:t>Règlement ONU n</w:t>
      </w:r>
      <w:r w:rsidRPr="008365D6">
        <w:rPr>
          <w:vertAlign w:val="superscript"/>
        </w:rPr>
        <w:t>o</w:t>
      </w:r>
      <w:r w:rsidR="007972EE">
        <w:t> </w:t>
      </w:r>
      <w:r w:rsidRPr="008365D6">
        <w:t xml:space="preserve">0 (Homologation de type </w:t>
      </w:r>
      <w:r w:rsidR="007972EE">
        <w:br/>
      </w:r>
      <w:r w:rsidRPr="008365D6">
        <w:t xml:space="preserve">internationale de l’ensemble du véhicule) </w:t>
      </w:r>
      <w:r w:rsidR="007972EE">
        <w:br/>
      </w:r>
      <w:r w:rsidRPr="008365D6">
        <w:t>(point</w:t>
      </w:r>
      <w:r w:rsidR="007972EE">
        <w:t> </w:t>
      </w:r>
      <w:r w:rsidRPr="008365D6">
        <w:t>16 de l’ordre du jour)</w:t>
      </w:r>
    </w:p>
    <w:p w14:paraId="0DCB6C70" w14:textId="77777777" w:rsidR="008365D6" w:rsidRPr="008365D6" w:rsidRDefault="008365D6" w:rsidP="007972EE">
      <w:pPr>
        <w:pStyle w:val="SingleTxtG"/>
        <w:ind w:left="2268" w:hanging="1134"/>
      </w:pPr>
      <w:r w:rsidRPr="008365D6">
        <w:rPr>
          <w:i/>
        </w:rPr>
        <w:t>Documents </w:t>
      </w:r>
      <w:r w:rsidRPr="00D5525A">
        <w:t>:</w:t>
      </w:r>
      <w:r w:rsidRPr="008365D6">
        <w:rPr>
          <w:i/>
        </w:rPr>
        <w:tab/>
      </w:r>
      <w:r w:rsidRPr="008365D6">
        <w:t xml:space="preserve">ECE/TRANS/WP.29/2018/82 </w:t>
      </w:r>
      <w:r w:rsidRPr="008365D6">
        <w:br/>
        <w:t>ECE/TRANS/WP.29/2018/165</w:t>
      </w:r>
      <w:r w:rsidR="007972EE">
        <w:t>.</w:t>
      </w:r>
    </w:p>
    <w:p w14:paraId="500BAC8C" w14:textId="77777777" w:rsidR="008365D6" w:rsidRPr="008365D6" w:rsidRDefault="008365D6" w:rsidP="008365D6">
      <w:pPr>
        <w:pStyle w:val="SingleTxtG"/>
      </w:pPr>
      <w:bookmarkStart w:id="7" w:name="_Hlk2157592"/>
      <w:r w:rsidRPr="008365D6">
        <w:t>57.</w:t>
      </w:r>
      <w:r w:rsidRPr="008365D6">
        <w:tab/>
        <w:t>Le Groupe de travail a noté que figuraient à l’ordre du jour de la session suivante du Forum mondial, en novembre 2018 : a)</w:t>
      </w:r>
      <w:r w:rsidR="007972EE">
        <w:t> </w:t>
      </w:r>
      <w:r w:rsidRPr="008365D6">
        <w:t>un nouveau projet de série</w:t>
      </w:r>
      <w:r w:rsidR="007972EE">
        <w:t> </w:t>
      </w:r>
      <w:r w:rsidRPr="008365D6">
        <w:t>01 d’amendements au Règlement ONU n</w:t>
      </w:r>
      <w:r w:rsidRPr="008365D6">
        <w:rPr>
          <w:vertAlign w:val="superscript"/>
        </w:rPr>
        <w:t>o</w:t>
      </w:r>
      <w:r w:rsidRPr="008365D6">
        <w:t> 0 sur l’homologation de type internationale de l’ensemble du véhicule (IWVTA) (document ECE/TRANS/WP.29/2018/82)</w:t>
      </w:r>
      <w:r w:rsidR="007972EE">
        <w:t> ;</w:t>
      </w:r>
      <w:r w:rsidRPr="008365D6">
        <w:t xml:space="preserve"> et b)</w:t>
      </w:r>
      <w:r w:rsidR="007972EE">
        <w:t> </w:t>
      </w:r>
      <w:r w:rsidRPr="008365D6">
        <w:t>un projet d’amendement à l’annexe 4 de l’Accord de 1958 sur la numérotation des homologations de type (document ECE/TRANS/WP.29/2018/165).</w:t>
      </w:r>
    </w:p>
    <w:bookmarkEnd w:id="7"/>
    <w:p w14:paraId="6AE768F9" w14:textId="77777777" w:rsidR="008365D6" w:rsidRPr="008365D6" w:rsidRDefault="008365D6" w:rsidP="008365D6">
      <w:pPr>
        <w:pStyle w:val="SingleTxtG"/>
      </w:pPr>
      <w:r w:rsidRPr="008365D6">
        <w:t>58.</w:t>
      </w:r>
      <w:r w:rsidRPr="008365D6">
        <w:tab/>
        <w:t>Le Président a rappelé les informations fournies par l’expert de l’OICA (voir par.</w:t>
      </w:r>
      <w:r w:rsidR="007972EE">
        <w:t> </w:t>
      </w:r>
      <w:r w:rsidRPr="008365D6">
        <w:t>46 ci-dessus) concernant sa démission de ses fonctions d’ambassadeur du Groupe de travail pour l’IWVTA. Il a annoncé son intention de demander l’avis du Forum mondial sur la nécessité de maintenir cette fonction. Le Groupe de travail a bien accueilli cette proposition et a décidé de reprendre l’examen de cette question à sa session suivante.</w:t>
      </w:r>
    </w:p>
    <w:p w14:paraId="4AB30ACC" w14:textId="77777777" w:rsidR="008365D6" w:rsidRPr="008365D6" w:rsidRDefault="008365D6" w:rsidP="007972EE">
      <w:pPr>
        <w:pStyle w:val="HChG"/>
      </w:pPr>
      <w:r w:rsidRPr="008365D6">
        <w:tab/>
        <w:t>XVIII.</w:t>
      </w:r>
      <w:r w:rsidRPr="008365D6">
        <w:tab/>
        <w:t xml:space="preserve">Échange de vues sur l’automatisation des véhicules </w:t>
      </w:r>
      <w:r w:rsidRPr="008365D6">
        <w:br/>
        <w:t>(point</w:t>
      </w:r>
      <w:r w:rsidR="007972EE">
        <w:t> </w:t>
      </w:r>
      <w:r w:rsidRPr="008365D6">
        <w:t>17 de l’ordre du jour)</w:t>
      </w:r>
    </w:p>
    <w:p w14:paraId="51B21524" w14:textId="77777777" w:rsidR="008365D6" w:rsidRPr="008365D6" w:rsidRDefault="008365D6" w:rsidP="008365D6">
      <w:pPr>
        <w:pStyle w:val="SingleTxtG"/>
        <w:rPr>
          <w:i/>
        </w:rPr>
      </w:pPr>
      <w:r w:rsidRPr="008365D6">
        <w:rPr>
          <w:i/>
        </w:rPr>
        <w:t>Documents </w:t>
      </w:r>
      <w:r w:rsidRPr="00D5525A">
        <w:t>:</w:t>
      </w:r>
      <w:r w:rsidRPr="008365D6">
        <w:rPr>
          <w:i/>
        </w:rPr>
        <w:tab/>
      </w:r>
      <w:r w:rsidRPr="008365D6">
        <w:t>Documents informels</w:t>
      </w:r>
      <w:r w:rsidRPr="008365D6">
        <w:rPr>
          <w:iCs/>
        </w:rPr>
        <w:t xml:space="preserve"> WP.29-175-29 et </w:t>
      </w:r>
      <w:r w:rsidRPr="008365D6">
        <w:t>GRSG-115-02</w:t>
      </w:r>
      <w:r w:rsidR="007972EE">
        <w:t>.</w:t>
      </w:r>
    </w:p>
    <w:p w14:paraId="37E1E889" w14:textId="77777777" w:rsidR="008365D6" w:rsidRPr="008365D6" w:rsidRDefault="008365D6" w:rsidP="008365D6">
      <w:pPr>
        <w:pStyle w:val="SingleTxtG"/>
      </w:pPr>
      <w:r w:rsidRPr="008365D6">
        <w:t>59.</w:t>
      </w:r>
      <w:r w:rsidRPr="008365D6">
        <w:tab/>
        <w:t xml:space="preserve">Le Président a rappelé les informations fournies par le secrétariat (document informel GRSG-115-02) sur la décision prise par le </w:t>
      </w:r>
      <w:r w:rsidRPr="008365D6">
        <w:rPr>
          <w:iCs/>
        </w:rPr>
        <w:t xml:space="preserve">Forum mondial de transformer le GRRF en GRVA et de réaffecter certaines tâches du GRRF à d’autres groupes de travail. Il a ajouté que l’AC.3 avait également recommandé que le Groupe de travail reprenne l’examen des enregistreurs de données en cas d’accident visant les véhicules classiques et en particulier les véhicules automatisés ou autonomes (voir le document informel WP.29-175-29). Le Groupe de travail a donc noté que le GRVA avait déjà envisagé d’élaborer de nouvelles dispositions concernant les </w:t>
      </w:r>
      <w:r w:rsidRPr="008365D6">
        <w:t>systèmes de stockage des données pour la conduite automatisée. L’expert de l’OICA s’est félicité de la proposition d’aller de l’avant concernant la création d’un nouveau RTM ONU sur les enregistreurs de données. Il a ajouté que, dans un proche avenir, une longue liste d’activités parallèles serait ajoutée à l’ordre du jour de différents groupes de travail sur des dispositifs similaires mais remplissant des fonctions différentes (logiciels) et/ou répondant à des niveaux d’exigence différents (par exemple pour la cybersécurité). Il a conclu que le processus d’homologation de type des systèmes de véhicules automatisés aboutirait à un système différent de celui des véhicules classiques. Il s’est interrogé sur la nécessité de nommer un nouvel ambassadeur du Groupe de travail pour l’automatisation des véhicules, qui assurerait la qualité des échanges de vues et de la coordination au titre de ce nouveau point de l’ordre du jour.</w:t>
      </w:r>
    </w:p>
    <w:p w14:paraId="70A29D2B" w14:textId="77777777" w:rsidR="008365D6" w:rsidRPr="008365D6" w:rsidRDefault="008365D6" w:rsidP="008365D6">
      <w:pPr>
        <w:pStyle w:val="SingleTxtG"/>
      </w:pPr>
      <w:r w:rsidRPr="008365D6">
        <w:t>60.</w:t>
      </w:r>
      <w:r w:rsidRPr="008365D6">
        <w:tab/>
        <w:t>Le Groupe de travail a décidé de réinscrire un point relatif aux enregistreurs de données à l’ordre du jour de sa session suivante, sous réserve de la décision que prendraient le Forum mondial et l’AC.3 en novembre 2018. Le Président a invité toutes les Parties contractantes à l’Accord de 1998 à envisager la possibilité d’un parrainage technique pour un nouveau RTM ONU sur les enregistreurs de données. Il s’est également porté volontaire pour demander l’avis du Forum mondial sur la nécessité, pour chaque groupe de travail, de désigner un ambassadeur pour l’automatisation des véhicules.</w:t>
      </w:r>
    </w:p>
    <w:p w14:paraId="29746CD0" w14:textId="77777777" w:rsidR="008365D6" w:rsidRPr="008365D6" w:rsidRDefault="008365D6" w:rsidP="00E11FF7">
      <w:pPr>
        <w:pStyle w:val="HChG"/>
      </w:pPr>
      <w:r w:rsidRPr="008365D6">
        <w:tab/>
        <w:t>XIX.</w:t>
      </w:r>
      <w:r w:rsidRPr="008365D6">
        <w:tab/>
        <w:t xml:space="preserve">Stratégie du Comité des transports intérieurs </w:t>
      </w:r>
      <w:r w:rsidRPr="008365D6">
        <w:br/>
        <w:t>(point</w:t>
      </w:r>
      <w:r w:rsidR="007972EE">
        <w:t> </w:t>
      </w:r>
      <w:r w:rsidRPr="008365D6">
        <w:t>18 de l’ordre du jour)</w:t>
      </w:r>
    </w:p>
    <w:p w14:paraId="727F3A81" w14:textId="77777777" w:rsidR="008365D6" w:rsidRPr="008365D6" w:rsidRDefault="008365D6" w:rsidP="008365D6">
      <w:pPr>
        <w:pStyle w:val="SingleTxtG"/>
        <w:rPr>
          <w:i/>
        </w:rPr>
      </w:pPr>
      <w:r w:rsidRPr="008365D6">
        <w:rPr>
          <w:i/>
        </w:rPr>
        <w:t>Document </w:t>
      </w:r>
      <w:r w:rsidRPr="00D5525A">
        <w:t>:</w:t>
      </w:r>
      <w:r w:rsidRPr="008365D6">
        <w:rPr>
          <w:i/>
        </w:rPr>
        <w:tab/>
      </w:r>
      <w:r w:rsidRPr="008365D6">
        <w:t>Document informel GRSG-115-42</w:t>
      </w:r>
      <w:r w:rsidR="00E11FF7">
        <w:t>.</w:t>
      </w:r>
    </w:p>
    <w:p w14:paraId="15F469FE" w14:textId="77777777" w:rsidR="008365D6" w:rsidRPr="008365D6" w:rsidRDefault="008365D6" w:rsidP="008365D6">
      <w:pPr>
        <w:pStyle w:val="SingleTxtG"/>
      </w:pPr>
      <w:r w:rsidRPr="008365D6">
        <w:t>61.</w:t>
      </w:r>
      <w:r w:rsidRPr="008365D6">
        <w:tab/>
        <w:t xml:space="preserve">Le Groupe de travail a pris note d’un exposé du secrétariat sur les questions relatives au Comité des transports intérieurs, en particulier sur la stratégie du Comité jusqu’en 2030 et </w:t>
      </w:r>
      <w:r w:rsidRPr="008365D6">
        <w:lastRenderedPageBreak/>
        <w:t>sur la réforme de la gestion de l’Organisation des Nations Unies (document informel GRSG-115-42). Le Président a invité les experts gouvernementaux intéressés à prendre contact avec leur représentant national aux sessions du Forum mondial consacrées à cette question.</w:t>
      </w:r>
    </w:p>
    <w:p w14:paraId="5C92E3F4" w14:textId="77777777" w:rsidR="008365D6" w:rsidRPr="008365D6" w:rsidRDefault="008365D6" w:rsidP="00E11FF7">
      <w:pPr>
        <w:pStyle w:val="HChG"/>
      </w:pPr>
      <w:r w:rsidRPr="008365D6">
        <w:tab/>
        <w:t>XX.</w:t>
      </w:r>
      <w:r w:rsidRPr="008365D6">
        <w:tab/>
        <w:t>Élection du Bureau (point</w:t>
      </w:r>
      <w:r w:rsidR="00E11FF7">
        <w:t> </w:t>
      </w:r>
      <w:r w:rsidRPr="008365D6">
        <w:t>19 de l’ordre du jour)</w:t>
      </w:r>
    </w:p>
    <w:p w14:paraId="0A3FE7B4" w14:textId="77777777" w:rsidR="008365D6" w:rsidRPr="008365D6" w:rsidRDefault="008365D6" w:rsidP="008365D6">
      <w:pPr>
        <w:pStyle w:val="SingleTxtG"/>
      </w:pPr>
      <w:r w:rsidRPr="008365D6">
        <w:t>62.</w:t>
      </w:r>
      <w:r w:rsidRPr="008365D6">
        <w:tab/>
        <w:t>Conformément à l’article</w:t>
      </w:r>
      <w:r w:rsidR="00E11FF7">
        <w:t> </w:t>
      </w:r>
      <w:r w:rsidRPr="008365D6">
        <w:t>37 du Règlement intérieur (document ECE/TRANS/WP.29/690/Rev.1), le Groupe de travail a procédé à l’élection de son Bureau le mercredi 10 octobre 2018 après-midi. M.</w:t>
      </w:r>
      <w:r w:rsidR="00E11FF7">
        <w:t> </w:t>
      </w:r>
      <w:r w:rsidRPr="008365D6">
        <w:t>A.</w:t>
      </w:r>
      <w:r w:rsidR="00E11FF7">
        <w:t> </w:t>
      </w:r>
      <w:r w:rsidRPr="008365D6">
        <w:t>Erario (Italie) a été réélu à l’unanimité Président et M.</w:t>
      </w:r>
      <w:r w:rsidR="00E11FF7">
        <w:t> </w:t>
      </w:r>
      <w:r w:rsidRPr="008365D6">
        <w:t>K.</w:t>
      </w:r>
      <w:r w:rsidR="00E11FF7">
        <w:t> </w:t>
      </w:r>
      <w:r w:rsidRPr="008365D6">
        <w:t>Hendershot (Canada) Vice-Président des sessions du Groupe de travail prévues en 2019.</w:t>
      </w:r>
    </w:p>
    <w:p w14:paraId="50A8929F" w14:textId="77777777" w:rsidR="008365D6" w:rsidRPr="008365D6" w:rsidRDefault="008365D6" w:rsidP="00E11FF7">
      <w:pPr>
        <w:pStyle w:val="HChG"/>
      </w:pPr>
      <w:r w:rsidRPr="008365D6">
        <w:tab/>
        <w:t>XXI.</w:t>
      </w:r>
      <w:r w:rsidRPr="008365D6">
        <w:tab/>
        <w:t>Questions diverses (point</w:t>
      </w:r>
      <w:r w:rsidR="00E11FF7">
        <w:t> </w:t>
      </w:r>
      <w:r w:rsidRPr="008365D6">
        <w:t>20 de l’ordre du jour)</w:t>
      </w:r>
    </w:p>
    <w:p w14:paraId="6E0DBA5F" w14:textId="77777777" w:rsidR="008365D6" w:rsidRPr="008365D6" w:rsidRDefault="008365D6" w:rsidP="00E11FF7">
      <w:pPr>
        <w:pStyle w:val="H1G"/>
      </w:pPr>
      <w:r w:rsidRPr="008365D6">
        <w:tab/>
        <w:t>A.</w:t>
      </w:r>
      <w:r w:rsidRPr="008365D6">
        <w:tab/>
        <w:t>Règlement ONU n</w:t>
      </w:r>
      <w:r w:rsidRPr="008365D6">
        <w:rPr>
          <w:vertAlign w:val="superscript"/>
        </w:rPr>
        <w:t>o</w:t>
      </w:r>
      <w:r w:rsidR="00E11FF7">
        <w:t> </w:t>
      </w:r>
      <w:r w:rsidRPr="008365D6">
        <w:t>58 (Dispositifs contre l’encastrement à l’arrière)</w:t>
      </w:r>
    </w:p>
    <w:p w14:paraId="1FB3BBD6" w14:textId="77777777" w:rsidR="008365D6" w:rsidRPr="008365D6" w:rsidRDefault="008365D6" w:rsidP="00E11FF7">
      <w:pPr>
        <w:pStyle w:val="SingleTxtG"/>
        <w:ind w:left="2268" w:hanging="1134"/>
      </w:pPr>
      <w:r w:rsidRPr="008365D6">
        <w:rPr>
          <w:i/>
        </w:rPr>
        <w:t>Documents </w:t>
      </w:r>
      <w:r w:rsidRPr="00D5525A">
        <w:t xml:space="preserve">: </w:t>
      </w:r>
      <w:r w:rsidRPr="008365D6">
        <w:tab/>
        <w:t>ECE/TRANS/WP.29/GRSG/2018/26</w:t>
      </w:r>
      <w:r w:rsidR="00E11FF7">
        <w:t> ;</w:t>
      </w:r>
      <w:r w:rsidRPr="008365D6">
        <w:br/>
        <w:t>Document informel GRSG-115-03</w:t>
      </w:r>
      <w:r w:rsidR="00E11FF7">
        <w:t>.</w:t>
      </w:r>
    </w:p>
    <w:p w14:paraId="4D39B4D1" w14:textId="77777777" w:rsidR="008365D6" w:rsidRPr="008365D6" w:rsidRDefault="008365D6" w:rsidP="008365D6">
      <w:pPr>
        <w:pStyle w:val="SingleTxtG"/>
      </w:pPr>
      <w:r w:rsidRPr="008365D6">
        <w:t>63.</w:t>
      </w:r>
      <w:r w:rsidRPr="008365D6">
        <w:tab/>
        <w:t>Le Groupe de travail a pris note du document informel GRSG-115-03, portant sur la rectification des dispositions du modèle B de la marque d’homologation. L’expert de la Finlande a suggéré de remplacer également le point 1 de l’annexe 1 par « Nom et marque commerciale du dispositif » et le point</w:t>
      </w:r>
      <w:r w:rsidR="00E11FF7">
        <w:t> </w:t>
      </w:r>
      <w:r w:rsidRPr="008365D6">
        <w:t>2 par « Type de dispositif ». Le Groupe de travail a également pris note du document ECE/TRANS/WP.29/GRSG/2018/26, dans lequel il est proposé de corriger la version française du Règlement ONU n</w:t>
      </w:r>
      <w:r w:rsidRPr="008365D6">
        <w:rPr>
          <w:vertAlign w:val="superscript"/>
        </w:rPr>
        <w:t>o</w:t>
      </w:r>
      <w:r w:rsidRPr="008365D6">
        <w:t> 58.</w:t>
      </w:r>
    </w:p>
    <w:p w14:paraId="39DA98FB" w14:textId="77777777" w:rsidR="008365D6" w:rsidRPr="008365D6" w:rsidRDefault="008365D6" w:rsidP="008365D6">
      <w:pPr>
        <w:pStyle w:val="SingleTxtG"/>
      </w:pPr>
      <w:r w:rsidRPr="008365D6">
        <w:t>64.</w:t>
      </w:r>
      <w:r w:rsidRPr="008365D6">
        <w:tab/>
        <w:t>Le Groupe de travail a adopté les propositions reproduites à l’annexe V du présent rapport et a demandé au secrétariat de les soumettre au Forum mondial et à l’AC.1 en tant que rectificatif</w:t>
      </w:r>
      <w:r w:rsidR="00E11FF7">
        <w:t> </w:t>
      </w:r>
      <w:r w:rsidRPr="008365D6">
        <w:t>1 à la Révision</w:t>
      </w:r>
      <w:r w:rsidR="00E11FF7">
        <w:t> </w:t>
      </w:r>
      <w:r w:rsidRPr="008365D6">
        <w:t xml:space="preserve">3 du Règlement ONU </w:t>
      </w:r>
      <w:r w:rsidR="00E11FF7" w:rsidRPr="002D76F4">
        <w:rPr>
          <w:rFonts w:eastAsia="MS Mincho"/>
          <w:szCs w:val="22"/>
        </w:rPr>
        <w:t>n</w:t>
      </w:r>
      <w:r w:rsidR="00E11FF7" w:rsidRPr="002D76F4">
        <w:rPr>
          <w:rFonts w:eastAsia="MS Mincho"/>
          <w:szCs w:val="22"/>
          <w:vertAlign w:val="superscript"/>
        </w:rPr>
        <w:t>o</w:t>
      </w:r>
      <w:r w:rsidR="00E11FF7">
        <w:t> </w:t>
      </w:r>
      <w:r w:rsidRPr="008365D6">
        <w:t>58 pour examen à leurs sessions de mars</w:t>
      </w:r>
      <w:r w:rsidR="00E11FF7">
        <w:t> </w:t>
      </w:r>
      <w:r w:rsidRPr="008365D6">
        <w:t>2019.</w:t>
      </w:r>
    </w:p>
    <w:p w14:paraId="122BB3F9" w14:textId="77777777" w:rsidR="008365D6" w:rsidRPr="008365D6" w:rsidRDefault="008365D6" w:rsidP="00E11FF7">
      <w:pPr>
        <w:pStyle w:val="H1G"/>
      </w:pPr>
      <w:r w:rsidRPr="008365D6">
        <w:tab/>
        <w:t>B.</w:t>
      </w:r>
      <w:r w:rsidRPr="008365D6">
        <w:tab/>
        <w:t>Résolution d’ensemble sur la construction des véhicules (R.E.3)</w:t>
      </w:r>
    </w:p>
    <w:p w14:paraId="31A40251" w14:textId="77777777" w:rsidR="008365D6" w:rsidRPr="008365D6" w:rsidRDefault="008365D6" w:rsidP="008365D6">
      <w:pPr>
        <w:pStyle w:val="SingleTxtG"/>
      </w:pPr>
      <w:r w:rsidRPr="008365D6">
        <w:rPr>
          <w:i/>
        </w:rPr>
        <w:t>Document </w:t>
      </w:r>
      <w:r w:rsidRPr="00E11FF7">
        <w:t>:</w:t>
      </w:r>
      <w:r w:rsidRPr="008365D6">
        <w:tab/>
        <w:t>Document informel GRSG-115-12</w:t>
      </w:r>
      <w:r w:rsidR="00E11FF7">
        <w:t>.</w:t>
      </w:r>
    </w:p>
    <w:p w14:paraId="7BF9B35D" w14:textId="77777777" w:rsidR="008365D6" w:rsidRPr="008365D6" w:rsidRDefault="008365D6" w:rsidP="008365D6">
      <w:pPr>
        <w:pStyle w:val="SingleTxtG"/>
      </w:pPr>
      <w:r w:rsidRPr="008365D6">
        <w:t>65.</w:t>
      </w:r>
      <w:r w:rsidRPr="008365D6">
        <w:tab/>
        <w:t>L’expert de l’IMMA a présenté le document informel GRSG-115-12 faisant référence au document ECE/TRANS/WP.29/GRSG/2015/30, tendant à modifier les dispositions de la R.E.3 de manière à autoriser l’utilisation de « roues jumelées » sur tous les véhicules de la catégorie L. L’expert de la CE a proposé de remplacer au paragraphe</w:t>
      </w:r>
      <w:r w:rsidR="00E11FF7">
        <w:t> </w:t>
      </w:r>
      <w:r w:rsidRPr="008365D6">
        <w:t xml:space="preserve">2.1.1 l’expression « roues jumelées » par « configuration à roues jumelées ». Plusieurs experts ont approuvé la proposition. Le Groupe de travail a décidé de reprendre l’examen de cette question à sa session suivante et a </w:t>
      </w:r>
      <w:r w:rsidRPr="008365D6">
        <w:rPr>
          <w:bCs/>
        </w:rPr>
        <w:t>demandé au secrétariat de distribuer le document informel GRSG-115-12 sous une cote officielle.</w:t>
      </w:r>
    </w:p>
    <w:p w14:paraId="3563041A" w14:textId="77777777" w:rsidR="008365D6" w:rsidRPr="008365D6" w:rsidRDefault="008365D6" w:rsidP="00E11FF7">
      <w:pPr>
        <w:pStyle w:val="H1G"/>
      </w:pPr>
      <w:r w:rsidRPr="008365D6">
        <w:tab/>
        <w:t>C.</w:t>
      </w:r>
      <w:r w:rsidRPr="008365D6">
        <w:tab/>
        <w:t>Règlement ONU</w:t>
      </w:r>
      <w:r w:rsidR="00E11FF7">
        <w:t> </w:t>
      </w:r>
      <w:r w:rsidRPr="008365D6">
        <w:t>n</w:t>
      </w:r>
      <w:r w:rsidRPr="008365D6">
        <w:rPr>
          <w:vertAlign w:val="superscript"/>
        </w:rPr>
        <w:t>o</w:t>
      </w:r>
      <w:r w:rsidR="00E11FF7">
        <w:t> </w:t>
      </w:r>
      <w:r w:rsidRPr="008365D6">
        <w:t>93 (Dispositifs contre l’encastrement à</w:t>
      </w:r>
      <w:r w:rsidR="00E11FF7">
        <w:t> </w:t>
      </w:r>
      <w:r w:rsidRPr="008365D6">
        <w:t>l’avant)</w:t>
      </w:r>
    </w:p>
    <w:p w14:paraId="32A1231A" w14:textId="77777777" w:rsidR="008365D6" w:rsidRPr="008365D6" w:rsidRDefault="008365D6" w:rsidP="00E11FF7">
      <w:pPr>
        <w:pStyle w:val="SingleTxtG"/>
        <w:keepNext/>
        <w:keepLines/>
      </w:pPr>
      <w:r w:rsidRPr="008365D6">
        <w:rPr>
          <w:i/>
        </w:rPr>
        <w:t>Document </w:t>
      </w:r>
      <w:r w:rsidRPr="00E11FF7">
        <w:t>:</w:t>
      </w:r>
      <w:r w:rsidRPr="008365D6">
        <w:tab/>
        <w:t>Document informel GRSG-115-25</w:t>
      </w:r>
      <w:r w:rsidR="00E11FF7">
        <w:t>.</w:t>
      </w:r>
    </w:p>
    <w:p w14:paraId="6ACC6520" w14:textId="77777777" w:rsidR="008365D6" w:rsidRPr="008365D6" w:rsidRDefault="008365D6" w:rsidP="008365D6">
      <w:pPr>
        <w:pStyle w:val="SingleTxtG"/>
      </w:pPr>
      <w:r w:rsidRPr="008365D6">
        <w:t>66.</w:t>
      </w:r>
      <w:r w:rsidRPr="008365D6">
        <w:tab/>
        <w:t>L’expert de la CE a présenté le document informel GRSG-115-25 tendant à actualiser les dispositions relatives au dispositif de protection contre l’encastrement à l’avant homologué en tant que partie intégrante du véhicule, en particulier pour permettre une forme plus arrondie de la cabine et une meilleure performance aérodynamique. La proposition a fait l’objet de plusieurs observations et d’une réserve pour complément d’étude de la part de l’expert des Pays-Bas.</w:t>
      </w:r>
    </w:p>
    <w:p w14:paraId="3E505DCF" w14:textId="77777777" w:rsidR="008365D6" w:rsidRPr="008365D6" w:rsidRDefault="008365D6" w:rsidP="008365D6">
      <w:pPr>
        <w:pStyle w:val="SingleTxtG"/>
      </w:pPr>
      <w:r w:rsidRPr="008365D6">
        <w:t>67.</w:t>
      </w:r>
      <w:r w:rsidRPr="008365D6">
        <w:tab/>
        <w:t>L’expert de la CE s’est porté volontaire pour réviser sa proposition en tenant compte des observations reçues. Le Groupe de travail a décidé de reprendre l’examen de cette question à sa session suivante, en avril 2019, sur la base d’un document officiel.</w:t>
      </w:r>
    </w:p>
    <w:p w14:paraId="2C2B984E" w14:textId="77777777" w:rsidR="008365D6" w:rsidRPr="008365D6" w:rsidRDefault="008365D6" w:rsidP="00E11FF7">
      <w:pPr>
        <w:pStyle w:val="H1G"/>
      </w:pPr>
      <w:r w:rsidRPr="008365D6">
        <w:lastRenderedPageBreak/>
        <w:tab/>
        <w:t>D.</w:t>
      </w:r>
      <w:r w:rsidRPr="008365D6">
        <w:tab/>
        <w:t>Hommages à MM.</w:t>
      </w:r>
      <w:r w:rsidR="00E11FF7">
        <w:t> </w:t>
      </w:r>
      <w:r w:rsidRPr="008365D6">
        <w:t>Kincl et Gouweleeuw</w:t>
      </w:r>
    </w:p>
    <w:p w14:paraId="1F7EB477" w14:textId="77777777" w:rsidR="008365D6" w:rsidRPr="008365D6" w:rsidRDefault="008365D6" w:rsidP="008365D6">
      <w:pPr>
        <w:pStyle w:val="SingleTxtG"/>
      </w:pPr>
      <w:r w:rsidRPr="008365D6">
        <w:t>68.</w:t>
      </w:r>
      <w:r w:rsidRPr="008365D6">
        <w:tab/>
        <w:t>Le Groupe de travail a remercié M. L.</w:t>
      </w:r>
      <w:r w:rsidR="00FA69E7">
        <w:t> </w:t>
      </w:r>
      <w:r w:rsidRPr="008365D6">
        <w:t>Kincl (Tchéquie), qui prendrait bientôt sa retraite, de son importante contribution à ses activités au cours des dernières décennies, et lui a souhaité une longue et heureuse retraite.</w:t>
      </w:r>
    </w:p>
    <w:p w14:paraId="5ADE01AF" w14:textId="77777777" w:rsidR="008365D6" w:rsidRPr="008365D6" w:rsidRDefault="008365D6" w:rsidP="008365D6">
      <w:pPr>
        <w:pStyle w:val="SingleTxtG"/>
      </w:pPr>
      <w:r w:rsidRPr="008365D6">
        <w:t>69.</w:t>
      </w:r>
      <w:r w:rsidRPr="008365D6">
        <w:tab/>
        <w:t>Le Groupe de travail a noté que M. R.</w:t>
      </w:r>
      <w:r w:rsidR="00FA69E7">
        <w:t> </w:t>
      </w:r>
      <w:r w:rsidRPr="008365D6">
        <w:t>Gouweleeuw (CE) avait assumé de nouvelles responsabilités dans son pays et ne participerait donc plus aux sessions. Il l’a remercié de son appui et de ses contributions tout au long des sessions et lui a souhaité plein succès dans ses activités futures.</w:t>
      </w:r>
    </w:p>
    <w:p w14:paraId="11F38938" w14:textId="77777777" w:rsidR="008365D6" w:rsidRPr="008365D6" w:rsidRDefault="008365D6" w:rsidP="00E11FF7">
      <w:pPr>
        <w:pStyle w:val="HChG"/>
      </w:pPr>
      <w:r w:rsidRPr="008365D6">
        <w:tab/>
        <w:t>XXII.</w:t>
      </w:r>
      <w:r w:rsidRPr="008365D6">
        <w:tab/>
        <w:t>Ordre du jour provisoire de la 116</w:t>
      </w:r>
      <w:r w:rsidRPr="008365D6">
        <w:rPr>
          <w:vertAlign w:val="superscript"/>
        </w:rPr>
        <w:t>e</w:t>
      </w:r>
      <w:r w:rsidR="00E11FF7">
        <w:t> </w:t>
      </w:r>
      <w:r w:rsidRPr="008365D6">
        <w:t>session</w:t>
      </w:r>
    </w:p>
    <w:p w14:paraId="46E3D95F" w14:textId="77777777" w:rsidR="008365D6" w:rsidRPr="008365D6" w:rsidRDefault="008365D6" w:rsidP="008365D6">
      <w:pPr>
        <w:pStyle w:val="SingleTxtG"/>
      </w:pPr>
      <w:r w:rsidRPr="008365D6">
        <w:t>70.</w:t>
      </w:r>
      <w:r w:rsidRPr="008365D6">
        <w:tab/>
        <w:t>L’ordre du jour provisoire ci-après a été adopté pour la 116</w:t>
      </w:r>
      <w:r w:rsidRPr="008365D6">
        <w:rPr>
          <w:vertAlign w:val="superscript"/>
        </w:rPr>
        <w:t>e</w:t>
      </w:r>
      <w:r w:rsidRPr="008365D6">
        <w:t> session du Groupe de travail, qui devrait se tenir à Genève du</w:t>
      </w:r>
      <w:r w:rsidR="00E11FF7">
        <w:t> </w:t>
      </w:r>
      <w:r w:rsidRPr="008365D6">
        <w:t>1</w:t>
      </w:r>
      <w:r w:rsidRPr="008365D6">
        <w:rPr>
          <w:vertAlign w:val="superscript"/>
        </w:rPr>
        <w:t>er</w:t>
      </w:r>
      <w:r w:rsidR="00E11FF7">
        <w:t xml:space="preserve"> </w:t>
      </w:r>
      <w:r w:rsidRPr="008365D6">
        <w:t>(à 14</w:t>
      </w:r>
      <w:r w:rsidR="00E11FF7">
        <w:t> </w:t>
      </w:r>
      <w:r w:rsidRPr="008365D6">
        <w:t>h</w:t>
      </w:r>
      <w:r w:rsidR="00E11FF7">
        <w:t> </w:t>
      </w:r>
      <w:r w:rsidRPr="008365D6">
        <w:t>30) au 5 avril (à 12</w:t>
      </w:r>
      <w:r w:rsidR="00E11FF7">
        <w:t> </w:t>
      </w:r>
      <w:r w:rsidRPr="008365D6">
        <w:t>h</w:t>
      </w:r>
      <w:r w:rsidR="00E11FF7">
        <w:t> </w:t>
      </w:r>
      <w:r w:rsidRPr="008365D6">
        <w:t>30) 2019</w:t>
      </w:r>
      <w:r w:rsidRPr="008365D6">
        <w:rPr>
          <w:vertAlign w:val="superscript"/>
        </w:rPr>
        <w:footnoteReference w:id="3"/>
      </w:r>
      <w:r w:rsidR="00E11FF7">
        <w:t> :</w:t>
      </w:r>
    </w:p>
    <w:p w14:paraId="2E16FBE9" w14:textId="77777777" w:rsidR="008365D6" w:rsidRPr="008365D6" w:rsidRDefault="008365D6" w:rsidP="00E11FF7">
      <w:pPr>
        <w:pStyle w:val="SingleTxtG"/>
        <w:ind w:left="2268" w:hanging="567"/>
      </w:pPr>
      <w:r w:rsidRPr="008365D6">
        <w:t>1.</w:t>
      </w:r>
      <w:r w:rsidRPr="008365D6">
        <w:tab/>
        <w:t>Adoption de l’ordre du jour.</w:t>
      </w:r>
    </w:p>
    <w:p w14:paraId="42CAF0C9" w14:textId="77777777" w:rsidR="008365D6" w:rsidRPr="008365D6" w:rsidRDefault="008365D6" w:rsidP="00E11FF7">
      <w:pPr>
        <w:pStyle w:val="SingleTxtG"/>
        <w:ind w:left="2268" w:hanging="567"/>
      </w:pPr>
      <w:r w:rsidRPr="008365D6">
        <w:t>2.</w:t>
      </w:r>
      <w:r w:rsidRPr="008365D6">
        <w:tab/>
        <w:t>Modifications aux règlements sur les autobus et les autocars :</w:t>
      </w:r>
    </w:p>
    <w:p w14:paraId="7E84325F" w14:textId="77777777" w:rsidR="008365D6" w:rsidRPr="008365D6" w:rsidRDefault="008365D6" w:rsidP="00E11FF7">
      <w:pPr>
        <w:pStyle w:val="SingleTxtG"/>
        <w:ind w:left="2268" w:hanging="567"/>
      </w:pPr>
      <w:r w:rsidRPr="008365D6">
        <w:tab/>
        <w:t>a)</w:t>
      </w:r>
      <w:r w:rsidRPr="008365D6">
        <w:tab/>
        <w:t>Règlement ONU n</w:t>
      </w:r>
      <w:r w:rsidRPr="008365D6">
        <w:rPr>
          <w:vertAlign w:val="superscript"/>
        </w:rPr>
        <w:t>o</w:t>
      </w:r>
      <w:r w:rsidR="00E11FF7">
        <w:t> </w:t>
      </w:r>
      <w:r w:rsidRPr="008365D6">
        <w:t>107 (Véhicules des catégories M</w:t>
      </w:r>
      <w:r w:rsidRPr="008365D6">
        <w:rPr>
          <w:vertAlign w:val="subscript"/>
        </w:rPr>
        <w:t>2</w:t>
      </w:r>
      <w:r w:rsidRPr="008365D6">
        <w:t xml:space="preserve"> et M</w:t>
      </w:r>
      <w:r w:rsidRPr="008365D6">
        <w:rPr>
          <w:vertAlign w:val="subscript"/>
        </w:rPr>
        <w:t>3</w:t>
      </w:r>
      <w:r w:rsidRPr="008365D6">
        <w:t>).</w:t>
      </w:r>
    </w:p>
    <w:p w14:paraId="308D612C" w14:textId="77777777" w:rsidR="008365D6" w:rsidRPr="008365D6" w:rsidRDefault="008365D6" w:rsidP="00E11FF7">
      <w:pPr>
        <w:pStyle w:val="SingleTxtG"/>
        <w:ind w:left="2268" w:hanging="567"/>
      </w:pPr>
      <w:r w:rsidRPr="008365D6">
        <w:tab/>
        <w:t>b)</w:t>
      </w:r>
      <w:r w:rsidRPr="008365D6">
        <w:tab/>
        <w:t xml:space="preserve">Règlement ONU </w:t>
      </w:r>
      <w:r w:rsidR="00E11FF7" w:rsidRPr="002D76F4">
        <w:rPr>
          <w:rFonts w:eastAsia="MS Mincho"/>
          <w:szCs w:val="22"/>
        </w:rPr>
        <w:t>n</w:t>
      </w:r>
      <w:r w:rsidR="00E11FF7" w:rsidRPr="002D76F4">
        <w:rPr>
          <w:rFonts w:eastAsia="MS Mincho"/>
          <w:szCs w:val="22"/>
          <w:vertAlign w:val="superscript"/>
        </w:rPr>
        <w:t>o</w:t>
      </w:r>
      <w:r w:rsidR="00E11FF7">
        <w:t> </w:t>
      </w:r>
      <w:r w:rsidRPr="008365D6">
        <w:t>118 (Comportement au feu des matériaux).</w:t>
      </w:r>
    </w:p>
    <w:p w14:paraId="3AD595CC" w14:textId="77777777" w:rsidR="008365D6" w:rsidRPr="008365D6" w:rsidRDefault="008365D6" w:rsidP="00E11FF7">
      <w:pPr>
        <w:pStyle w:val="SingleTxtG"/>
        <w:ind w:left="2268" w:hanging="567"/>
      </w:pPr>
      <w:r w:rsidRPr="008365D6">
        <w:t>3.</w:t>
      </w:r>
      <w:r w:rsidRPr="008365D6">
        <w:tab/>
        <w:t>Règlement ONU n</w:t>
      </w:r>
      <w:r w:rsidRPr="008365D6">
        <w:rPr>
          <w:vertAlign w:val="superscript"/>
        </w:rPr>
        <w:t>o</w:t>
      </w:r>
      <w:r w:rsidR="00E11FF7">
        <w:rPr>
          <w:vertAlign w:val="superscript"/>
        </w:rPr>
        <w:t> </w:t>
      </w:r>
      <w:r w:rsidRPr="008365D6">
        <w:t>26 (Saillies extérieures des voitures particulières).</w:t>
      </w:r>
    </w:p>
    <w:p w14:paraId="2EE09185" w14:textId="77777777" w:rsidR="008365D6" w:rsidRPr="008365D6" w:rsidRDefault="008365D6" w:rsidP="00E11FF7">
      <w:pPr>
        <w:pStyle w:val="SingleTxtG"/>
        <w:ind w:left="2268" w:hanging="567"/>
      </w:pPr>
      <w:r w:rsidRPr="008365D6">
        <w:t>4.</w:t>
      </w:r>
      <w:r w:rsidRPr="008365D6">
        <w:tab/>
        <w:t>Règlement ONU n</w:t>
      </w:r>
      <w:r w:rsidRPr="008365D6">
        <w:rPr>
          <w:vertAlign w:val="superscript"/>
        </w:rPr>
        <w:t>o</w:t>
      </w:r>
      <w:r w:rsidR="00E11FF7">
        <w:t> </w:t>
      </w:r>
      <w:r w:rsidRPr="008365D6">
        <w:t>34 (Prévention des risques d’incendie).</w:t>
      </w:r>
    </w:p>
    <w:p w14:paraId="783B700F" w14:textId="77777777" w:rsidR="008365D6" w:rsidRPr="008365D6" w:rsidRDefault="008365D6" w:rsidP="00E11FF7">
      <w:pPr>
        <w:pStyle w:val="SingleTxtG"/>
        <w:ind w:left="2268" w:hanging="567"/>
      </w:pPr>
      <w:r w:rsidRPr="008365D6">
        <w:t>5.</w:t>
      </w:r>
      <w:r w:rsidRPr="008365D6">
        <w:tab/>
        <w:t>Règlement ONU n</w:t>
      </w:r>
      <w:r w:rsidRPr="008365D6">
        <w:rPr>
          <w:vertAlign w:val="superscript"/>
        </w:rPr>
        <w:t>o</w:t>
      </w:r>
      <w:r w:rsidR="00E11FF7">
        <w:t> </w:t>
      </w:r>
      <w:r w:rsidRPr="008365D6">
        <w:t>35 (Disposition des pédales de commande).</w:t>
      </w:r>
    </w:p>
    <w:p w14:paraId="1B46DA00" w14:textId="77777777" w:rsidR="008365D6" w:rsidRPr="008365D6" w:rsidRDefault="008365D6" w:rsidP="00E11FF7">
      <w:pPr>
        <w:pStyle w:val="SingleTxtG"/>
        <w:keepNext/>
        <w:keepLines/>
        <w:ind w:left="2268" w:hanging="567"/>
      </w:pPr>
      <w:r w:rsidRPr="008365D6">
        <w:t>6.</w:t>
      </w:r>
      <w:r w:rsidRPr="008365D6">
        <w:tab/>
        <w:t>Modifications aux règlements sur les vitrages de sécurité :</w:t>
      </w:r>
    </w:p>
    <w:p w14:paraId="0825F0DE" w14:textId="77777777" w:rsidR="008365D6" w:rsidRPr="008365D6" w:rsidRDefault="008365D6" w:rsidP="00E11FF7">
      <w:pPr>
        <w:pStyle w:val="SingleTxtG"/>
        <w:ind w:left="2835" w:hanging="567"/>
      </w:pPr>
      <w:r w:rsidRPr="008365D6">
        <w:t>a)</w:t>
      </w:r>
      <w:r w:rsidRPr="008365D6">
        <w:tab/>
        <w:t xml:space="preserve">Règlement technique mondial </w:t>
      </w:r>
      <w:r w:rsidR="00007C96">
        <w:t xml:space="preserve">ONU </w:t>
      </w:r>
      <w:r w:rsidRPr="008365D6">
        <w:t>n</w:t>
      </w:r>
      <w:r w:rsidRPr="008365D6">
        <w:rPr>
          <w:vertAlign w:val="superscript"/>
        </w:rPr>
        <w:t>o</w:t>
      </w:r>
      <w:r w:rsidR="00E11FF7">
        <w:t> </w:t>
      </w:r>
      <w:r w:rsidRPr="008365D6">
        <w:t>6 (Vitrages de sécurité)</w:t>
      </w:r>
      <w:r w:rsidR="00E11FF7">
        <w:t> ;</w:t>
      </w:r>
    </w:p>
    <w:p w14:paraId="32963756" w14:textId="77777777" w:rsidR="008365D6" w:rsidRPr="008365D6" w:rsidRDefault="008365D6" w:rsidP="00E11FF7">
      <w:pPr>
        <w:pStyle w:val="SingleTxtG"/>
        <w:ind w:left="2835" w:hanging="567"/>
      </w:pPr>
      <w:r w:rsidRPr="008365D6">
        <w:t>b)</w:t>
      </w:r>
      <w:r w:rsidRPr="008365D6">
        <w:tab/>
        <w:t>Règlement ONU n</w:t>
      </w:r>
      <w:r w:rsidRPr="008365D6">
        <w:rPr>
          <w:vertAlign w:val="superscript"/>
        </w:rPr>
        <w:t>o</w:t>
      </w:r>
      <w:r w:rsidR="00E11FF7">
        <w:t> </w:t>
      </w:r>
      <w:r w:rsidRPr="008365D6">
        <w:t>43 (Vitrages de sécurité).</w:t>
      </w:r>
    </w:p>
    <w:p w14:paraId="47D5AB0B" w14:textId="77777777" w:rsidR="008365D6" w:rsidRPr="008365D6" w:rsidRDefault="008365D6" w:rsidP="00E11FF7">
      <w:pPr>
        <w:pStyle w:val="SingleTxtG"/>
        <w:keepNext/>
        <w:keepLines/>
        <w:ind w:left="2268" w:hanging="567"/>
      </w:pPr>
      <w:r w:rsidRPr="008365D6">
        <w:t>7.</w:t>
      </w:r>
      <w:r w:rsidRPr="008365D6">
        <w:tab/>
        <w:t>Sensibilisation à la proximité d’usagers de la route vulnérables :</w:t>
      </w:r>
    </w:p>
    <w:p w14:paraId="6B0FA5CD" w14:textId="77777777" w:rsidR="008365D6" w:rsidRPr="008365D6" w:rsidRDefault="008365D6" w:rsidP="00E11FF7">
      <w:pPr>
        <w:pStyle w:val="SingleTxtG"/>
        <w:ind w:left="2835" w:hanging="567"/>
      </w:pPr>
      <w:r w:rsidRPr="008365D6">
        <w:t>a)</w:t>
      </w:r>
      <w:r w:rsidRPr="008365D6">
        <w:tab/>
        <w:t>Règlement ONU n</w:t>
      </w:r>
      <w:r w:rsidRPr="008365D6">
        <w:rPr>
          <w:vertAlign w:val="superscript"/>
        </w:rPr>
        <w:t>o</w:t>
      </w:r>
      <w:r w:rsidR="00E11FF7">
        <w:t> </w:t>
      </w:r>
      <w:r w:rsidRPr="008365D6">
        <w:t>46 (Dispositifs de vision indirecte)</w:t>
      </w:r>
      <w:r w:rsidR="00E11FF7">
        <w:t> ;</w:t>
      </w:r>
    </w:p>
    <w:p w14:paraId="52589D63" w14:textId="77777777" w:rsidR="008365D6" w:rsidRPr="008365D6" w:rsidRDefault="008365D6" w:rsidP="00E11FF7">
      <w:pPr>
        <w:pStyle w:val="SingleTxtG"/>
        <w:ind w:left="2835" w:hanging="567"/>
      </w:pPr>
      <w:r w:rsidRPr="008365D6">
        <w:t>b)</w:t>
      </w:r>
      <w:r w:rsidRPr="008365D6">
        <w:tab/>
        <w:t>Nouveau règlement ONU sur les systèmes d’information sur l’angle mort.</w:t>
      </w:r>
    </w:p>
    <w:p w14:paraId="2C9AB8CE" w14:textId="77777777" w:rsidR="008365D6" w:rsidRPr="008365D6" w:rsidRDefault="008365D6" w:rsidP="00E11FF7">
      <w:pPr>
        <w:pStyle w:val="SingleTxtG"/>
        <w:ind w:left="2268" w:hanging="567"/>
      </w:pPr>
      <w:r w:rsidRPr="008365D6">
        <w:t>8.</w:t>
      </w:r>
      <w:r w:rsidRPr="008365D6">
        <w:tab/>
        <w:t>Règlement ONU n</w:t>
      </w:r>
      <w:r w:rsidRPr="008365D6">
        <w:rPr>
          <w:vertAlign w:val="superscript"/>
        </w:rPr>
        <w:t>o</w:t>
      </w:r>
      <w:r w:rsidR="00E11FF7">
        <w:t> </w:t>
      </w:r>
      <w:r w:rsidRPr="008365D6">
        <w:t>55 (Pièces mécaniques d’attelage).</w:t>
      </w:r>
    </w:p>
    <w:p w14:paraId="46B08882" w14:textId="77777777" w:rsidR="008365D6" w:rsidRPr="008365D6" w:rsidRDefault="008365D6" w:rsidP="00E11FF7">
      <w:pPr>
        <w:pStyle w:val="SingleTxtG"/>
        <w:ind w:left="2268" w:hanging="567"/>
      </w:pPr>
      <w:r w:rsidRPr="008365D6">
        <w:t>9.</w:t>
      </w:r>
      <w:r w:rsidRPr="008365D6">
        <w:tab/>
        <w:t>Modifications au Règlement sur les véhicules fonctionnant au gaz :</w:t>
      </w:r>
    </w:p>
    <w:p w14:paraId="7D71BC9D" w14:textId="77777777" w:rsidR="008365D6" w:rsidRPr="008365D6" w:rsidRDefault="008365D6" w:rsidP="00E11FF7">
      <w:pPr>
        <w:pStyle w:val="SingleTxtG"/>
        <w:ind w:left="2835" w:hanging="567"/>
      </w:pPr>
      <w:r w:rsidRPr="008365D6">
        <w:t>a)</w:t>
      </w:r>
      <w:r w:rsidRPr="008365D6">
        <w:tab/>
        <w:t>Règlement ONU n</w:t>
      </w:r>
      <w:r w:rsidRPr="008365D6">
        <w:rPr>
          <w:vertAlign w:val="superscript"/>
        </w:rPr>
        <w:t>o</w:t>
      </w:r>
      <w:r w:rsidR="00E11FF7">
        <w:t> </w:t>
      </w:r>
      <w:r w:rsidRPr="008365D6">
        <w:t>67 (Véhicules alimentés au GPL)</w:t>
      </w:r>
      <w:r w:rsidR="00E11FF7">
        <w:t> ;</w:t>
      </w:r>
    </w:p>
    <w:p w14:paraId="0F5DC7A0" w14:textId="77777777" w:rsidR="008365D6" w:rsidRPr="008365D6" w:rsidRDefault="008365D6" w:rsidP="00E11FF7">
      <w:pPr>
        <w:pStyle w:val="SingleTxtG"/>
        <w:ind w:left="2835" w:hanging="567"/>
      </w:pPr>
      <w:r w:rsidRPr="008365D6">
        <w:t>b)</w:t>
      </w:r>
      <w:r w:rsidRPr="008365D6">
        <w:tab/>
        <w:t>Règlement ONU n</w:t>
      </w:r>
      <w:r w:rsidRPr="008365D6">
        <w:rPr>
          <w:vertAlign w:val="superscript"/>
        </w:rPr>
        <w:t>o</w:t>
      </w:r>
      <w:r w:rsidR="00E11FF7">
        <w:t> </w:t>
      </w:r>
      <w:r w:rsidRPr="008365D6">
        <w:t>110 (Véhicules alimentés au GNC/GNL).</w:t>
      </w:r>
    </w:p>
    <w:p w14:paraId="1BC010E1" w14:textId="77777777" w:rsidR="008365D6" w:rsidRPr="008365D6" w:rsidRDefault="008365D6" w:rsidP="00E11FF7">
      <w:pPr>
        <w:pStyle w:val="SingleTxtG"/>
        <w:ind w:left="2268" w:hanging="567"/>
      </w:pPr>
      <w:r w:rsidRPr="008365D6">
        <w:t>10.</w:t>
      </w:r>
      <w:r w:rsidRPr="008365D6">
        <w:tab/>
        <w:t xml:space="preserve">Règlement ONU </w:t>
      </w:r>
      <w:r w:rsidR="00E11FF7" w:rsidRPr="002D76F4">
        <w:rPr>
          <w:rFonts w:eastAsia="MS Mincho"/>
          <w:szCs w:val="22"/>
        </w:rPr>
        <w:t>n</w:t>
      </w:r>
      <w:r w:rsidR="00E11FF7" w:rsidRPr="002D76F4">
        <w:rPr>
          <w:rFonts w:eastAsia="MS Mincho"/>
          <w:szCs w:val="22"/>
          <w:vertAlign w:val="superscript"/>
        </w:rPr>
        <w:t>o</w:t>
      </w:r>
      <w:r w:rsidR="00E11FF7">
        <w:t> </w:t>
      </w:r>
      <w:r w:rsidRPr="008365D6">
        <w:t>73 (Dispositifs de protection latérale).</w:t>
      </w:r>
    </w:p>
    <w:p w14:paraId="325453B7" w14:textId="77777777" w:rsidR="008365D6" w:rsidRPr="008365D6" w:rsidRDefault="008365D6" w:rsidP="00E11FF7">
      <w:pPr>
        <w:pStyle w:val="SingleTxtG"/>
        <w:ind w:left="2268" w:hanging="567"/>
      </w:pPr>
      <w:r w:rsidRPr="008365D6">
        <w:t>11.</w:t>
      </w:r>
      <w:r w:rsidRPr="008365D6">
        <w:tab/>
        <w:t>Règlement ONU n</w:t>
      </w:r>
      <w:r w:rsidRPr="008365D6">
        <w:rPr>
          <w:vertAlign w:val="superscript"/>
        </w:rPr>
        <w:t>o</w:t>
      </w:r>
      <w:r w:rsidR="00E11FF7">
        <w:t> </w:t>
      </w:r>
      <w:r w:rsidRPr="008365D6">
        <w:t>93 (Dispositifs contre l’encastrement à l’avant).</w:t>
      </w:r>
    </w:p>
    <w:p w14:paraId="681C745C" w14:textId="77777777" w:rsidR="008365D6" w:rsidRPr="008365D6" w:rsidRDefault="008365D6" w:rsidP="00E11FF7">
      <w:pPr>
        <w:pStyle w:val="SingleTxtG"/>
        <w:ind w:left="2268" w:hanging="567"/>
      </w:pPr>
      <w:r w:rsidRPr="008365D6">
        <w:t>12.</w:t>
      </w:r>
      <w:r w:rsidRPr="008365D6">
        <w:tab/>
        <w:t>Règlement ONU n</w:t>
      </w:r>
      <w:r w:rsidRPr="008365D6">
        <w:rPr>
          <w:vertAlign w:val="superscript"/>
        </w:rPr>
        <w:t>o</w:t>
      </w:r>
      <w:r w:rsidR="00E11FF7">
        <w:t> </w:t>
      </w:r>
      <w:r w:rsidRPr="008365D6">
        <w:t>116 (Dispositifs antivol et systèmes d’alarme).</w:t>
      </w:r>
    </w:p>
    <w:p w14:paraId="26A8E84E" w14:textId="77777777" w:rsidR="008365D6" w:rsidRPr="008365D6" w:rsidRDefault="008365D6" w:rsidP="00E11FF7">
      <w:pPr>
        <w:pStyle w:val="SingleTxtG"/>
        <w:ind w:left="2268" w:hanging="567"/>
      </w:pPr>
      <w:r w:rsidRPr="008365D6">
        <w:t>13.</w:t>
      </w:r>
      <w:r w:rsidRPr="008365D6">
        <w:tab/>
        <w:t xml:space="preserve">Règlement ONU </w:t>
      </w:r>
      <w:r w:rsidR="00E11FF7" w:rsidRPr="002D76F4">
        <w:rPr>
          <w:rFonts w:eastAsia="MS Mincho"/>
          <w:szCs w:val="22"/>
        </w:rPr>
        <w:t>n</w:t>
      </w:r>
      <w:r w:rsidR="00E11FF7" w:rsidRPr="002D76F4">
        <w:rPr>
          <w:rFonts w:eastAsia="MS Mincho"/>
          <w:szCs w:val="22"/>
          <w:vertAlign w:val="superscript"/>
        </w:rPr>
        <w:t>o</w:t>
      </w:r>
      <w:r w:rsidR="00E11FF7">
        <w:t> </w:t>
      </w:r>
      <w:r w:rsidRPr="008365D6">
        <w:t>121 (Identification des commandes manuelles, des témoins et des indicateurs).</w:t>
      </w:r>
    </w:p>
    <w:p w14:paraId="38E4CDFB" w14:textId="77777777" w:rsidR="008365D6" w:rsidRPr="008365D6" w:rsidRDefault="008365D6" w:rsidP="00E11FF7">
      <w:pPr>
        <w:pStyle w:val="SingleTxtG"/>
        <w:ind w:left="2268" w:hanging="567"/>
      </w:pPr>
      <w:r w:rsidRPr="008365D6">
        <w:t>14.</w:t>
      </w:r>
      <w:r w:rsidRPr="008365D6">
        <w:tab/>
        <w:t xml:space="preserve">Règlement ONU </w:t>
      </w:r>
      <w:r w:rsidR="00E11FF7" w:rsidRPr="002D76F4">
        <w:rPr>
          <w:rFonts w:eastAsia="MS Mincho"/>
          <w:szCs w:val="22"/>
        </w:rPr>
        <w:t>n</w:t>
      </w:r>
      <w:r w:rsidR="00E11FF7" w:rsidRPr="002D76F4">
        <w:rPr>
          <w:rFonts w:eastAsia="MS Mincho"/>
          <w:szCs w:val="22"/>
          <w:vertAlign w:val="superscript"/>
        </w:rPr>
        <w:t>o</w:t>
      </w:r>
      <w:r w:rsidR="00E11FF7">
        <w:t> </w:t>
      </w:r>
      <w:r w:rsidRPr="008365D6">
        <w:t>144 (Systèmes d’appel d’urgence en cas d’accident).</w:t>
      </w:r>
    </w:p>
    <w:p w14:paraId="3CBEE143" w14:textId="77777777" w:rsidR="008365D6" w:rsidRPr="008365D6" w:rsidRDefault="008365D6" w:rsidP="00E11FF7">
      <w:pPr>
        <w:pStyle w:val="SingleTxtG"/>
        <w:ind w:left="2268" w:hanging="567"/>
      </w:pPr>
      <w:r w:rsidRPr="008365D6">
        <w:t>15.</w:t>
      </w:r>
      <w:r w:rsidRPr="008365D6">
        <w:tab/>
        <w:t xml:space="preserve">Règlement ONU </w:t>
      </w:r>
      <w:r w:rsidR="00E11FF7" w:rsidRPr="002D76F4">
        <w:rPr>
          <w:rFonts w:eastAsia="MS Mincho"/>
          <w:szCs w:val="22"/>
        </w:rPr>
        <w:t>n</w:t>
      </w:r>
      <w:r w:rsidR="00E11FF7" w:rsidRPr="002D76F4">
        <w:rPr>
          <w:rFonts w:eastAsia="MS Mincho"/>
          <w:szCs w:val="22"/>
          <w:vertAlign w:val="superscript"/>
        </w:rPr>
        <w:t>o</w:t>
      </w:r>
      <w:r w:rsidR="00E11FF7">
        <w:t> </w:t>
      </w:r>
      <w:r w:rsidRPr="008365D6">
        <w:t>0 (Homologation de type internationale de l’ensemble du véhicule).</w:t>
      </w:r>
    </w:p>
    <w:p w14:paraId="01D4A155" w14:textId="77777777" w:rsidR="008365D6" w:rsidRPr="008365D6" w:rsidRDefault="008365D6" w:rsidP="00E11FF7">
      <w:pPr>
        <w:pStyle w:val="SingleTxtG"/>
        <w:ind w:left="2268" w:hanging="567"/>
      </w:pPr>
      <w:r w:rsidRPr="008365D6">
        <w:t>16.</w:t>
      </w:r>
      <w:r w:rsidRPr="008365D6">
        <w:tab/>
        <w:t>Résolution d’ensemble sur la construction des véhicules (R.E.3).</w:t>
      </w:r>
    </w:p>
    <w:p w14:paraId="553DF320" w14:textId="77777777" w:rsidR="008365D6" w:rsidRPr="008365D6" w:rsidRDefault="008365D6" w:rsidP="00E11FF7">
      <w:pPr>
        <w:pStyle w:val="SingleTxtG"/>
        <w:ind w:left="2268" w:hanging="567"/>
      </w:pPr>
      <w:r w:rsidRPr="008365D6">
        <w:lastRenderedPageBreak/>
        <w:t>17.</w:t>
      </w:r>
      <w:r w:rsidRPr="008365D6">
        <w:tab/>
        <w:t>Enregistreur de données en cas d’accident (EDR).</w:t>
      </w:r>
    </w:p>
    <w:p w14:paraId="44A4E3C6" w14:textId="77777777" w:rsidR="008365D6" w:rsidRPr="008365D6" w:rsidRDefault="008365D6" w:rsidP="00E11FF7">
      <w:pPr>
        <w:pStyle w:val="SingleTxtG"/>
        <w:ind w:left="2268" w:hanging="567"/>
      </w:pPr>
      <w:r w:rsidRPr="008365D6">
        <w:t>18.</w:t>
      </w:r>
      <w:r w:rsidRPr="008365D6">
        <w:tab/>
        <w:t>Échange de vues sur l’automatisation de la visualisation.</w:t>
      </w:r>
    </w:p>
    <w:p w14:paraId="04C308E9" w14:textId="77777777" w:rsidR="008365D6" w:rsidRPr="008365D6" w:rsidRDefault="008365D6" w:rsidP="00E11FF7">
      <w:pPr>
        <w:pStyle w:val="SingleTxtG"/>
        <w:ind w:left="2268" w:hanging="567"/>
      </w:pPr>
      <w:r w:rsidRPr="008365D6">
        <w:t>19.</w:t>
      </w:r>
      <w:r w:rsidRPr="008365D6">
        <w:tab/>
        <w:t>Questions diverses.</w:t>
      </w:r>
    </w:p>
    <w:p w14:paraId="49398E4A" w14:textId="77777777" w:rsidR="008365D6" w:rsidRPr="008365D6" w:rsidRDefault="008365D6" w:rsidP="00E11FF7">
      <w:pPr>
        <w:pStyle w:val="HChG"/>
      </w:pPr>
      <w:r w:rsidRPr="008365D6">
        <w:br w:type="page"/>
      </w:r>
      <w:r w:rsidR="00E11FF7">
        <w:lastRenderedPageBreak/>
        <w:tab/>
      </w:r>
      <w:r w:rsidRPr="008365D6">
        <w:t>Annexe</w:t>
      </w:r>
      <w:r w:rsidR="00E11FF7">
        <w:t> </w:t>
      </w:r>
      <w:r w:rsidRPr="008365D6">
        <w:t>I</w:t>
      </w:r>
    </w:p>
    <w:p w14:paraId="401476D6" w14:textId="77777777" w:rsidR="008365D6" w:rsidRPr="008365D6" w:rsidRDefault="008365D6" w:rsidP="00E11FF7">
      <w:pPr>
        <w:pStyle w:val="HChG"/>
      </w:pPr>
      <w:r w:rsidRPr="008365D6">
        <w:tab/>
      </w:r>
      <w:r w:rsidRPr="008365D6">
        <w:tab/>
        <w:t>Liste des documents informels examinés pendant la session</w:t>
      </w:r>
    </w:p>
    <w:p w14:paraId="6C1FD44B" w14:textId="77777777" w:rsidR="008365D6" w:rsidRPr="008365D6" w:rsidRDefault="008365D6" w:rsidP="00E11FF7">
      <w:pPr>
        <w:pStyle w:val="H1G"/>
      </w:pPr>
      <w:r w:rsidRPr="008365D6">
        <w:tab/>
      </w:r>
      <w:r w:rsidRPr="008365D6">
        <w:tab/>
        <w:t>Liste des documents informels (GRSG-115-...) distribués pendant la session (en anglais seulement)</w:t>
      </w:r>
    </w:p>
    <w:tbl>
      <w:tblPr>
        <w:tblW w:w="8504" w:type="dxa"/>
        <w:tblInd w:w="1134" w:type="dxa"/>
        <w:tblLayout w:type="fixed"/>
        <w:tblCellMar>
          <w:left w:w="0" w:type="dxa"/>
          <w:right w:w="0" w:type="dxa"/>
        </w:tblCellMar>
        <w:tblLook w:val="01E0" w:firstRow="1" w:lastRow="1" w:firstColumn="1" w:lastColumn="1" w:noHBand="0" w:noVBand="0"/>
      </w:tblPr>
      <w:tblGrid>
        <w:gridCol w:w="1820"/>
        <w:gridCol w:w="5675"/>
        <w:gridCol w:w="1009"/>
      </w:tblGrid>
      <w:tr w:rsidR="008365D6" w:rsidRPr="008365D6" w14:paraId="47A18C00" w14:textId="77777777" w:rsidTr="00E11FF7">
        <w:trPr>
          <w:tblHeader/>
        </w:trPr>
        <w:tc>
          <w:tcPr>
            <w:tcW w:w="1820" w:type="dxa"/>
            <w:tcBorders>
              <w:top w:val="single" w:sz="4" w:space="0" w:color="auto"/>
              <w:bottom w:val="single" w:sz="12" w:space="0" w:color="auto"/>
            </w:tcBorders>
            <w:shd w:val="clear" w:color="auto" w:fill="auto"/>
            <w:vAlign w:val="bottom"/>
          </w:tcPr>
          <w:p w14:paraId="1C20384F" w14:textId="77777777" w:rsidR="008365D6" w:rsidRPr="008365D6" w:rsidRDefault="008365D6" w:rsidP="008365D6">
            <w:pPr>
              <w:spacing w:before="80" w:after="80" w:line="200" w:lineRule="exact"/>
              <w:ind w:right="113"/>
              <w:rPr>
                <w:i/>
                <w:sz w:val="16"/>
              </w:rPr>
            </w:pPr>
            <w:r w:rsidRPr="008365D6">
              <w:rPr>
                <w:i/>
                <w:sz w:val="16"/>
              </w:rPr>
              <w:t>N</w:t>
            </w:r>
            <w:r w:rsidRPr="008365D6">
              <w:rPr>
                <w:i/>
                <w:sz w:val="16"/>
                <w:vertAlign w:val="superscript"/>
              </w:rPr>
              <w:t>o</w:t>
            </w:r>
          </w:p>
        </w:tc>
        <w:tc>
          <w:tcPr>
            <w:tcW w:w="5675" w:type="dxa"/>
            <w:tcBorders>
              <w:top w:val="single" w:sz="4" w:space="0" w:color="auto"/>
              <w:bottom w:val="single" w:sz="12" w:space="0" w:color="auto"/>
            </w:tcBorders>
            <w:shd w:val="clear" w:color="auto" w:fill="auto"/>
            <w:vAlign w:val="bottom"/>
          </w:tcPr>
          <w:p w14:paraId="1B1CFA4E" w14:textId="77777777" w:rsidR="008365D6" w:rsidRPr="008365D6" w:rsidRDefault="008365D6" w:rsidP="008365D6">
            <w:pPr>
              <w:spacing w:before="80" w:after="80" w:line="200" w:lineRule="exact"/>
              <w:ind w:right="113"/>
              <w:rPr>
                <w:i/>
                <w:sz w:val="16"/>
              </w:rPr>
            </w:pPr>
            <w:r w:rsidRPr="008365D6">
              <w:rPr>
                <w:i/>
                <w:sz w:val="16"/>
              </w:rPr>
              <w:t>(Auteur) Titre</w:t>
            </w:r>
          </w:p>
        </w:tc>
        <w:tc>
          <w:tcPr>
            <w:tcW w:w="1009" w:type="dxa"/>
            <w:tcBorders>
              <w:top w:val="single" w:sz="4" w:space="0" w:color="auto"/>
              <w:bottom w:val="single" w:sz="12" w:space="0" w:color="auto"/>
            </w:tcBorders>
            <w:shd w:val="clear" w:color="auto" w:fill="auto"/>
            <w:vAlign w:val="bottom"/>
          </w:tcPr>
          <w:p w14:paraId="41BB4060" w14:textId="77777777" w:rsidR="008365D6" w:rsidRPr="008365D6" w:rsidRDefault="008365D6" w:rsidP="008365D6">
            <w:pPr>
              <w:spacing w:before="80" w:after="80" w:line="200" w:lineRule="exact"/>
              <w:ind w:right="113"/>
              <w:rPr>
                <w:i/>
                <w:sz w:val="16"/>
              </w:rPr>
            </w:pPr>
            <w:r w:rsidRPr="008365D6">
              <w:rPr>
                <w:i/>
                <w:sz w:val="16"/>
              </w:rPr>
              <w:t>Suivi</w:t>
            </w:r>
          </w:p>
        </w:tc>
      </w:tr>
      <w:tr w:rsidR="008365D6" w:rsidRPr="008365D6" w14:paraId="76E4605F" w14:textId="77777777" w:rsidTr="00E11FF7">
        <w:trPr>
          <w:trHeight w:hRule="exact" w:val="113"/>
          <w:tblHeader/>
        </w:trPr>
        <w:tc>
          <w:tcPr>
            <w:tcW w:w="1820" w:type="dxa"/>
            <w:tcBorders>
              <w:top w:val="single" w:sz="12" w:space="0" w:color="auto"/>
            </w:tcBorders>
            <w:shd w:val="clear" w:color="auto" w:fill="auto"/>
          </w:tcPr>
          <w:p w14:paraId="1B84AFC6" w14:textId="77777777" w:rsidR="008365D6" w:rsidRPr="008365D6" w:rsidRDefault="008365D6" w:rsidP="008365D6">
            <w:pPr>
              <w:spacing w:before="40" w:after="120"/>
              <w:ind w:right="113"/>
            </w:pPr>
          </w:p>
        </w:tc>
        <w:tc>
          <w:tcPr>
            <w:tcW w:w="5675" w:type="dxa"/>
            <w:tcBorders>
              <w:top w:val="single" w:sz="12" w:space="0" w:color="auto"/>
            </w:tcBorders>
            <w:shd w:val="clear" w:color="auto" w:fill="auto"/>
          </w:tcPr>
          <w:p w14:paraId="4C57F541" w14:textId="77777777" w:rsidR="008365D6" w:rsidRPr="008365D6" w:rsidRDefault="008365D6" w:rsidP="008365D6">
            <w:pPr>
              <w:spacing w:before="40" w:after="120"/>
              <w:ind w:right="113"/>
            </w:pPr>
          </w:p>
        </w:tc>
        <w:tc>
          <w:tcPr>
            <w:tcW w:w="1009" w:type="dxa"/>
            <w:tcBorders>
              <w:top w:val="single" w:sz="12" w:space="0" w:color="auto"/>
            </w:tcBorders>
            <w:shd w:val="clear" w:color="auto" w:fill="auto"/>
          </w:tcPr>
          <w:p w14:paraId="65688C89" w14:textId="77777777" w:rsidR="008365D6" w:rsidRPr="008365D6" w:rsidRDefault="008365D6" w:rsidP="008365D6">
            <w:pPr>
              <w:spacing w:before="40" w:after="120"/>
              <w:ind w:right="113"/>
            </w:pPr>
          </w:p>
        </w:tc>
      </w:tr>
      <w:tr w:rsidR="008365D6" w:rsidRPr="00FD7066" w14:paraId="07078E0E" w14:textId="77777777" w:rsidTr="00E11FF7">
        <w:tc>
          <w:tcPr>
            <w:tcW w:w="1820" w:type="dxa"/>
            <w:shd w:val="clear" w:color="auto" w:fill="auto"/>
          </w:tcPr>
          <w:p w14:paraId="32521F56" w14:textId="77777777" w:rsidR="008365D6" w:rsidRPr="00FD7066" w:rsidRDefault="008365D6" w:rsidP="008365D6">
            <w:pPr>
              <w:spacing w:before="40" w:after="120"/>
              <w:ind w:right="113"/>
              <w:rPr>
                <w:sz w:val="18"/>
                <w:szCs w:val="18"/>
              </w:rPr>
            </w:pPr>
            <w:r w:rsidRPr="00FD7066">
              <w:rPr>
                <w:sz w:val="18"/>
                <w:szCs w:val="18"/>
              </w:rPr>
              <w:t>1</w:t>
            </w:r>
          </w:p>
        </w:tc>
        <w:tc>
          <w:tcPr>
            <w:tcW w:w="5675" w:type="dxa"/>
            <w:shd w:val="clear" w:color="auto" w:fill="auto"/>
          </w:tcPr>
          <w:p w14:paraId="138905C7" w14:textId="77777777" w:rsidR="008365D6" w:rsidRPr="00FD7066" w:rsidRDefault="008365D6" w:rsidP="008365D6">
            <w:pPr>
              <w:spacing w:before="40" w:after="120"/>
              <w:ind w:right="113"/>
              <w:rPr>
                <w:sz w:val="18"/>
                <w:szCs w:val="18"/>
                <w:lang w:val="en-US"/>
              </w:rPr>
            </w:pPr>
            <w:r w:rsidRPr="00FD7066">
              <w:rPr>
                <w:sz w:val="18"/>
                <w:szCs w:val="18"/>
                <w:lang w:val="en-US"/>
              </w:rPr>
              <w:t>(</w:t>
            </w:r>
            <w:proofErr w:type="spellStart"/>
            <w:r w:rsidRPr="00FD7066">
              <w:rPr>
                <w:sz w:val="18"/>
                <w:szCs w:val="18"/>
                <w:lang w:val="en-US"/>
              </w:rPr>
              <w:t>Président</w:t>
            </w:r>
            <w:proofErr w:type="spellEnd"/>
            <w:r w:rsidRPr="00FD7066">
              <w:rPr>
                <w:sz w:val="18"/>
                <w:szCs w:val="18"/>
                <w:lang w:val="en-US"/>
              </w:rPr>
              <w:t xml:space="preserve"> du GRSG) Running order of the 115th session of GRSG </w:t>
            </w:r>
            <w:r w:rsidR="00D5525A">
              <w:rPr>
                <w:sz w:val="18"/>
                <w:szCs w:val="18"/>
                <w:lang w:val="en-US"/>
              </w:rPr>
              <w:br/>
            </w:r>
            <w:r w:rsidRPr="00FD7066">
              <w:rPr>
                <w:sz w:val="18"/>
                <w:szCs w:val="18"/>
                <w:lang w:val="en-US"/>
              </w:rPr>
              <w:t>(9</w:t>
            </w:r>
            <w:r w:rsidR="00FD7066" w:rsidRPr="00FD7066">
              <w:rPr>
                <w:sz w:val="18"/>
                <w:szCs w:val="18"/>
                <w:lang w:val="en-US"/>
              </w:rPr>
              <w:t>-</w:t>
            </w:r>
            <w:r w:rsidRPr="00FD7066">
              <w:rPr>
                <w:sz w:val="18"/>
                <w:szCs w:val="18"/>
                <w:lang w:val="en-US"/>
              </w:rPr>
              <w:t>12 October 2018)</w:t>
            </w:r>
          </w:p>
        </w:tc>
        <w:tc>
          <w:tcPr>
            <w:tcW w:w="1009" w:type="dxa"/>
            <w:shd w:val="clear" w:color="auto" w:fill="auto"/>
          </w:tcPr>
          <w:p w14:paraId="0AAF6D7A"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35572609" w14:textId="77777777" w:rsidTr="00E11FF7">
        <w:tc>
          <w:tcPr>
            <w:tcW w:w="1820" w:type="dxa"/>
            <w:shd w:val="clear" w:color="auto" w:fill="auto"/>
          </w:tcPr>
          <w:p w14:paraId="47E1736C" w14:textId="77777777" w:rsidR="008365D6" w:rsidRPr="00FD7066" w:rsidRDefault="008365D6" w:rsidP="008365D6">
            <w:pPr>
              <w:spacing w:before="40" w:after="120"/>
              <w:ind w:right="113"/>
              <w:rPr>
                <w:sz w:val="18"/>
                <w:szCs w:val="18"/>
              </w:rPr>
            </w:pPr>
            <w:r w:rsidRPr="00FD7066">
              <w:rPr>
                <w:sz w:val="18"/>
                <w:szCs w:val="18"/>
              </w:rPr>
              <w:t>2-Rev.1</w:t>
            </w:r>
          </w:p>
        </w:tc>
        <w:tc>
          <w:tcPr>
            <w:tcW w:w="5675" w:type="dxa"/>
            <w:shd w:val="clear" w:color="auto" w:fill="auto"/>
          </w:tcPr>
          <w:p w14:paraId="2F15C2E3" w14:textId="77777777" w:rsidR="008365D6" w:rsidRPr="00FD7066" w:rsidRDefault="008365D6" w:rsidP="008365D6">
            <w:pPr>
              <w:spacing w:before="40" w:after="120"/>
              <w:ind w:right="113"/>
              <w:rPr>
                <w:sz w:val="18"/>
                <w:szCs w:val="18"/>
                <w:lang w:val="en-US"/>
              </w:rPr>
            </w:pPr>
            <w:r w:rsidRPr="00FD7066">
              <w:rPr>
                <w:sz w:val="18"/>
                <w:szCs w:val="18"/>
                <w:lang w:val="en-US"/>
              </w:rPr>
              <w:t>(Secrétariat) General information and highlights of WP.29 at its session of June 2018</w:t>
            </w:r>
          </w:p>
        </w:tc>
        <w:tc>
          <w:tcPr>
            <w:tcW w:w="1009" w:type="dxa"/>
            <w:shd w:val="clear" w:color="auto" w:fill="auto"/>
          </w:tcPr>
          <w:p w14:paraId="70E25155"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20EAFF1F" w14:textId="77777777" w:rsidTr="00E11FF7">
        <w:tc>
          <w:tcPr>
            <w:tcW w:w="1820" w:type="dxa"/>
            <w:shd w:val="clear" w:color="auto" w:fill="auto"/>
          </w:tcPr>
          <w:p w14:paraId="6B5B005B" w14:textId="77777777" w:rsidR="008365D6" w:rsidRPr="00FD7066" w:rsidRDefault="008365D6" w:rsidP="008365D6">
            <w:pPr>
              <w:spacing w:before="40" w:after="120"/>
              <w:ind w:right="113"/>
              <w:rPr>
                <w:sz w:val="18"/>
                <w:szCs w:val="18"/>
              </w:rPr>
            </w:pPr>
            <w:r w:rsidRPr="00FD7066">
              <w:rPr>
                <w:sz w:val="18"/>
                <w:szCs w:val="18"/>
              </w:rPr>
              <w:t>3</w:t>
            </w:r>
          </w:p>
        </w:tc>
        <w:tc>
          <w:tcPr>
            <w:tcW w:w="5675" w:type="dxa"/>
            <w:shd w:val="clear" w:color="auto" w:fill="auto"/>
          </w:tcPr>
          <w:p w14:paraId="1D29A224" w14:textId="77777777" w:rsidR="008365D6" w:rsidRPr="00FD7066" w:rsidRDefault="008365D6" w:rsidP="008365D6">
            <w:pPr>
              <w:spacing w:before="40" w:after="120"/>
              <w:ind w:right="113"/>
              <w:rPr>
                <w:sz w:val="18"/>
                <w:szCs w:val="18"/>
                <w:lang w:val="en-US"/>
              </w:rPr>
            </w:pPr>
            <w:r w:rsidRPr="00FD7066">
              <w:rPr>
                <w:sz w:val="18"/>
                <w:szCs w:val="18"/>
                <w:lang w:val="en-US"/>
              </w:rPr>
              <w:t>(</w:t>
            </w:r>
            <w:proofErr w:type="spellStart"/>
            <w:r w:rsidRPr="00FD7066">
              <w:rPr>
                <w:sz w:val="18"/>
                <w:szCs w:val="18"/>
                <w:lang w:val="en-US"/>
              </w:rPr>
              <w:t>Secrétariat</w:t>
            </w:r>
            <w:proofErr w:type="spellEnd"/>
            <w:r w:rsidRPr="00FD7066">
              <w:rPr>
                <w:sz w:val="18"/>
                <w:szCs w:val="18"/>
                <w:lang w:val="en-US"/>
              </w:rPr>
              <w:t xml:space="preserve">) Proposal for a corrigendum to Revision 3 </w:t>
            </w:r>
            <w:r w:rsidR="00D5525A">
              <w:rPr>
                <w:sz w:val="18"/>
                <w:szCs w:val="18"/>
                <w:lang w:val="en-US"/>
              </w:rPr>
              <w:br/>
            </w:r>
            <w:r w:rsidRPr="00FD7066">
              <w:rPr>
                <w:sz w:val="18"/>
                <w:szCs w:val="18"/>
                <w:lang w:val="en-US"/>
              </w:rPr>
              <w:t>of UN Regulation No. 58</w:t>
            </w:r>
          </w:p>
        </w:tc>
        <w:tc>
          <w:tcPr>
            <w:tcW w:w="1009" w:type="dxa"/>
            <w:shd w:val="clear" w:color="auto" w:fill="auto"/>
          </w:tcPr>
          <w:p w14:paraId="613DF4F3" w14:textId="77777777" w:rsidR="008365D6" w:rsidRPr="00FD7066" w:rsidRDefault="008365D6" w:rsidP="008365D6">
            <w:pPr>
              <w:spacing w:before="40" w:after="120"/>
              <w:ind w:right="113"/>
              <w:rPr>
                <w:sz w:val="18"/>
                <w:szCs w:val="18"/>
              </w:rPr>
            </w:pPr>
            <w:r w:rsidRPr="00FD7066">
              <w:rPr>
                <w:sz w:val="18"/>
                <w:szCs w:val="18"/>
              </w:rPr>
              <w:t>(a)</w:t>
            </w:r>
          </w:p>
        </w:tc>
      </w:tr>
      <w:tr w:rsidR="008365D6" w:rsidRPr="00FD7066" w14:paraId="59222778" w14:textId="77777777" w:rsidTr="00E11FF7">
        <w:tc>
          <w:tcPr>
            <w:tcW w:w="1820" w:type="dxa"/>
            <w:shd w:val="clear" w:color="auto" w:fill="auto"/>
          </w:tcPr>
          <w:p w14:paraId="724A10DD" w14:textId="77777777" w:rsidR="008365D6" w:rsidRPr="00FD7066" w:rsidRDefault="008365D6" w:rsidP="008365D6">
            <w:pPr>
              <w:spacing w:before="40" w:after="120"/>
              <w:ind w:right="113"/>
              <w:rPr>
                <w:sz w:val="18"/>
                <w:szCs w:val="18"/>
              </w:rPr>
            </w:pPr>
            <w:r w:rsidRPr="00FD7066">
              <w:rPr>
                <w:sz w:val="18"/>
                <w:szCs w:val="18"/>
              </w:rPr>
              <w:t>4</w:t>
            </w:r>
          </w:p>
        </w:tc>
        <w:tc>
          <w:tcPr>
            <w:tcW w:w="5675" w:type="dxa"/>
            <w:shd w:val="clear" w:color="auto" w:fill="auto"/>
          </w:tcPr>
          <w:p w14:paraId="1E75EEDD" w14:textId="77777777" w:rsidR="008365D6" w:rsidRPr="00FD7066" w:rsidRDefault="008365D6" w:rsidP="008365D6">
            <w:pPr>
              <w:spacing w:before="40" w:after="120"/>
              <w:ind w:right="113"/>
              <w:rPr>
                <w:sz w:val="18"/>
                <w:szCs w:val="18"/>
                <w:lang w:val="en-US"/>
              </w:rPr>
            </w:pPr>
            <w:r w:rsidRPr="00FD7066">
              <w:rPr>
                <w:sz w:val="18"/>
                <w:szCs w:val="18"/>
                <w:lang w:val="en-US"/>
              </w:rPr>
              <w:t>(Norvège) Collision protection of the front section on buses</w:t>
            </w:r>
          </w:p>
        </w:tc>
        <w:tc>
          <w:tcPr>
            <w:tcW w:w="1009" w:type="dxa"/>
            <w:shd w:val="clear" w:color="auto" w:fill="auto"/>
          </w:tcPr>
          <w:p w14:paraId="2D596270" w14:textId="77777777" w:rsidR="008365D6" w:rsidRPr="00FD7066" w:rsidRDefault="008365D6" w:rsidP="008365D6">
            <w:pPr>
              <w:spacing w:before="40" w:after="120"/>
              <w:ind w:right="113"/>
              <w:rPr>
                <w:sz w:val="18"/>
                <w:szCs w:val="18"/>
              </w:rPr>
            </w:pPr>
            <w:r w:rsidRPr="00FD7066">
              <w:rPr>
                <w:sz w:val="18"/>
                <w:szCs w:val="18"/>
              </w:rPr>
              <w:t>(d)</w:t>
            </w:r>
          </w:p>
        </w:tc>
      </w:tr>
      <w:tr w:rsidR="008365D6" w:rsidRPr="00FD7066" w14:paraId="6175A339" w14:textId="77777777" w:rsidTr="00E11FF7">
        <w:tc>
          <w:tcPr>
            <w:tcW w:w="1820" w:type="dxa"/>
            <w:shd w:val="clear" w:color="auto" w:fill="auto"/>
          </w:tcPr>
          <w:p w14:paraId="0E511D0F" w14:textId="77777777" w:rsidR="008365D6" w:rsidRPr="00FD7066" w:rsidRDefault="008365D6" w:rsidP="008365D6">
            <w:pPr>
              <w:spacing w:before="40" w:after="120"/>
              <w:ind w:right="113"/>
              <w:rPr>
                <w:sz w:val="18"/>
                <w:szCs w:val="18"/>
              </w:rPr>
            </w:pPr>
            <w:r w:rsidRPr="00FD7066">
              <w:rPr>
                <w:sz w:val="18"/>
                <w:szCs w:val="18"/>
              </w:rPr>
              <w:t>5</w:t>
            </w:r>
          </w:p>
        </w:tc>
        <w:tc>
          <w:tcPr>
            <w:tcW w:w="5675" w:type="dxa"/>
            <w:shd w:val="clear" w:color="auto" w:fill="auto"/>
          </w:tcPr>
          <w:p w14:paraId="58D48298" w14:textId="77777777" w:rsidR="008365D6" w:rsidRPr="00FD7066" w:rsidRDefault="008365D6" w:rsidP="008365D6">
            <w:pPr>
              <w:spacing w:before="40" w:after="120"/>
              <w:ind w:right="113"/>
              <w:rPr>
                <w:sz w:val="18"/>
                <w:szCs w:val="18"/>
                <w:lang w:val="en-US"/>
              </w:rPr>
            </w:pPr>
            <w:r w:rsidRPr="00FD7066">
              <w:rPr>
                <w:sz w:val="18"/>
                <w:szCs w:val="18"/>
                <w:lang w:val="en-US"/>
              </w:rPr>
              <w:t>(</w:t>
            </w:r>
            <w:proofErr w:type="spellStart"/>
            <w:r w:rsidRPr="00FD7066">
              <w:rPr>
                <w:sz w:val="18"/>
                <w:szCs w:val="18"/>
                <w:lang w:val="en-US"/>
              </w:rPr>
              <w:t>Allemagne</w:t>
            </w:r>
            <w:proofErr w:type="spellEnd"/>
            <w:r w:rsidRPr="00FD7066">
              <w:rPr>
                <w:sz w:val="18"/>
                <w:szCs w:val="18"/>
                <w:lang w:val="en-US"/>
              </w:rPr>
              <w:t xml:space="preserve">) Report : Second meeting of the GRSG task force </w:t>
            </w:r>
            <w:r w:rsidR="00D5525A">
              <w:rPr>
                <w:sz w:val="18"/>
                <w:szCs w:val="18"/>
                <w:lang w:val="en-US"/>
              </w:rPr>
              <w:br/>
            </w:r>
            <w:r w:rsidRPr="00FD7066">
              <w:rPr>
                <w:sz w:val="18"/>
                <w:szCs w:val="18"/>
                <w:lang w:val="en-US"/>
              </w:rPr>
              <w:t xml:space="preserve">on </w:t>
            </w:r>
            <w:r w:rsidR="00FD7066" w:rsidRPr="00FD7066">
              <w:rPr>
                <w:sz w:val="18"/>
                <w:szCs w:val="18"/>
                <w:lang w:val="en-US"/>
              </w:rPr>
              <w:t>“</w:t>
            </w:r>
            <w:r w:rsidRPr="00FD7066">
              <w:rPr>
                <w:sz w:val="18"/>
                <w:szCs w:val="18"/>
                <w:lang w:val="en-US"/>
              </w:rPr>
              <w:t>gas-fueled vehicle regulations</w:t>
            </w:r>
            <w:r w:rsidR="00FD7066" w:rsidRPr="00FD7066">
              <w:rPr>
                <w:sz w:val="18"/>
                <w:szCs w:val="18"/>
                <w:lang w:val="en-US"/>
              </w:rPr>
              <w:t>”</w:t>
            </w:r>
          </w:p>
        </w:tc>
        <w:tc>
          <w:tcPr>
            <w:tcW w:w="1009" w:type="dxa"/>
            <w:shd w:val="clear" w:color="auto" w:fill="auto"/>
          </w:tcPr>
          <w:p w14:paraId="6BA2D942"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0C39E04A" w14:textId="77777777" w:rsidTr="00E11FF7">
        <w:tc>
          <w:tcPr>
            <w:tcW w:w="1820" w:type="dxa"/>
            <w:shd w:val="clear" w:color="auto" w:fill="auto"/>
          </w:tcPr>
          <w:p w14:paraId="7903B16C" w14:textId="77777777" w:rsidR="008365D6" w:rsidRPr="00FD7066" w:rsidRDefault="008365D6" w:rsidP="008365D6">
            <w:pPr>
              <w:spacing w:before="40" w:after="120"/>
              <w:ind w:right="113"/>
              <w:rPr>
                <w:sz w:val="18"/>
                <w:szCs w:val="18"/>
              </w:rPr>
            </w:pPr>
            <w:r w:rsidRPr="00FD7066">
              <w:rPr>
                <w:sz w:val="18"/>
                <w:szCs w:val="18"/>
              </w:rPr>
              <w:t>6</w:t>
            </w:r>
          </w:p>
        </w:tc>
        <w:tc>
          <w:tcPr>
            <w:tcW w:w="5675" w:type="dxa"/>
            <w:shd w:val="clear" w:color="auto" w:fill="auto"/>
          </w:tcPr>
          <w:p w14:paraId="1DBA75C5" w14:textId="77777777" w:rsidR="008365D6" w:rsidRPr="00FD7066" w:rsidRDefault="008365D6" w:rsidP="008365D6">
            <w:pPr>
              <w:spacing w:before="40" w:after="120"/>
              <w:ind w:right="113"/>
              <w:rPr>
                <w:sz w:val="18"/>
                <w:szCs w:val="18"/>
                <w:lang w:val="en-US"/>
              </w:rPr>
            </w:pPr>
            <w:r w:rsidRPr="00FD7066">
              <w:rPr>
                <w:sz w:val="18"/>
                <w:szCs w:val="18"/>
                <w:lang w:val="en-US"/>
              </w:rPr>
              <w:t>(Pays-Bas et NGV Global) Suggestion for changes to ECE/TRANS/WP.29/GRSG/2018/16 (proposed amendments to UN Regulation No.</w:t>
            </w:r>
            <w:r w:rsidR="00FD7066" w:rsidRPr="00FD7066">
              <w:rPr>
                <w:sz w:val="18"/>
                <w:szCs w:val="18"/>
                <w:lang w:val="en-US"/>
              </w:rPr>
              <w:t> </w:t>
            </w:r>
            <w:r w:rsidRPr="00FD7066">
              <w:rPr>
                <w:sz w:val="18"/>
                <w:szCs w:val="18"/>
                <w:lang w:val="en-US"/>
              </w:rPr>
              <w:t>110 (CNG and LNG vehicles) submitted by Italy)</w:t>
            </w:r>
          </w:p>
        </w:tc>
        <w:tc>
          <w:tcPr>
            <w:tcW w:w="1009" w:type="dxa"/>
            <w:shd w:val="clear" w:color="auto" w:fill="auto"/>
          </w:tcPr>
          <w:p w14:paraId="1544D206" w14:textId="77777777" w:rsidR="008365D6" w:rsidRPr="00FD7066" w:rsidRDefault="008365D6" w:rsidP="008365D6">
            <w:pPr>
              <w:spacing w:before="40" w:after="120"/>
              <w:ind w:right="113"/>
              <w:rPr>
                <w:sz w:val="18"/>
                <w:szCs w:val="18"/>
              </w:rPr>
            </w:pPr>
            <w:r w:rsidRPr="00FD7066">
              <w:rPr>
                <w:sz w:val="18"/>
                <w:szCs w:val="18"/>
              </w:rPr>
              <w:t>(b)</w:t>
            </w:r>
          </w:p>
        </w:tc>
      </w:tr>
      <w:tr w:rsidR="008365D6" w:rsidRPr="00FD7066" w14:paraId="44E9E753" w14:textId="77777777" w:rsidTr="00E11FF7">
        <w:tc>
          <w:tcPr>
            <w:tcW w:w="1820" w:type="dxa"/>
            <w:shd w:val="clear" w:color="auto" w:fill="auto"/>
          </w:tcPr>
          <w:p w14:paraId="235E1B86" w14:textId="77777777" w:rsidR="008365D6" w:rsidRPr="00FD7066" w:rsidRDefault="008365D6" w:rsidP="008365D6">
            <w:pPr>
              <w:spacing w:before="40" w:after="120"/>
              <w:ind w:right="113"/>
              <w:rPr>
                <w:sz w:val="18"/>
                <w:szCs w:val="18"/>
              </w:rPr>
            </w:pPr>
            <w:r w:rsidRPr="00FD7066">
              <w:rPr>
                <w:sz w:val="18"/>
                <w:szCs w:val="18"/>
              </w:rPr>
              <w:t>7</w:t>
            </w:r>
          </w:p>
        </w:tc>
        <w:tc>
          <w:tcPr>
            <w:tcW w:w="5675" w:type="dxa"/>
            <w:shd w:val="clear" w:color="auto" w:fill="auto"/>
          </w:tcPr>
          <w:p w14:paraId="6C52B6B3" w14:textId="77777777" w:rsidR="008365D6" w:rsidRPr="00FD7066" w:rsidRDefault="008365D6" w:rsidP="008365D6">
            <w:pPr>
              <w:spacing w:before="40" w:after="120"/>
              <w:ind w:right="113"/>
              <w:rPr>
                <w:sz w:val="18"/>
                <w:szCs w:val="18"/>
                <w:lang w:val="en-US"/>
              </w:rPr>
            </w:pPr>
            <w:r w:rsidRPr="00FD7066">
              <w:rPr>
                <w:sz w:val="18"/>
                <w:szCs w:val="18"/>
                <w:lang w:val="en-US"/>
              </w:rPr>
              <w:t>(France) Behaviour of M</w:t>
            </w:r>
            <w:r w:rsidRPr="00FD7066">
              <w:rPr>
                <w:sz w:val="18"/>
                <w:szCs w:val="18"/>
                <w:vertAlign w:val="subscript"/>
                <w:lang w:val="en-US"/>
              </w:rPr>
              <w:t>2</w:t>
            </w:r>
            <w:r w:rsidRPr="00FD7066">
              <w:rPr>
                <w:sz w:val="18"/>
                <w:szCs w:val="18"/>
                <w:lang w:val="en-US"/>
              </w:rPr>
              <w:t xml:space="preserve"> and M</w:t>
            </w:r>
            <w:r w:rsidRPr="00FD7066">
              <w:rPr>
                <w:sz w:val="18"/>
                <w:szCs w:val="18"/>
                <w:vertAlign w:val="subscript"/>
                <w:lang w:val="en-US"/>
              </w:rPr>
              <w:t>3</w:t>
            </w:r>
            <w:r w:rsidRPr="00FD7066">
              <w:rPr>
                <w:sz w:val="18"/>
                <w:szCs w:val="18"/>
                <w:lang w:val="en-US"/>
              </w:rPr>
              <w:t xml:space="preserve"> general construction in case of Fire Event (BMFE)</w:t>
            </w:r>
          </w:p>
        </w:tc>
        <w:tc>
          <w:tcPr>
            <w:tcW w:w="1009" w:type="dxa"/>
            <w:shd w:val="clear" w:color="auto" w:fill="auto"/>
          </w:tcPr>
          <w:p w14:paraId="3C37D4C2"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323D238C" w14:textId="77777777" w:rsidTr="00E11FF7">
        <w:tc>
          <w:tcPr>
            <w:tcW w:w="1820" w:type="dxa"/>
            <w:shd w:val="clear" w:color="auto" w:fill="auto"/>
          </w:tcPr>
          <w:p w14:paraId="5C5C349E" w14:textId="77777777" w:rsidR="008365D6" w:rsidRPr="00FD7066" w:rsidRDefault="008365D6" w:rsidP="008365D6">
            <w:pPr>
              <w:spacing w:before="40" w:after="120"/>
              <w:ind w:right="113"/>
              <w:rPr>
                <w:sz w:val="18"/>
                <w:szCs w:val="18"/>
              </w:rPr>
            </w:pPr>
            <w:r w:rsidRPr="00FD7066">
              <w:rPr>
                <w:sz w:val="18"/>
                <w:szCs w:val="18"/>
              </w:rPr>
              <w:t>8</w:t>
            </w:r>
          </w:p>
        </w:tc>
        <w:tc>
          <w:tcPr>
            <w:tcW w:w="5675" w:type="dxa"/>
            <w:shd w:val="clear" w:color="auto" w:fill="auto"/>
          </w:tcPr>
          <w:p w14:paraId="585B6697" w14:textId="77777777" w:rsidR="008365D6" w:rsidRPr="00FD7066" w:rsidRDefault="008365D6" w:rsidP="008365D6">
            <w:pPr>
              <w:spacing w:before="40" w:after="120"/>
              <w:ind w:right="113"/>
              <w:rPr>
                <w:sz w:val="18"/>
                <w:szCs w:val="18"/>
                <w:lang w:val="en-US"/>
              </w:rPr>
            </w:pPr>
            <w:r w:rsidRPr="00FD7066">
              <w:rPr>
                <w:sz w:val="18"/>
                <w:szCs w:val="18"/>
                <w:lang w:val="en-US"/>
              </w:rPr>
              <w:t>(France) Suggestion for changes to ECE/TRANS/WP.29/GRSG/2018/17 (proposed amendments to UN Regulation No.</w:t>
            </w:r>
            <w:r w:rsidR="00FD7066" w:rsidRPr="00FD7066">
              <w:rPr>
                <w:sz w:val="18"/>
                <w:szCs w:val="18"/>
                <w:lang w:val="en-US"/>
              </w:rPr>
              <w:t> </w:t>
            </w:r>
            <w:r w:rsidRPr="00FD7066">
              <w:rPr>
                <w:sz w:val="18"/>
                <w:szCs w:val="18"/>
                <w:lang w:val="en-US"/>
              </w:rPr>
              <w:t>26 (External projection of passenger cars) submitted by France)</w:t>
            </w:r>
          </w:p>
        </w:tc>
        <w:tc>
          <w:tcPr>
            <w:tcW w:w="1009" w:type="dxa"/>
            <w:shd w:val="clear" w:color="auto" w:fill="auto"/>
          </w:tcPr>
          <w:p w14:paraId="457B9CDA" w14:textId="77777777" w:rsidR="008365D6" w:rsidRPr="00FD7066" w:rsidRDefault="008365D6" w:rsidP="008365D6">
            <w:pPr>
              <w:spacing w:before="40" w:after="120"/>
              <w:ind w:right="113"/>
              <w:rPr>
                <w:sz w:val="18"/>
                <w:szCs w:val="18"/>
              </w:rPr>
            </w:pPr>
            <w:r w:rsidRPr="00FD7066">
              <w:rPr>
                <w:sz w:val="18"/>
                <w:szCs w:val="18"/>
              </w:rPr>
              <w:t>(e)</w:t>
            </w:r>
          </w:p>
        </w:tc>
      </w:tr>
      <w:tr w:rsidR="008365D6" w:rsidRPr="00FD7066" w14:paraId="178F6780" w14:textId="77777777" w:rsidTr="00E11FF7">
        <w:tc>
          <w:tcPr>
            <w:tcW w:w="1820" w:type="dxa"/>
            <w:shd w:val="clear" w:color="auto" w:fill="auto"/>
          </w:tcPr>
          <w:p w14:paraId="6E898F38" w14:textId="77777777" w:rsidR="008365D6" w:rsidRPr="00FD7066" w:rsidRDefault="008365D6" w:rsidP="008365D6">
            <w:pPr>
              <w:spacing w:before="40" w:after="120"/>
              <w:ind w:right="113"/>
              <w:rPr>
                <w:sz w:val="18"/>
                <w:szCs w:val="18"/>
              </w:rPr>
            </w:pPr>
            <w:r w:rsidRPr="00FD7066">
              <w:rPr>
                <w:sz w:val="18"/>
                <w:szCs w:val="18"/>
              </w:rPr>
              <w:t>9</w:t>
            </w:r>
          </w:p>
        </w:tc>
        <w:tc>
          <w:tcPr>
            <w:tcW w:w="5675" w:type="dxa"/>
            <w:shd w:val="clear" w:color="auto" w:fill="auto"/>
          </w:tcPr>
          <w:p w14:paraId="2E483D9F" w14:textId="77777777" w:rsidR="008365D6" w:rsidRPr="00FD7066" w:rsidRDefault="008365D6" w:rsidP="008365D6">
            <w:pPr>
              <w:spacing w:before="40" w:after="120"/>
              <w:ind w:right="113"/>
              <w:rPr>
                <w:sz w:val="18"/>
                <w:szCs w:val="18"/>
                <w:lang w:val="en-US"/>
              </w:rPr>
            </w:pPr>
            <w:r w:rsidRPr="00FD7066">
              <w:rPr>
                <w:sz w:val="18"/>
                <w:szCs w:val="18"/>
                <w:lang w:val="en-US"/>
              </w:rPr>
              <w:t>(France) Suggestion for an amendment to UN Regulation No.</w:t>
            </w:r>
            <w:r w:rsidR="00FD7066" w:rsidRPr="00FD7066">
              <w:rPr>
                <w:sz w:val="18"/>
                <w:szCs w:val="18"/>
                <w:lang w:val="en-US"/>
              </w:rPr>
              <w:t> </w:t>
            </w:r>
            <w:r w:rsidRPr="00FD7066">
              <w:rPr>
                <w:sz w:val="18"/>
                <w:szCs w:val="18"/>
                <w:lang w:val="en-US"/>
              </w:rPr>
              <w:t>43 (Safety glazing)</w:t>
            </w:r>
          </w:p>
        </w:tc>
        <w:tc>
          <w:tcPr>
            <w:tcW w:w="1009" w:type="dxa"/>
            <w:shd w:val="clear" w:color="auto" w:fill="auto"/>
          </w:tcPr>
          <w:p w14:paraId="2470D45B" w14:textId="77777777" w:rsidR="008365D6" w:rsidRPr="00FD7066" w:rsidRDefault="008365D6" w:rsidP="008365D6">
            <w:pPr>
              <w:spacing w:before="40" w:after="120"/>
              <w:ind w:right="113"/>
              <w:rPr>
                <w:sz w:val="18"/>
                <w:szCs w:val="18"/>
              </w:rPr>
            </w:pPr>
            <w:r w:rsidRPr="00FD7066">
              <w:rPr>
                <w:sz w:val="18"/>
                <w:szCs w:val="18"/>
              </w:rPr>
              <w:t>(c)</w:t>
            </w:r>
          </w:p>
        </w:tc>
      </w:tr>
      <w:tr w:rsidR="008365D6" w:rsidRPr="00FD7066" w14:paraId="7221A21F" w14:textId="77777777" w:rsidTr="00E11FF7">
        <w:tc>
          <w:tcPr>
            <w:tcW w:w="1820" w:type="dxa"/>
            <w:shd w:val="clear" w:color="auto" w:fill="auto"/>
          </w:tcPr>
          <w:p w14:paraId="73825511" w14:textId="77777777" w:rsidR="008365D6" w:rsidRPr="00FD7066" w:rsidRDefault="008365D6" w:rsidP="008365D6">
            <w:pPr>
              <w:spacing w:before="40" w:after="120"/>
              <w:ind w:right="113"/>
              <w:rPr>
                <w:sz w:val="18"/>
                <w:szCs w:val="18"/>
              </w:rPr>
            </w:pPr>
            <w:r w:rsidRPr="00FD7066">
              <w:rPr>
                <w:sz w:val="18"/>
                <w:szCs w:val="18"/>
              </w:rPr>
              <w:t>10-Rev.1</w:t>
            </w:r>
          </w:p>
        </w:tc>
        <w:tc>
          <w:tcPr>
            <w:tcW w:w="5675" w:type="dxa"/>
            <w:shd w:val="clear" w:color="auto" w:fill="auto"/>
          </w:tcPr>
          <w:p w14:paraId="6A065686" w14:textId="77777777" w:rsidR="008365D6" w:rsidRPr="00FD7066" w:rsidRDefault="008365D6" w:rsidP="008365D6">
            <w:pPr>
              <w:spacing w:before="40" w:after="120"/>
              <w:ind w:right="113"/>
              <w:rPr>
                <w:sz w:val="18"/>
                <w:szCs w:val="18"/>
                <w:lang w:val="en-US"/>
              </w:rPr>
            </w:pPr>
            <w:r w:rsidRPr="00FD7066">
              <w:rPr>
                <w:sz w:val="18"/>
                <w:szCs w:val="18"/>
                <w:lang w:val="en-US"/>
              </w:rPr>
              <w:t>(VRU-Proxi) Revised proposal for a new UN Regulation on uniform provisions concerning the approval of motor vehicles with regard to the Blind Spot Information System for the Detection of Bicycles (Amendments to ECE/TRANS/WP.29/GRSG/2018/24)</w:t>
            </w:r>
          </w:p>
        </w:tc>
        <w:tc>
          <w:tcPr>
            <w:tcW w:w="1009" w:type="dxa"/>
            <w:shd w:val="clear" w:color="auto" w:fill="auto"/>
          </w:tcPr>
          <w:p w14:paraId="10323B82" w14:textId="77777777" w:rsidR="008365D6" w:rsidRPr="00FD7066" w:rsidRDefault="008365D6" w:rsidP="008365D6">
            <w:pPr>
              <w:spacing w:before="40" w:after="120"/>
              <w:ind w:right="113"/>
              <w:rPr>
                <w:sz w:val="18"/>
                <w:szCs w:val="18"/>
              </w:rPr>
            </w:pPr>
            <w:r w:rsidRPr="00FD7066">
              <w:rPr>
                <w:sz w:val="18"/>
                <w:szCs w:val="18"/>
              </w:rPr>
              <w:t>(b)</w:t>
            </w:r>
          </w:p>
        </w:tc>
      </w:tr>
      <w:tr w:rsidR="008365D6" w:rsidRPr="00FD7066" w14:paraId="3A118750" w14:textId="77777777" w:rsidTr="00E11FF7">
        <w:tc>
          <w:tcPr>
            <w:tcW w:w="1820" w:type="dxa"/>
            <w:shd w:val="clear" w:color="auto" w:fill="auto"/>
          </w:tcPr>
          <w:p w14:paraId="0F556C6F" w14:textId="77777777" w:rsidR="008365D6" w:rsidRPr="00FD7066" w:rsidRDefault="008365D6" w:rsidP="008365D6">
            <w:pPr>
              <w:spacing w:before="40" w:after="120"/>
              <w:ind w:right="113"/>
              <w:rPr>
                <w:sz w:val="18"/>
                <w:szCs w:val="18"/>
              </w:rPr>
            </w:pPr>
            <w:r w:rsidRPr="00FD7066">
              <w:rPr>
                <w:sz w:val="18"/>
                <w:szCs w:val="18"/>
              </w:rPr>
              <w:t>11-Rev.1</w:t>
            </w:r>
          </w:p>
        </w:tc>
        <w:tc>
          <w:tcPr>
            <w:tcW w:w="5675" w:type="dxa"/>
            <w:shd w:val="clear" w:color="auto" w:fill="auto"/>
          </w:tcPr>
          <w:p w14:paraId="5B2DAAD3" w14:textId="77777777" w:rsidR="008365D6" w:rsidRPr="00FD7066" w:rsidRDefault="008365D6" w:rsidP="008365D6">
            <w:pPr>
              <w:spacing w:before="40" w:after="120"/>
              <w:ind w:right="113"/>
              <w:rPr>
                <w:sz w:val="18"/>
                <w:szCs w:val="18"/>
                <w:lang w:val="en-US"/>
              </w:rPr>
            </w:pPr>
            <w:r w:rsidRPr="00FD7066">
              <w:rPr>
                <w:sz w:val="18"/>
                <w:szCs w:val="18"/>
                <w:lang w:val="en-US"/>
              </w:rPr>
              <w:t>(OICA) UN Regulation No. 55 (Mechanical coupling) - Proposal to adapt the transitional provisions according to the decision of WP.29 at its 175th session</w:t>
            </w:r>
          </w:p>
        </w:tc>
        <w:tc>
          <w:tcPr>
            <w:tcW w:w="1009" w:type="dxa"/>
            <w:shd w:val="clear" w:color="auto" w:fill="auto"/>
          </w:tcPr>
          <w:p w14:paraId="01FF4BF4" w14:textId="77777777" w:rsidR="008365D6" w:rsidRPr="00FD7066" w:rsidRDefault="008365D6" w:rsidP="008365D6">
            <w:pPr>
              <w:spacing w:before="40" w:after="120"/>
              <w:ind w:right="113"/>
              <w:rPr>
                <w:sz w:val="18"/>
                <w:szCs w:val="18"/>
              </w:rPr>
            </w:pPr>
            <w:r w:rsidRPr="00FD7066">
              <w:rPr>
                <w:sz w:val="18"/>
                <w:szCs w:val="18"/>
              </w:rPr>
              <w:t>(b)</w:t>
            </w:r>
          </w:p>
        </w:tc>
      </w:tr>
      <w:tr w:rsidR="008365D6" w:rsidRPr="00FD7066" w14:paraId="08C1854B" w14:textId="77777777" w:rsidTr="00E11FF7">
        <w:tc>
          <w:tcPr>
            <w:tcW w:w="1820" w:type="dxa"/>
            <w:shd w:val="clear" w:color="auto" w:fill="auto"/>
          </w:tcPr>
          <w:p w14:paraId="4D80E054" w14:textId="77777777" w:rsidR="008365D6" w:rsidRPr="00FD7066" w:rsidRDefault="008365D6" w:rsidP="008365D6">
            <w:pPr>
              <w:spacing w:before="40" w:after="120"/>
              <w:ind w:right="113"/>
              <w:rPr>
                <w:sz w:val="18"/>
                <w:szCs w:val="18"/>
              </w:rPr>
            </w:pPr>
            <w:r w:rsidRPr="00FD7066">
              <w:rPr>
                <w:sz w:val="18"/>
                <w:szCs w:val="18"/>
              </w:rPr>
              <w:t>12</w:t>
            </w:r>
          </w:p>
        </w:tc>
        <w:tc>
          <w:tcPr>
            <w:tcW w:w="5675" w:type="dxa"/>
            <w:shd w:val="clear" w:color="auto" w:fill="auto"/>
          </w:tcPr>
          <w:p w14:paraId="642AE64F" w14:textId="77777777" w:rsidR="008365D6" w:rsidRPr="00FD7066" w:rsidRDefault="008365D6" w:rsidP="008365D6">
            <w:pPr>
              <w:spacing w:before="40" w:after="120"/>
              <w:ind w:right="113"/>
              <w:rPr>
                <w:sz w:val="18"/>
                <w:szCs w:val="18"/>
                <w:lang w:val="en-US"/>
              </w:rPr>
            </w:pPr>
            <w:r w:rsidRPr="00FD7066">
              <w:rPr>
                <w:sz w:val="18"/>
                <w:szCs w:val="18"/>
                <w:lang w:val="en-US"/>
              </w:rPr>
              <w:t>(IMMA) Proposal for amendments to the Consolidated Resolution on the Construction of Vehicles (R.E.3)</w:t>
            </w:r>
          </w:p>
        </w:tc>
        <w:tc>
          <w:tcPr>
            <w:tcW w:w="1009" w:type="dxa"/>
            <w:shd w:val="clear" w:color="auto" w:fill="auto"/>
          </w:tcPr>
          <w:p w14:paraId="5CD23ED6" w14:textId="77777777" w:rsidR="008365D6" w:rsidRPr="00FD7066" w:rsidRDefault="008365D6" w:rsidP="008365D6">
            <w:pPr>
              <w:spacing w:before="40" w:after="120"/>
              <w:ind w:right="113"/>
              <w:rPr>
                <w:sz w:val="18"/>
                <w:szCs w:val="18"/>
              </w:rPr>
            </w:pPr>
            <w:r w:rsidRPr="00FD7066">
              <w:rPr>
                <w:sz w:val="18"/>
                <w:szCs w:val="18"/>
              </w:rPr>
              <w:t>(c)</w:t>
            </w:r>
          </w:p>
        </w:tc>
      </w:tr>
      <w:tr w:rsidR="008365D6" w:rsidRPr="00FD7066" w14:paraId="5F525564" w14:textId="77777777" w:rsidTr="00E11FF7">
        <w:tc>
          <w:tcPr>
            <w:tcW w:w="1820" w:type="dxa"/>
            <w:shd w:val="clear" w:color="auto" w:fill="auto"/>
          </w:tcPr>
          <w:p w14:paraId="032330CB" w14:textId="77777777" w:rsidR="008365D6" w:rsidRPr="00FD7066" w:rsidRDefault="008365D6" w:rsidP="008365D6">
            <w:pPr>
              <w:spacing w:before="40" w:after="120"/>
              <w:ind w:right="113"/>
              <w:rPr>
                <w:sz w:val="18"/>
                <w:szCs w:val="18"/>
              </w:rPr>
            </w:pPr>
            <w:r w:rsidRPr="00FD7066">
              <w:rPr>
                <w:sz w:val="18"/>
                <w:szCs w:val="18"/>
              </w:rPr>
              <w:t>13</w:t>
            </w:r>
          </w:p>
        </w:tc>
        <w:tc>
          <w:tcPr>
            <w:tcW w:w="5675" w:type="dxa"/>
            <w:shd w:val="clear" w:color="auto" w:fill="auto"/>
          </w:tcPr>
          <w:p w14:paraId="7813851A" w14:textId="77777777" w:rsidR="008365D6" w:rsidRPr="00FD7066" w:rsidRDefault="008365D6" w:rsidP="008365D6">
            <w:pPr>
              <w:spacing w:before="40" w:after="120"/>
              <w:ind w:right="113"/>
              <w:rPr>
                <w:sz w:val="18"/>
                <w:szCs w:val="18"/>
                <w:lang w:val="en-US"/>
              </w:rPr>
            </w:pPr>
            <w:r w:rsidRPr="00FD7066">
              <w:rPr>
                <w:sz w:val="18"/>
                <w:szCs w:val="18"/>
                <w:lang w:val="en-US"/>
              </w:rPr>
              <w:t>(ISO) ISO standard referenced to in draft UN Regulation on Blind Spot Information Systems (BSIS)</w:t>
            </w:r>
          </w:p>
        </w:tc>
        <w:tc>
          <w:tcPr>
            <w:tcW w:w="1009" w:type="dxa"/>
            <w:shd w:val="clear" w:color="auto" w:fill="auto"/>
          </w:tcPr>
          <w:p w14:paraId="1FE640D8"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29AB261D" w14:textId="77777777" w:rsidTr="00E11FF7">
        <w:tc>
          <w:tcPr>
            <w:tcW w:w="1820" w:type="dxa"/>
            <w:shd w:val="clear" w:color="auto" w:fill="auto"/>
          </w:tcPr>
          <w:p w14:paraId="74A2BCA2" w14:textId="77777777" w:rsidR="008365D6" w:rsidRPr="00FD7066" w:rsidRDefault="008365D6" w:rsidP="008365D6">
            <w:pPr>
              <w:spacing w:before="40" w:after="120"/>
              <w:ind w:right="113"/>
              <w:rPr>
                <w:sz w:val="18"/>
                <w:szCs w:val="18"/>
              </w:rPr>
            </w:pPr>
            <w:r w:rsidRPr="00FD7066">
              <w:rPr>
                <w:sz w:val="18"/>
                <w:szCs w:val="18"/>
              </w:rPr>
              <w:t>14-Rev.1</w:t>
            </w:r>
          </w:p>
        </w:tc>
        <w:tc>
          <w:tcPr>
            <w:tcW w:w="5675" w:type="dxa"/>
            <w:shd w:val="clear" w:color="auto" w:fill="auto"/>
          </w:tcPr>
          <w:p w14:paraId="222B94DB" w14:textId="77777777" w:rsidR="008365D6" w:rsidRPr="00FD7066" w:rsidRDefault="008365D6" w:rsidP="008365D6">
            <w:pPr>
              <w:spacing w:before="40" w:after="120"/>
              <w:ind w:right="113"/>
              <w:rPr>
                <w:sz w:val="18"/>
                <w:szCs w:val="18"/>
                <w:lang w:val="en-US"/>
              </w:rPr>
            </w:pPr>
            <w:r w:rsidRPr="00FD7066">
              <w:rPr>
                <w:sz w:val="18"/>
                <w:szCs w:val="18"/>
                <w:lang w:val="en-US"/>
              </w:rPr>
              <w:t>(République de Corée) Proposal for Supplement 3 to the 01 series of amendments to UN Regulation No. 121 (Identification of controls, tell-tales and indicators)</w:t>
            </w:r>
          </w:p>
        </w:tc>
        <w:tc>
          <w:tcPr>
            <w:tcW w:w="1009" w:type="dxa"/>
            <w:shd w:val="clear" w:color="auto" w:fill="auto"/>
          </w:tcPr>
          <w:p w14:paraId="7CFA4EBA" w14:textId="77777777" w:rsidR="008365D6" w:rsidRPr="00FD7066" w:rsidRDefault="008365D6" w:rsidP="008365D6">
            <w:pPr>
              <w:spacing w:before="40" w:after="120"/>
              <w:ind w:right="113"/>
              <w:rPr>
                <w:sz w:val="18"/>
                <w:szCs w:val="18"/>
              </w:rPr>
            </w:pPr>
            <w:r w:rsidRPr="00FD7066">
              <w:rPr>
                <w:sz w:val="18"/>
                <w:szCs w:val="18"/>
              </w:rPr>
              <w:t>(c)</w:t>
            </w:r>
          </w:p>
        </w:tc>
      </w:tr>
      <w:tr w:rsidR="008365D6" w:rsidRPr="00FD7066" w14:paraId="50C6ABA2" w14:textId="77777777" w:rsidTr="00E11FF7">
        <w:tc>
          <w:tcPr>
            <w:tcW w:w="1820" w:type="dxa"/>
            <w:shd w:val="clear" w:color="auto" w:fill="auto"/>
          </w:tcPr>
          <w:p w14:paraId="25E1F9C8" w14:textId="77777777" w:rsidR="008365D6" w:rsidRPr="00FD7066" w:rsidRDefault="008365D6" w:rsidP="008365D6">
            <w:pPr>
              <w:spacing w:before="40" w:after="120"/>
              <w:ind w:right="113"/>
              <w:rPr>
                <w:sz w:val="18"/>
                <w:szCs w:val="18"/>
              </w:rPr>
            </w:pPr>
            <w:r w:rsidRPr="00FD7066">
              <w:rPr>
                <w:sz w:val="18"/>
                <w:szCs w:val="18"/>
              </w:rPr>
              <w:t>15</w:t>
            </w:r>
          </w:p>
        </w:tc>
        <w:tc>
          <w:tcPr>
            <w:tcW w:w="5675" w:type="dxa"/>
            <w:shd w:val="clear" w:color="auto" w:fill="auto"/>
          </w:tcPr>
          <w:p w14:paraId="69383FED" w14:textId="77777777" w:rsidR="008365D6" w:rsidRPr="00FD7066" w:rsidRDefault="008365D6" w:rsidP="008365D6">
            <w:pPr>
              <w:spacing w:before="40" w:after="120"/>
              <w:ind w:right="113"/>
              <w:rPr>
                <w:sz w:val="18"/>
                <w:szCs w:val="18"/>
                <w:lang w:val="en-US"/>
              </w:rPr>
            </w:pPr>
            <w:r w:rsidRPr="00FD7066">
              <w:rPr>
                <w:sz w:val="18"/>
                <w:szCs w:val="18"/>
                <w:lang w:val="en-US"/>
              </w:rPr>
              <w:t>(OICA) Proposal for a Supplement to the 08 series of amendments to UN Regulation No. 107</w:t>
            </w:r>
          </w:p>
        </w:tc>
        <w:tc>
          <w:tcPr>
            <w:tcW w:w="1009" w:type="dxa"/>
            <w:shd w:val="clear" w:color="auto" w:fill="auto"/>
          </w:tcPr>
          <w:p w14:paraId="2DF951DF" w14:textId="77777777" w:rsidR="008365D6" w:rsidRPr="00FD7066" w:rsidRDefault="008365D6" w:rsidP="008365D6">
            <w:pPr>
              <w:spacing w:before="40" w:after="120"/>
              <w:ind w:right="113"/>
              <w:rPr>
                <w:sz w:val="18"/>
                <w:szCs w:val="18"/>
              </w:rPr>
            </w:pPr>
            <w:r w:rsidRPr="00FD7066">
              <w:rPr>
                <w:sz w:val="18"/>
                <w:szCs w:val="18"/>
              </w:rPr>
              <w:t>(b)</w:t>
            </w:r>
          </w:p>
        </w:tc>
      </w:tr>
      <w:tr w:rsidR="008365D6" w:rsidRPr="00FD7066" w14:paraId="763A23C9" w14:textId="77777777" w:rsidTr="00E11FF7">
        <w:tc>
          <w:tcPr>
            <w:tcW w:w="1820" w:type="dxa"/>
            <w:shd w:val="clear" w:color="auto" w:fill="auto"/>
          </w:tcPr>
          <w:p w14:paraId="70B33499" w14:textId="77777777" w:rsidR="008365D6" w:rsidRPr="00FD7066" w:rsidRDefault="008365D6" w:rsidP="00FD7066">
            <w:pPr>
              <w:keepNext/>
              <w:keepLines/>
              <w:spacing w:before="40" w:after="120"/>
              <w:ind w:right="113"/>
              <w:rPr>
                <w:sz w:val="18"/>
                <w:szCs w:val="18"/>
              </w:rPr>
            </w:pPr>
            <w:r w:rsidRPr="00FD7066">
              <w:rPr>
                <w:sz w:val="18"/>
                <w:szCs w:val="18"/>
              </w:rPr>
              <w:lastRenderedPageBreak/>
              <w:t>16</w:t>
            </w:r>
          </w:p>
        </w:tc>
        <w:tc>
          <w:tcPr>
            <w:tcW w:w="5675" w:type="dxa"/>
            <w:shd w:val="clear" w:color="auto" w:fill="auto"/>
          </w:tcPr>
          <w:p w14:paraId="25F5CE1D" w14:textId="77777777" w:rsidR="008365D6" w:rsidRPr="00FD7066" w:rsidRDefault="008365D6" w:rsidP="00FD7066">
            <w:pPr>
              <w:keepNext/>
              <w:keepLines/>
              <w:spacing w:before="40" w:after="120"/>
              <w:ind w:right="113"/>
              <w:rPr>
                <w:sz w:val="18"/>
                <w:szCs w:val="18"/>
                <w:lang w:val="en-US"/>
              </w:rPr>
            </w:pPr>
            <w:r w:rsidRPr="00FD7066">
              <w:rPr>
                <w:sz w:val="18"/>
                <w:szCs w:val="18"/>
                <w:lang w:val="en-US"/>
              </w:rPr>
              <w:t>(OICA) Proposal for Supplement 4 to the 03 series of amendments to UN Regulation No. 26 (External projections of passenger cars)</w:t>
            </w:r>
          </w:p>
        </w:tc>
        <w:tc>
          <w:tcPr>
            <w:tcW w:w="1009" w:type="dxa"/>
            <w:shd w:val="clear" w:color="auto" w:fill="auto"/>
          </w:tcPr>
          <w:p w14:paraId="61F1042D" w14:textId="77777777" w:rsidR="008365D6" w:rsidRPr="00FD7066" w:rsidRDefault="008365D6" w:rsidP="00FD7066">
            <w:pPr>
              <w:keepNext/>
              <w:keepLines/>
              <w:spacing w:before="40" w:after="120"/>
              <w:ind w:right="113"/>
              <w:rPr>
                <w:sz w:val="18"/>
                <w:szCs w:val="18"/>
              </w:rPr>
            </w:pPr>
            <w:r w:rsidRPr="00FD7066">
              <w:rPr>
                <w:sz w:val="18"/>
                <w:szCs w:val="18"/>
              </w:rPr>
              <w:t>(c)</w:t>
            </w:r>
          </w:p>
        </w:tc>
      </w:tr>
      <w:tr w:rsidR="008365D6" w:rsidRPr="00FD7066" w14:paraId="34CEFD03" w14:textId="77777777" w:rsidTr="00E11FF7">
        <w:tc>
          <w:tcPr>
            <w:tcW w:w="1820" w:type="dxa"/>
            <w:shd w:val="clear" w:color="auto" w:fill="auto"/>
          </w:tcPr>
          <w:p w14:paraId="2F7BD65F" w14:textId="77777777" w:rsidR="008365D6" w:rsidRPr="00FD7066" w:rsidRDefault="008365D6" w:rsidP="008365D6">
            <w:pPr>
              <w:spacing w:before="40" w:after="120"/>
              <w:ind w:right="113"/>
              <w:rPr>
                <w:sz w:val="18"/>
                <w:szCs w:val="18"/>
              </w:rPr>
            </w:pPr>
            <w:r w:rsidRPr="00FD7066">
              <w:rPr>
                <w:sz w:val="18"/>
                <w:szCs w:val="18"/>
              </w:rPr>
              <w:t>17</w:t>
            </w:r>
          </w:p>
        </w:tc>
        <w:tc>
          <w:tcPr>
            <w:tcW w:w="5675" w:type="dxa"/>
            <w:shd w:val="clear" w:color="auto" w:fill="auto"/>
          </w:tcPr>
          <w:p w14:paraId="3CDBDA32" w14:textId="77777777" w:rsidR="008365D6" w:rsidRPr="00FD7066" w:rsidRDefault="008365D6" w:rsidP="008365D6">
            <w:pPr>
              <w:spacing w:before="40" w:after="120"/>
              <w:ind w:right="113"/>
              <w:rPr>
                <w:sz w:val="18"/>
                <w:szCs w:val="18"/>
                <w:lang w:val="en-US"/>
              </w:rPr>
            </w:pPr>
            <w:r w:rsidRPr="00FD7066">
              <w:rPr>
                <w:sz w:val="18"/>
                <w:szCs w:val="18"/>
                <w:lang w:val="en-US"/>
              </w:rPr>
              <w:t>(OICA) Proposal for the 01 series of amendments to UN Regulation No. 35 (Foot controls)</w:t>
            </w:r>
          </w:p>
        </w:tc>
        <w:tc>
          <w:tcPr>
            <w:tcW w:w="1009" w:type="dxa"/>
            <w:shd w:val="clear" w:color="auto" w:fill="auto"/>
          </w:tcPr>
          <w:p w14:paraId="594E8847" w14:textId="77777777" w:rsidR="008365D6" w:rsidRPr="00FD7066" w:rsidRDefault="008365D6" w:rsidP="008365D6">
            <w:pPr>
              <w:spacing w:before="40" w:after="120"/>
              <w:ind w:right="113"/>
              <w:rPr>
                <w:sz w:val="18"/>
                <w:szCs w:val="18"/>
              </w:rPr>
            </w:pPr>
            <w:r w:rsidRPr="00FD7066">
              <w:rPr>
                <w:sz w:val="18"/>
                <w:szCs w:val="18"/>
              </w:rPr>
              <w:t>(c)</w:t>
            </w:r>
          </w:p>
        </w:tc>
      </w:tr>
      <w:tr w:rsidR="008365D6" w:rsidRPr="00FD7066" w14:paraId="44E87115" w14:textId="77777777" w:rsidTr="00E11FF7">
        <w:tc>
          <w:tcPr>
            <w:tcW w:w="1820" w:type="dxa"/>
            <w:shd w:val="clear" w:color="auto" w:fill="auto"/>
          </w:tcPr>
          <w:p w14:paraId="03CD212D" w14:textId="77777777" w:rsidR="008365D6" w:rsidRPr="00FD7066" w:rsidRDefault="008365D6" w:rsidP="008365D6">
            <w:pPr>
              <w:spacing w:before="40" w:after="120"/>
              <w:ind w:right="113"/>
              <w:rPr>
                <w:sz w:val="18"/>
                <w:szCs w:val="18"/>
              </w:rPr>
            </w:pPr>
            <w:r w:rsidRPr="00FD7066">
              <w:rPr>
                <w:sz w:val="18"/>
                <w:szCs w:val="18"/>
              </w:rPr>
              <w:t>18-Rev.2</w:t>
            </w:r>
          </w:p>
        </w:tc>
        <w:tc>
          <w:tcPr>
            <w:tcW w:w="5675" w:type="dxa"/>
            <w:shd w:val="clear" w:color="auto" w:fill="auto"/>
          </w:tcPr>
          <w:p w14:paraId="6F7E80F4" w14:textId="77777777" w:rsidR="008365D6" w:rsidRPr="00FD7066" w:rsidRDefault="008365D6" w:rsidP="008365D6">
            <w:pPr>
              <w:spacing w:before="40" w:after="120"/>
              <w:ind w:right="113"/>
              <w:rPr>
                <w:sz w:val="18"/>
                <w:szCs w:val="18"/>
                <w:lang w:val="en-US"/>
              </w:rPr>
            </w:pPr>
            <w:r w:rsidRPr="00FD7066">
              <w:rPr>
                <w:sz w:val="18"/>
                <w:szCs w:val="18"/>
                <w:lang w:val="en-US"/>
              </w:rPr>
              <w:t>(OICA) Revised proposal for amendments to the 03 series of amendments to UN Regulation No. 110 (CNG and LNG vehicles)</w:t>
            </w:r>
          </w:p>
        </w:tc>
        <w:tc>
          <w:tcPr>
            <w:tcW w:w="1009" w:type="dxa"/>
            <w:shd w:val="clear" w:color="auto" w:fill="auto"/>
          </w:tcPr>
          <w:p w14:paraId="63260707" w14:textId="77777777" w:rsidR="008365D6" w:rsidRPr="00FD7066" w:rsidRDefault="008365D6" w:rsidP="008365D6">
            <w:pPr>
              <w:spacing w:before="40" w:after="120"/>
              <w:ind w:right="113"/>
              <w:rPr>
                <w:sz w:val="18"/>
                <w:szCs w:val="18"/>
              </w:rPr>
            </w:pPr>
            <w:r w:rsidRPr="00FD7066">
              <w:rPr>
                <w:sz w:val="18"/>
                <w:szCs w:val="18"/>
              </w:rPr>
              <w:t>(b)</w:t>
            </w:r>
          </w:p>
        </w:tc>
      </w:tr>
      <w:tr w:rsidR="008365D6" w:rsidRPr="00FD7066" w14:paraId="5A73F03A" w14:textId="77777777" w:rsidTr="00E11FF7">
        <w:tc>
          <w:tcPr>
            <w:tcW w:w="1820" w:type="dxa"/>
            <w:shd w:val="clear" w:color="auto" w:fill="auto"/>
          </w:tcPr>
          <w:p w14:paraId="24470ECB" w14:textId="77777777" w:rsidR="008365D6" w:rsidRPr="00FD7066" w:rsidRDefault="008365D6" w:rsidP="008365D6">
            <w:pPr>
              <w:spacing w:before="40" w:after="120"/>
              <w:ind w:right="113"/>
              <w:rPr>
                <w:sz w:val="18"/>
                <w:szCs w:val="18"/>
              </w:rPr>
            </w:pPr>
            <w:r w:rsidRPr="00FD7066">
              <w:rPr>
                <w:sz w:val="18"/>
                <w:szCs w:val="18"/>
              </w:rPr>
              <w:t>19</w:t>
            </w:r>
          </w:p>
        </w:tc>
        <w:tc>
          <w:tcPr>
            <w:tcW w:w="5675" w:type="dxa"/>
            <w:shd w:val="clear" w:color="auto" w:fill="auto"/>
          </w:tcPr>
          <w:p w14:paraId="550F4541" w14:textId="77777777" w:rsidR="008365D6" w:rsidRPr="00FD7066" w:rsidRDefault="008365D6" w:rsidP="008365D6">
            <w:pPr>
              <w:spacing w:before="40" w:after="120"/>
              <w:ind w:right="113"/>
              <w:rPr>
                <w:sz w:val="18"/>
                <w:szCs w:val="18"/>
                <w:lang w:val="en-US"/>
              </w:rPr>
            </w:pPr>
            <w:r w:rsidRPr="00FD7066">
              <w:rPr>
                <w:sz w:val="18"/>
                <w:szCs w:val="18"/>
                <w:lang w:val="en-US"/>
              </w:rPr>
              <w:t>(OICA) Proposal for the 04 series of amendments to UN Regulation No. 110 (CNG and LNG vehicles)</w:t>
            </w:r>
          </w:p>
        </w:tc>
        <w:tc>
          <w:tcPr>
            <w:tcW w:w="1009" w:type="dxa"/>
            <w:shd w:val="clear" w:color="auto" w:fill="auto"/>
          </w:tcPr>
          <w:p w14:paraId="45E0C1B4" w14:textId="77777777" w:rsidR="008365D6" w:rsidRPr="00FD7066" w:rsidRDefault="008365D6" w:rsidP="008365D6">
            <w:pPr>
              <w:spacing w:before="40" w:after="120"/>
              <w:ind w:right="113"/>
              <w:rPr>
                <w:sz w:val="18"/>
                <w:szCs w:val="18"/>
              </w:rPr>
            </w:pPr>
            <w:r w:rsidRPr="00FD7066">
              <w:rPr>
                <w:sz w:val="18"/>
                <w:szCs w:val="18"/>
              </w:rPr>
              <w:t>(b)</w:t>
            </w:r>
          </w:p>
        </w:tc>
      </w:tr>
      <w:tr w:rsidR="008365D6" w:rsidRPr="00FD7066" w14:paraId="4B832BDE" w14:textId="77777777" w:rsidTr="00E11FF7">
        <w:tc>
          <w:tcPr>
            <w:tcW w:w="1820" w:type="dxa"/>
            <w:shd w:val="clear" w:color="auto" w:fill="auto"/>
          </w:tcPr>
          <w:p w14:paraId="2CD3D91B" w14:textId="77777777" w:rsidR="008365D6" w:rsidRPr="00FD7066" w:rsidRDefault="008365D6" w:rsidP="008365D6">
            <w:pPr>
              <w:spacing w:before="40" w:after="120"/>
              <w:ind w:right="113"/>
              <w:rPr>
                <w:sz w:val="18"/>
                <w:szCs w:val="18"/>
              </w:rPr>
            </w:pPr>
            <w:r w:rsidRPr="00FD7066">
              <w:rPr>
                <w:sz w:val="18"/>
                <w:szCs w:val="18"/>
              </w:rPr>
              <w:t>20</w:t>
            </w:r>
          </w:p>
        </w:tc>
        <w:tc>
          <w:tcPr>
            <w:tcW w:w="5675" w:type="dxa"/>
            <w:shd w:val="clear" w:color="auto" w:fill="auto"/>
          </w:tcPr>
          <w:p w14:paraId="563CBA32" w14:textId="77777777" w:rsidR="008365D6" w:rsidRPr="00FD7066" w:rsidRDefault="008365D6" w:rsidP="008365D6">
            <w:pPr>
              <w:spacing w:before="40" w:after="120"/>
              <w:ind w:right="113"/>
              <w:rPr>
                <w:sz w:val="18"/>
                <w:szCs w:val="18"/>
                <w:lang w:val="en-US"/>
              </w:rPr>
            </w:pPr>
            <w:r w:rsidRPr="00FD7066">
              <w:rPr>
                <w:sz w:val="18"/>
                <w:szCs w:val="18"/>
                <w:lang w:val="en-US"/>
              </w:rPr>
              <w:t>(OICA) Proposal for amendments to UN Regulation No. 116 (Protection of vehicles against unauthorized use)</w:t>
            </w:r>
          </w:p>
        </w:tc>
        <w:tc>
          <w:tcPr>
            <w:tcW w:w="1009" w:type="dxa"/>
            <w:shd w:val="clear" w:color="auto" w:fill="auto"/>
          </w:tcPr>
          <w:p w14:paraId="72C004C0" w14:textId="77777777" w:rsidR="008365D6" w:rsidRPr="00FD7066" w:rsidRDefault="008365D6" w:rsidP="008365D6">
            <w:pPr>
              <w:spacing w:before="40" w:after="120"/>
              <w:ind w:right="113"/>
              <w:rPr>
                <w:sz w:val="18"/>
                <w:szCs w:val="18"/>
              </w:rPr>
            </w:pPr>
            <w:r w:rsidRPr="00FD7066">
              <w:rPr>
                <w:sz w:val="18"/>
                <w:szCs w:val="18"/>
              </w:rPr>
              <w:t>(c)</w:t>
            </w:r>
          </w:p>
        </w:tc>
      </w:tr>
      <w:tr w:rsidR="008365D6" w:rsidRPr="00FD7066" w14:paraId="507608BA" w14:textId="77777777" w:rsidTr="00E11FF7">
        <w:tc>
          <w:tcPr>
            <w:tcW w:w="1820" w:type="dxa"/>
            <w:shd w:val="clear" w:color="auto" w:fill="auto"/>
          </w:tcPr>
          <w:p w14:paraId="0236AFB4" w14:textId="77777777" w:rsidR="008365D6" w:rsidRPr="00FD7066" w:rsidRDefault="008365D6" w:rsidP="008365D6">
            <w:pPr>
              <w:spacing w:before="40" w:after="120"/>
              <w:ind w:right="113"/>
              <w:rPr>
                <w:sz w:val="18"/>
                <w:szCs w:val="18"/>
              </w:rPr>
            </w:pPr>
            <w:r w:rsidRPr="00FD7066">
              <w:rPr>
                <w:sz w:val="18"/>
                <w:szCs w:val="18"/>
              </w:rPr>
              <w:t>21</w:t>
            </w:r>
          </w:p>
        </w:tc>
        <w:tc>
          <w:tcPr>
            <w:tcW w:w="5675" w:type="dxa"/>
            <w:shd w:val="clear" w:color="auto" w:fill="auto"/>
          </w:tcPr>
          <w:p w14:paraId="06FF4DE2" w14:textId="77777777" w:rsidR="008365D6" w:rsidRPr="00FD7066" w:rsidRDefault="008365D6" w:rsidP="008365D6">
            <w:pPr>
              <w:spacing w:before="40" w:after="120"/>
              <w:ind w:right="113"/>
              <w:rPr>
                <w:sz w:val="18"/>
                <w:szCs w:val="18"/>
                <w:lang w:val="en-US"/>
              </w:rPr>
            </w:pPr>
            <w:r w:rsidRPr="00FD7066">
              <w:rPr>
                <w:sz w:val="18"/>
                <w:szCs w:val="18"/>
                <w:lang w:val="en-US"/>
              </w:rPr>
              <w:t>(OICA) Proposal for the 01 series of amendments to UN Regulation No.</w:t>
            </w:r>
            <w:r w:rsidR="00FD7066" w:rsidRPr="00FD7066">
              <w:rPr>
                <w:sz w:val="18"/>
                <w:szCs w:val="18"/>
                <w:lang w:val="en-US"/>
              </w:rPr>
              <w:t> </w:t>
            </w:r>
            <w:r w:rsidRPr="00FD7066">
              <w:rPr>
                <w:sz w:val="18"/>
                <w:szCs w:val="18"/>
                <w:lang w:val="en-US"/>
              </w:rPr>
              <w:t>122 (Heating systems)</w:t>
            </w:r>
          </w:p>
        </w:tc>
        <w:tc>
          <w:tcPr>
            <w:tcW w:w="1009" w:type="dxa"/>
            <w:shd w:val="clear" w:color="auto" w:fill="auto"/>
          </w:tcPr>
          <w:p w14:paraId="0B5B8124"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5CF9FA67" w14:textId="77777777" w:rsidTr="00E11FF7">
        <w:trPr>
          <w:cantSplit/>
        </w:trPr>
        <w:tc>
          <w:tcPr>
            <w:tcW w:w="1820" w:type="dxa"/>
            <w:shd w:val="clear" w:color="auto" w:fill="auto"/>
          </w:tcPr>
          <w:p w14:paraId="5B399D2A" w14:textId="77777777" w:rsidR="008365D6" w:rsidRPr="00FD7066" w:rsidRDefault="008365D6" w:rsidP="008365D6">
            <w:pPr>
              <w:spacing w:before="40" w:after="120"/>
              <w:ind w:right="113"/>
              <w:rPr>
                <w:sz w:val="18"/>
                <w:szCs w:val="18"/>
              </w:rPr>
            </w:pPr>
            <w:r w:rsidRPr="00FD7066">
              <w:rPr>
                <w:sz w:val="18"/>
                <w:szCs w:val="18"/>
              </w:rPr>
              <w:t>22</w:t>
            </w:r>
          </w:p>
        </w:tc>
        <w:tc>
          <w:tcPr>
            <w:tcW w:w="5675" w:type="dxa"/>
            <w:shd w:val="clear" w:color="auto" w:fill="auto"/>
          </w:tcPr>
          <w:p w14:paraId="4C4F4626" w14:textId="77777777" w:rsidR="008365D6" w:rsidRPr="00FD7066" w:rsidRDefault="008365D6" w:rsidP="008365D6">
            <w:pPr>
              <w:spacing w:before="40" w:after="120"/>
              <w:ind w:right="113"/>
              <w:rPr>
                <w:sz w:val="18"/>
                <w:szCs w:val="18"/>
                <w:lang w:val="en-US"/>
              </w:rPr>
            </w:pPr>
            <w:r w:rsidRPr="00FD7066">
              <w:rPr>
                <w:sz w:val="18"/>
                <w:szCs w:val="18"/>
                <w:lang w:val="en-US"/>
              </w:rPr>
              <w:t>(OICA) Proposal for amendments to UN Regulation No. 144 (ECE/TRANS/WP.29/GRSG/2018/23 on Accident Emergency Call Systems)</w:t>
            </w:r>
          </w:p>
        </w:tc>
        <w:tc>
          <w:tcPr>
            <w:tcW w:w="1009" w:type="dxa"/>
            <w:shd w:val="clear" w:color="auto" w:fill="auto"/>
          </w:tcPr>
          <w:p w14:paraId="1842FD3E" w14:textId="77777777" w:rsidR="008365D6" w:rsidRPr="00FD7066" w:rsidRDefault="008365D6" w:rsidP="008365D6">
            <w:pPr>
              <w:spacing w:before="40" w:after="120"/>
              <w:ind w:right="113"/>
              <w:rPr>
                <w:sz w:val="18"/>
                <w:szCs w:val="18"/>
              </w:rPr>
            </w:pPr>
            <w:r w:rsidRPr="00FD7066">
              <w:rPr>
                <w:sz w:val="18"/>
                <w:szCs w:val="18"/>
              </w:rPr>
              <w:t>(e)</w:t>
            </w:r>
          </w:p>
        </w:tc>
      </w:tr>
      <w:tr w:rsidR="008365D6" w:rsidRPr="00FD7066" w14:paraId="2904CA45" w14:textId="77777777" w:rsidTr="00E11FF7">
        <w:tc>
          <w:tcPr>
            <w:tcW w:w="1820" w:type="dxa"/>
            <w:shd w:val="clear" w:color="auto" w:fill="auto"/>
          </w:tcPr>
          <w:p w14:paraId="7D083B2C" w14:textId="77777777" w:rsidR="008365D6" w:rsidRPr="00FD7066" w:rsidRDefault="008365D6" w:rsidP="008365D6">
            <w:pPr>
              <w:spacing w:before="40" w:after="120"/>
              <w:ind w:right="113"/>
              <w:rPr>
                <w:sz w:val="18"/>
                <w:szCs w:val="18"/>
              </w:rPr>
            </w:pPr>
            <w:r w:rsidRPr="00FD7066">
              <w:rPr>
                <w:sz w:val="18"/>
                <w:szCs w:val="18"/>
              </w:rPr>
              <w:t>23</w:t>
            </w:r>
          </w:p>
        </w:tc>
        <w:tc>
          <w:tcPr>
            <w:tcW w:w="5675" w:type="dxa"/>
            <w:shd w:val="clear" w:color="auto" w:fill="auto"/>
          </w:tcPr>
          <w:p w14:paraId="3FD30D8E" w14:textId="77777777" w:rsidR="008365D6" w:rsidRPr="00FD7066" w:rsidRDefault="008365D6" w:rsidP="008365D6">
            <w:pPr>
              <w:spacing w:before="40" w:after="120"/>
              <w:ind w:right="113"/>
              <w:rPr>
                <w:sz w:val="18"/>
                <w:szCs w:val="18"/>
                <w:lang w:val="en-US"/>
              </w:rPr>
            </w:pPr>
            <w:r w:rsidRPr="00FD7066">
              <w:rPr>
                <w:sz w:val="18"/>
                <w:szCs w:val="18"/>
                <w:lang w:val="en-US"/>
              </w:rPr>
              <w:t>(OICA) Proposal for amendments to UN Regulation No.</w:t>
            </w:r>
            <w:r w:rsidR="00FD7066" w:rsidRPr="00FD7066">
              <w:rPr>
                <w:sz w:val="18"/>
                <w:szCs w:val="18"/>
                <w:lang w:val="en-US"/>
              </w:rPr>
              <w:t> </w:t>
            </w:r>
            <w:r w:rsidRPr="00FD7066">
              <w:rPr>
                <w:sz w:val="18"/>
                <w:szCs w:val="18"/>
                <w:lang w:val="en-US"/>
              </w:rPr>
              <w:t>144 on Accident Emergency Call Systems</w:t>
            </w:r>
          </w:p>
        </w:tc>
        <w:tc>
          <w:tcPr>
            <w:tcW w:w="1009" w:type="dxa"/>
            <w:shd w:val="clear" w:color="auto" w:fill="auto"/>
          </w:tcPr>
          <w:p w14:paraId="1EBBE31E" w14:textId="77777777" w:rsidR="008365D6" w:rsidRPr="00FD7066" w:rsidRDefault="008365D6" w:rsidP="008365D6">
            <w:pPr>
              <w:spacing w:before="40" w:after="120"/>
              <w:ind w:right="113"/>
              <w:rPr>
                <w:sz w:val="18"/>
                <w:szCs w:val="18"/>
              </w:rPr>
            </w:pPr>
            <w:r w:rsidRPr="00FD7066">
              <w:rPr>
                <w:sz w:val="18"/>
                <w:szCs w:val="18"/>
              </w:rPr>
              <w:t>(e)</w:t>
            </w:r>
          </w:p>
        </w:tc>
      </w:tr>
      <w:tr w:rsidR="008365D6" w:rsidRPr="00FD7066" w14:paraId="37198910" w14:textId="77777777" w:rsidTr="00E11FF7">
        <w:tc>
          <w:tcPr>
            <w:tcW w:w="1820" w:type="dxa"/>
            <w:shd w:val="clear" w:color="auto" w:fill="auto"/>
          </w:tcPr>
          <w:p w14:paraId="37D080C6" w14:textId="77777777" w:rsidR="008365D6" w:rsidRPr="00FD7066" w:rsidRDefault="008365D6" w:rsidP="008365D6">
            <w:pPr>
              <w:spacing w:before="40" w:after="120"/>
              <w:ind w:right="113"/>
              <w:rPr>
                <w:sz w:val="18"/>
                <w:szCs w:val="18"/>
              </w:rPr>
            </w:pPr>
            <w:r w:rsidRPr="00FD7066">
              <w:rPr>
                <w:sz w:val="18"/>
                <w:szCs w:val="18"/>
              </w:rPr>
              <w:t>24</w:t>
            </w:r>
          </w:p>
        </w:tc>
        <w:tc>
          <w:tcPr>
            <w:tcW w:w="5675" w:type="dxa"/>
            <w:shd w:val="clear" w:color="auto" w:fill="auto"/>
          </w:tcPr>
          <w:p w14:paraId="54E8FF40" w14:textId="77777777" w:rsidR="008365D6" w:rsidRPr="00FD7066" w:rsidRDefault="008365D6" w:rsidP="008365D6">
            <w:pPr>
              <w:spacing w:before="40" w:after="120"/>
              <w:ind w:right="113"/>
              <w:rPr>
                <w:sz w:val="18"/>
                <w:szCs w:val="18"/>
                <w:lang w:val="en-US"/>
              </w:rPr>
            </w:pPr>
            <w:r w:rsidRPr="00FD7066">
              <w:rPr>
                <w:sz w:val="18"/>
                <w:szCs w:val="18"/>
                <w:lang w:val="en-US"/>
              </w:rPr>
              <w:t>(OICA) Proposal for amendments to ECE/TRANS/WP.29/GRSG/2018/24 (Proposal for a new UN Regulation on uniform provisions concerning the approval of motor vehicles with regard to the Blind Spot Information System for the Detection of Bicycles)</w:t>
            </w:r>
          </w:p>
        </w:tc>
        <w:tc>
          <w:tcPr>
            <w:tcW w:w="1009" w:type="dxa"/>
            <w:shd w:val="clear" w:color="auto" w:fill="auto"/>
          </w:tcPr>
          <w:p w14:paraId="0995137E" w14:textId="77777777" w:rsidR="008365D6" w:rsidRPr="00FD7066" w:rsidRDefault="008365D6" w:rsidP="008365D6">
            <w:pPr>
              <w:spacing w:before="40" w:after="120"/>
              <w:ind w:right="113"/>
              <w:rPr>
                <w:sz w:val="18"/>
                <w:szCs w:val="18"/>
              </w:rPr>
            </w:pPr>
            <w:r w:rsidRPr="00FD7066">
              <w:rPr>
                <w:sz w:val="18"/>
                <w:szCs w:val="18"/>
              </w:rPr>
              <w:t>(e)</w:t>
            </w:r>
          </w:p>
        </w:tc>
      </w:tr>
      <w:tr w:rsidR="008365D6" w:rsidRPr="00FD7066" w14:paraId="72905B0B" w14:textId="77777777" w:rsidTr="00E11FF7">
        <w:tc>
          <w:tcPr>
            <w:tcW w:w="1820" w:type="dxa"/>
            <w:shd w:val="clear" w:color="auto" w:fill="auto"/>
          </w:tcPr>
          <w:p w14:paraId="69ABFECE" w14:textId="77777777" w:rsidR="008365D6" w:rsidRPr="00FD7066" w:rsidRDefault="008365D6" w:rsidP="008365D6">
            <w:pPr>
              <w:spacing w:before="40" w:after="120"/>
              <w:ind w:right="113"/>
              <w:rPr>
                <w:sz w:val="18"/>
                <w:szCs w:val="18"/>
              </w:rPr>
            </w:pPr>
            <w:r w:rsidRPr="00FD7066">
              <w:rPr>
                <w:sz w:val="18"/>
                <w:szCs w:val="18"/>
              </w:rPr>
              <w:t>25</w:t>
            </w:r>
          </w:p>
        </w:tc>
        <w:tc>
          <w:tcPr>
            <w:tcW w:w="5675" w:type="dxa"/>
            <w:shd w:val="clear" w:color="auto" w:fill="auto"/>
          </w:tcPr>
          <w:p w14:paraId="065B166E" w14:textId="77777777" w:rsidR="008365D6" w:rsidRPr="00FD7066" w:rsidRDefault="008365D6" w:rsidP="008365D6">
            <w:pPr>
              <w:spacing w:before="40" w:after="120"/>
              <w:ind w:right="113"/>
              <w:rPr>
                <w:sz w:val="18"/>
                <w:szCs w:val="18"/>
              </w:rPr>
            </w:pPr>
            <w:r w:rsidRPr="00FD7066">
              <w:rPr>
                <w:sz w:val="18"/>
                <w:szCs w:val="18"/>
              </w:rPr>
              <w:t>(CE) Draft amendments to UN Regulation No. 93 (Front Underrun Protection)</w:t>
            </w:r>
          </w:p>
        </w:tc>
        <w:tc>
          <w:tcPr>
            <w:tcW w:w="1009" w:type="dxa"/>
            <w:shd w:val="clear" w:color="auto" w:fill="auto"/>
          </w:tcPr>
          <w:p w14:paraId="6F783B85" w14:textId="77777777" w:rsidR="008365D6" w:rsidRPr="00FD7066" w:rsidRDefault="008365D6" w:rsidP="008365D6">
            <w:pPr>
              <w:spacing w:before="40" w:after="120"/>
              <w:ind w:right="113"/>
              <w:rPr>
                <w:sz w:val="18"/>
                <w:szCs w:val="18"/>
              </w:rPr>
            </w:pPr>
            <w:r w:rsidRPr="00FD7066">
              <w:rPr>
                <w:sz w:val="18"/>
                <w:szCs w:val="18"/>
              </w:rPr>
              <w:t>(e)</w:t>
            </w:r>
          </w:p>
        </w:tc>
      </w:tr>
      <w:tr w:rsidR="008365D6" w:rsidRPr="00FD7066" w14:paraId="43147266" w14:textId="77777777" w:rsidTr="00E11FF7">
        <w:tc>
          <w:tcPr>
            <w:tcW w:w="1820" w:type="dxa"/>
            <w:shd w:val="clear" w:color="auto" w:fill="auto"/>
          </w:tcPr>
          <w:p w14:paraId="2701AD68" w14:textId="77777777" w:rsidR="008365D6" w:rsidRPr="00FD7066" w:rsidRDefault="008365D6" w:rsidP="008365D6">
            <w:pPr>
              <w:spacing w:before="40" w:after="120"/>
              <w:ind w:right="113"/>
              <w:rPr>
                <w:sz w:val="18"/>
                <w:szCs w:val="18"/>
              </w:rPr>
            </w:pPr>
            <w:r w:rsidRPr="00FD7066">
              <w:rPr>
                <w:sz w:val="18"/>
                <w:szCs w:val="18"/>
              </w:rPr>
              <w:t>26</w:t>
            </w:r>
          </w:p>
        </w:tc>
        <w:tc>
          <w:tcPr>
            <w:tcW w:w="5675" w:type="dxa"/>
            <w:shd w:val="clear" w:color="auto" w:fill="auto"/>
          </w:tcPr>
          <w:p w14:paraId="066644BA" w14:textId="77777777" w:rsidR="008365D6" w:rsidRPr="00FD7066" w:rsidRDefault="008365D6" w:rsidP="008365D6">
            <w:pPr>
              <w:spacing w:before="40" w:after="120"/>
              <w:ind w:right="113"/>
              <w:rPr>
                <w:sz w:val="18"/>
                <w:szCs w:val="18"/>
                <w:lang w:val="en-US"/>
              </w:rPr>
            </w:pPr>
            <w:r w:rsidRPr="00FD7066">
              <w:rPr>
                <w:sz w:val="18"/>
                <w:szCs w:val="18"/>
                <w:lang w:val="en-US"/>
              </w:rPr>
              <w:t>(Italie) Proposal for Supplement 3 to the 07 series of amendments to UN Regulation No. 107 (M2 and M3 vehicles)</w:t>
            </w:r>
          </w:p>
        </w:tc>
        <w:tc>
          <w:tcPr>
            <w:tcW w:w="1009" w:type="dxa"/>
            <w:shd w:val="clear" w:color="auto" w:fill="auto"/>
          </w:tcPr>
          <w:p w14:paraId="1C675429"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55355ED1" w14:textId="77777777" w:rsidTr="00E11FF7">
        <w:tc>
          <w:tcPr>
            <w:tcW w:w="1820" w:type="dxa"/>
            <w:shd w:val="clear" w:color="auto" w:fill="auto"/>
          </w:tcPr>
          <w:p w14:paraId="0275942A" w14:textId="77777777" w:rsidR="008365D6" w:rsidRPr="00FD7066" w:rsidRDefault="008365D6" w:rsidP="008365D6">
            <w:pPr>
              <w:spacing w:before="40" w:after="120"/>
              <w:ind w:right="113"/>
              <w:rPr>
                <w:sz w:val="18"/>
                <w:szCs w:val="18"/>
              </w:rPr>
            </w:pPr>
            <w:r w:rsidRPr="00FD7066">
              <w:rPr>
                <w:sz w:val="18"/>
                <w:szCs w:val="18"/>
              </w:rPr>
              <w:t>27-Rev.1</w:t>
            </w:r>
          </w:p>
        </w:tc>
        <w:tc>
          <w:tcPr>
            <w:tcW w:w="5675" w:type="dxa"/>
            <w:shd w:val="clear" w:color="auto" w:fill="auto"/>
          </w:tcPr>
          <w:p w14:paraId="73C1D251" w14:textId="77777777" w:rsidR="008365D6" w:rsidRPr="00FD7066" w:rsidRDefault="008365D6" w:rsidP="008365D6">
            <w:pPr>
              <w:spacing w:before="40" w:after="120"/>
              <w:ind w:right="113"/>
              <w:rPr>
                <w:sz w:val="18"/>
                <w:szCs w:val="18"/>
                <w:lang w:val="en-US"/>
              </w:rPr>
            </w:pPr>
            <w:r w:rsidRPr="00FD7066">
              <w:rPr>
                <w:sz w:val="18"/>
                <w:szCs w:val="18"/>
                <w:lang w:val="en-US"/>
              </w:rPr>
              <w:t>(OICA) UN Regulation No. 43 (Safety glazing) : OICA proposal to adapt the transitional provisions according to the decision of WP.29 at its 175th session</w:t>
            </w:r>
          </w:p>
        </w:tc>
        <w:tc>
          <w:tcPr>
            <w:tcW w:w="1009" w:type="dxa"/>
            <w:shd w:val="clear" w:color="auto" w:fill="auto"/>
          </w:tcPr>
          <w:p w14:paraId="6DAE5D12" w14:textId="77777777" w:rsidR="008365D6" w:rsidRPr="00FD7066" w:rsidRDefault="008365D6" w:rsidP="008365D6">
            <w:pPr>
              <w:spacing w:before="40" w:after="120"/>
              <w:ind w:right="113"/>
              <w:rPr>
                <w:sz w:val="18"/>
                <w:szCs w:val="18"/>
              </w:rPr>
            </w:pPr>
            <w:r w:rsidRPr="00FD7066">
              <w:rPr>
                <w:sz w:val="18"/>
                <w:szCs w:val="18"/>
              </w:rPr>
              <w:t>(b)</w:t>
            </w:r>
          </w:p>
        </w:tc>
      </w:tr>
      <w:tr w:rsidR="008365D6" w:rsidRPr="00FD7066" w14:paraId="614F5AA9" w14:textId="77777777" w:rsidTr="00E11FF7">
        <w:tc>
          <w:tcPr>
            <w:tcW w:w="1820" w:type="dxa"/>
            <w:shd w:val="clear" w:color="auto" w:fill="auto"/>
          </w:tcPr>
          <w:p w14:paraId="7B836BB0" w14:textId="77777777" w:rsidR="008365D6" w:rsidRPr="00FD7066" w:rsidRDefault="008365D6" w:rsidP="008365D6">
            <w:pPr>
              <w:spacing w:before="40" w:after="120"/>
              <w:ind w:right="113"/>
              <w:rPr>
                <w:sz w:val="18"/>
                <w:szCs w:val="18"/>
              </w:rPr>
            </w:pPr>
            <w:r w:rsidRPr="00FD7066">
              <w:rPr>
                <w:sz w:val="18"/>
                <w:szCs w:val="18"/>
              </w:rPr>
              <w:t>28-Rev.1</w:t>
            </w:r>
          </w:p>
        </w:tc>
        <w:tc>
          <w:tcPr>
            <w:tcW w:w="5675" w:type="dxa"/>
            <w:shd w:val="clear" w:color="auto" w:fill="auto"/>
          </w:tcPr>
          <w:p w14:paraId="7BC73120" w14:textId="77777777" w:rsidR="008365D6" w:rsidRPr="00FD7066" w:rsidRDefault="008365D6" w:rsidP="008365D6">
            <w:pPr>
              <w:spacing w:before="40" w:after="120"/>
              <w:ind w:right="113"/>
              <w:rPr>
                <w:sz w:val="18"/>
                <w:szCs w:val="18"/>
                <w:lang w:val="en-US"/>
              </w:rPr>
            </w:pPr>
            <w:r w:rsidRPr="00FD7066">
              <w:rPr>
                <w:sz w:val="18"/>
                <w:szCs w:val="18"/>
                <w:lang w:val="en-US"/>
              </w:rPr>
              <w:t>(OICA) UN Regulation No. 116 (Antitheft devices) : OICA proposal to adapt the transitional provisions according to the decision of WP.29 at its 175th session</w:t>
            </w:r>
          </w:p>
        </w:tc>
        <w:tc>
          <w:tcPr>
            <w:tcW w:w="1009" w:type="dxa"/>
            <w:shd w:val="clear" w:color="auto" w:fill="auto"/>
          </w:tcPr>
          <w:p w14:paraId="23B491F0" w14:textId="77777777" w:rsidR="008365D6" w:rsidRPr="00FD7066" w:rsidRDefault="008365D6" w:rsidP="008365D6">
            <w:pPr>
              <w:spacing w:before="40" w:after="120"/>
              <w:ind w:right="113"/>
              <w:rPr>
                <w:sz w:val="18"/>
                <w:szCs w:val="18"/>
              </w:rPr>
            </w:pPr>
            <w:r w:rsidRPr="00FD7066">
              <w:rPr>
                <w:sz w:val="18"/>
                <w:szCs w:val="18"/>
              </w:rPr>
              <w:t>(b)</w:t>
            </w:r>
          </w:p>
        </w:tc>
      </w:tr>
      <w:tr w:rsidR="008365D6" w:rsidRPr="00FD7066" w14:paraId="41C1ED3F" w14:textId="77777777" w:rsidTr="00E11FF7">
        <w:tc>
          <w:tcPr>
            <w:tcW w:w="1820" w:type="dxa"/>
            <w:shd w:val="clear" w:color="auto" w:fill="auto"/>
          </w:tcPr>
          <w:p w14:paraId="3C55E142" w14:textId="77777777" w:rsidR="008365D6" w:rsidRPr="00FD7066" w:rsidRDefault="008365D6" w:rsidP="008365D6">
            <w:pPr>
              <w:spacing w:before="40" w:after="120"/>
              <w:ind w:right="113"/>
              <w:rPr>
                <w:sz w:val="18"/>
                <w:szCs w:val="18"/>
              </w:rPr>
            </w:pPr>
            <w:r w:rsidRPr="00FD7066">
              <w:rPr>
                <w:sz w:val="18"/>
                <w:szCs w:val="18"/>
              </w:rPr>
              <w:t>29-Rev.1</w:t>
            </w:r>
          </w:p>
        </w:tc>
        <w:tc>
          <w:tcPr>
            <w:tcW w:w="5675" w:type="dxa"/>
            <w:shd w:val="clear" w:color="auto" w:fill="auto"/>
          </w:tcPr>
          <w:p w14:paraId="45AF6EFA" w14:textId="77777777" w:rsidR="008365D6" w:rsidRPr="00FD7066" w:rsidRDefault="008365D6" w:rsidP="008365D6">
            <w:pPr>
              <w:spacing w:before="40" w:after="120"/>
              <w:ind w:right="113"/>
              <w:rPr>
                <w:sz w:val="18"/>
                <w:szCs w:val="18"/>
                <w:lang w:val="en-US"/>
              </w:rPr>
            </w:pPr>
            <w:r w:rsidRPr="00FD7066">
              <w:rPr>
                <w:sz w:val="18"/>
                <w:szCs w:val="18"/>
                <w:lang w:val="en-US"/>
              </w:rPr>
              <w:t>(OICA) UN Regulation No. 121 (Controls and tell-tales) : OICA proposal to adapt the transitional provisions according to the decision of WP.29 at its 175th session</w:t>
            </w:r>
          </w:p>
        </w:tc>
        <w:tc>
          <w:tcPr>
            <w:tcW w:w="1009" w:type="dxa"/>
            <w:shd w:val="clear" w:color="auto" w:fill="auto"/>
          </w:tcPr>
          <w:p w14:paraId="76414A07" w14:textId="77777777" w:rsidR="008365D6" w:rsidRPr="00FD7066" w:rsidRDefault="008365D6" w:rsidP="008365D6">
            <w:pPr>
              <w:spacing w:before="40" w:after="120"/>
              <w:ind w:right="113"/>
              <w:rPr>
                <w:sz w:val="18"/>
                <w:szCs w:val="18"/>
              </w:rPr>
            </w:pPr>
            <w:r w:rsidRPr="00FD7066">
              <w:rPr>
                <w:sz w:val="18"/>
                <w:szCs w:val="18"/>
              </w:rPr>
              <w:t>(b)</w:t>
            </w:r>
          </w:p>
        </w:tc>
      </w:tr>
      <w:tr w:rsidR="008365D6" w:rsidRPr="00FD7066" w14:paraId="74D28E74" w14:textId="77777777" w:rsidTr="00E11FF7">
        <w:tc>
          <w:tcPr>
            <w:tcW w:w="1820" w:type="dxa"/>
            <w:shd w:val="clear" w:color="auto" w:fill="auto"/>
          </w:tcPr>
          <w:p w14:paraId="47B769B8" w14:textId="77777777" w:rsidR="008365D6" w:rsidRPr="00FD7066" w:rsidRDefault="008365D6" w:rsidP="008365D6">
            <w:pPr>
              <w:spacing w:before="40" w:after="120"/>
              <w:ind w:right="113"/>
              <w:rPr>
                <w:sz w:val="18"/>
                <w:szCs w:val="18"/>
              </w:rPr>
            </w:pPr>
            <w:r w:rsidRPr="00FD7066">
              <w:rPr>
                <w:sz w:val="18"/>
                <w:szCs w:val="18"/>
              </w:rPr>
              <w:t>30</w:t>
            </w:r>
          </w:p>
        </w:tc>
        <w:tc>
          <w:tcPr>
            <w:tcW w:w="5675" w:type="dxa"/>
            <w:shd w:val="clear" w:color="auto" w:fill="auto"/>
          </w:tcPr>
          <w:p w14:paraId="625F9DE5" w14:textId="77777777" w:rsidR="008365D6" w:rsidRPr="00FD7066" w:rsidRDefault="008365D6" w:rsidP="008365D6">
            <w:pPr>
              <w:spacing w:before="40" w:after="120"/>
              <w:ind w:right="113"/>
              <w:rPr>
                <w:sz w:val="18"/>
                <w:szCs w:val="18"/>
                <w:lang w:val="en-US"/>
              </w:rPr>
            </w:pPr>
            <w:r w:rsidRPr="00FD7066">
              <w:rPr>
                <w:sz w:val="18"/>
                <w:szCs w:val="18"/>
                <w:lang w:val="en-US"/>
              </w:rPr>
              <w:t>(CLEPA) Proposal for amendments to the draft new UN Regulation on uniform provisions concerning the approval of motor vehicles with regard to the Blind Spot Information System for the Detection of Bicycles</w:t>
            </w:r>
          </w:p>
        </w:tc>
        <w:tc>
          <w:tcPr>
            <w:tcW w:w="1009" w:type="dxa"/>
            <w:shd w:val="clear" w:color="auto" w:fill="auto"/>
          </w:tcPr>
          <w:p w14:paraId="0939432B"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5DEE3567" w14:textId="77777777" w:rsidTr="00E11FF7">
        <w:tc>
          <w:tcPr>
            <w:tcW w:w="1820" w:type="dxa"/>
            <w:shd w:val="clear" w:color="auto" w:fill="auto"/>
          </w:tcPr>
          <w:p w14:paraId="4CAFDD12" w14:textId="77777777" w:rsidR="008365D6" w:rsidRPr="00FD7066" w:rsidRDefault="008365D6" w:rsidP="008365D6">
            <w:pPr>
              <w:spacing w:before="40" w:after="120"/>
              <w:ind w:right="113"/>
              <w:rPr>
                <w:sz w:val="18"/>
                <w:szCs w:val="18"/>
              </w:rPr>
            </w:pPr>
            <w:r w:rsidRPr="00FD7066">
              <w:rPr>
                <w:sz w:val="18"/>
                <w:szCs w:val="18"/>
              </w:rPr>
              <w:t>31</w:t>
            </w:r>
          </w:p>
        </w:tc>
        <w:tc>
          <w:tcPr>
            <w:tcW w:w="5675" w:type="dxa"/>
            <w:shd w:val="clear" w:color="auto" w:fill="auto"/>
          </w:tcPr>
          <w:p w14:paraId="11C0C8CB" w14:textId="77777777" w:rsidR="008365D6" w:rsidRPr="00FD7066" w:rsidRDefault="008365D6" w:rsidP="008365D6">
            <w:pPr>
              <w:spacing w:before="40" w:after="120"/>
              <w:ind w:right="113"/>
              <w:rPr>
                <w:sz w:val="18"/>
                <w:szCs w:val="18"/>
                <w:lang w:val="en-US"/>
              </w:rPr>
            </w:pPr>
            <w:r w:rsidRPr="00FD7066">
              <w:rPr>
                <w:sz w:val="18"/>
                <w:szCs w:val="18"/>
                <w:lang w:val="en-US"/>
              </w:rPr>
              <w:t>(CLEPA) Proposal for amendments to the draft new UN Regulation on uniform provisions concerning the approval of motor vehicles with regard to the Blind Spot Information System for the Detection of Bicycles</w:t>
            </w:r>
          </w:p>
        </w:tc>
        <w:tc>
          <w:tcPr>
            <w:tcW w:w="1009" w:type="dxa"/>
            <w:shd w:val="clear" w:color="auto" w:fill="auto"/>
          </w:tcPr>
          <w:p w14:paraId="2BE3D1A3"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76CD94C4" w14:textId="77777777" w:rsidTr="00E11FF7">
        <w:tc>
          <w:tcPr>
            <w:tcW w:w="1820" w:type="dxa"/>
            <w:shd w:val="clear" w:color="auto" w:fill="auto"/>
          </w:tcPr>
          <w:p w14:paraId="16838C6F" w14:textId="77777777" w:rsidR="008365D6" w:rsidRPr="00FD7066" w:rsidRDefault="008365D6" w:rsidP="008365D6">
            <w:pPr>
              <w:spacing w:before="40" w:after="120"/>
              <w:ind w:right="113"/>
              <w:rPr>
                <w:sz w:val="18"/>
                <w:szCs w:val="18"/>
              </w:rPr>
            </w:pPr>
            <w:r w:rsidRPr="00FD7066">
              <w:rPr>
                <w:sz w:val="18"/>
                <w:szCs w:val="18"/>
              </w:rPr>
              <w:t>32</w:t>
            </w:r>
          </w:p>
        </w:tc>
        <w:tc>
          <w:tcPr>
            <w:tcW w:w="5675" w:type="dxa"/>
            <w:shd w:val="clear" w:color="auto" w:fill="auto"/>
          </w:tcPr>
          <w:p w14:paraId="4FAF33E6" w14:textId="77777777" w:rsidR="008365D6" w:rsidRPr="00FD7066" w:rsidRDefault="008365D6" w:rsidP="008365D6">
            <w:pPr>
              <w:spacing w:before="40" w:after="120"/>
              <w:ind w:right="113"/>
              <w:rPr>
                <w:sz w:val="18"/>
                <w:szCs w:val="18"/>
                <w:lang w:val="en-US"/>
              </w:rPr>
            </w:pPr>
            <w:r w:rsidRPr="00FD7066">
              <w:rPr>
                <w:sz w:val="18"/>
                <w:szCs w:val="18"/>
                <w:lang w:val="en-US"/>
              </w:rPr>
              <w:t>(CLEPA) Proposal for Supplement 4 to the 03 series of amendments of UN Regulation No. 26 concerning the approval of vehicles with regard to their external projections</w:t>
            </w:r>
          </w:p>
        </w:tc>
        <w:tc>
          <w:tcPr>
            <w:tcW w:w="1009" w:type="dxa"/>
            <w:shd w:val="clear" w:color="auto" w:fill="auto"/>
          </w:tcPr>
          <w:p w14:paraId="0F66D387"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7E2B7996" w14:textId="77777777" w:rsidTr="00E11FF7">
        <w:tc>
          <w:tcPr>
            <w:tcW w:w="1820" w:type="dxa"/>
            <w:shd w:val="clear" w:color="auto" w:fill="auto"/>
          </w:tcPr>
          <w:p w14:paraId="47D12248" w14:textId="77777777" w:rsidR="008365D6" w:rsidRPr="00FD7066" w:rsidRDefault="008365D6" w:rsidP="00D5525A">
            <w:pPr>
              <w:keepNext/>
              <w:keepLines/>
              <w:spacing w:before="40" w:after="120"/>
              <w:ind w:right="113"/>
              <w:rPr>
                <w:sz w:val="18"/>
                <w:szCs w:val="18"/>
              </w:rPr>
            </w:pPr>
            <w:r w:rsidRPr="00FD7066">
              <w:rPr>
                <w:sz w:val="18"/>
                <w:szCs w:val="18"/>
              </w:rPr>
              <w:lastRenderedPageBreak/>
              <w:t>33</w:t>
            </w:r>
          </w:p>
        </w:tc>
        <w:tc>
          <w:tcPr>
            <w:tcW w:w="5675" w:type="dxa"/>
            <w:shd w:val="clear" w:color="auto" w:fill="auto"/>
          </w:tcPr>
          <w:p w14:paraId="3D1D0065" w14:textId="77777777" w:rsidR="008365D6" w:rsidRPr="00FD7066" w:rsidRDefault="008365D6" w:rsidP="00D5525A">
            <w:pPr>
              <w:keepNext/>
              <w:keepLines/>
              <w:spacing w:before="40" w:after="120"/>
              <w:ind w:right="113"/>
              <w:rPr>
                <w:sz w:val="18"/>
                <w:szCs w:val="18"/>
                <w:lang w:val="en-US"/>
              </w:rPr>
            </w:pPr>
            <w:r w:rsidRPr="00FD7066">
              <w:rPr>
                <w:sz w:val="18"/>
                <w:szCs w:val="18"/>
                <w:lang w:val="en-US"/>
              </w:rPr>
              <w:t>(Allemagne) Regulation on Blind Spot Information System for the Detection of Bicycles - Introduction and summary of changes from the IWG on VRU-Proxi</w:t>
            </w:r>
          </w:p>
        </w:tc>
        <w:tc>
          <w:tcPr>
            <w:tcW w:w="1009" w:type="dxa"/>
            <w:shd w:val="clear" w:color="auto" w:fill="auto"/>
          </w:tcPr>
          <w:p w14:paraId="1CA4ED2C" w14:textId="77777777" w:rsidR="008365D6" w:rsidRPr="00FD7066" w:rsidRDefault="008365D6" w:rsidP="00D5525A">
            <w:pPr>
              <w:keepNext/>
              <w:keepLines/>
              <w:spacing w:before="40" w:after="120"/>
              <w:ind w:right="113"/>
              <w:rPr>
                <w:sz w:val="18"/>
                <w:szCs w:val="18"/>
              </w:rPr>
            </w:pPr>
            <w:r w:rsidRPr="00FD7066">
              <w:rPr>
                <w:sz w:val="18"/>
                <w:szCs w:val="18"/>
              </w:rPr>
              <w:t>(f)</w:t>
            </w:r>
          </w:p>
        </w:tc>
      </w:tr>
      <w:tr w:rsidR="008365D6" w:rsidRPr="00FD7066" w14:paraId="3E1A0B17" w14:textId="77777777" w:rsidTr="00E11FF7">
        <w:tc>
          <w:tcPr>
            <w:tcW w:w="1820" w:type="dxa"/>
            <w:shd w:val="clear" w:color="auto" w:fill="auto"/>
          </w:tcPr>
          <w:p w14:paraId="64E47011" w14:textId="77777777" w:rsidR="008365D6" w:rsidRPr="00FD7066" w:rsidRDefault="008365D6" w:rsidP="008365D6">
            <w:pPr>
              <w:spacing w:before="40" w:after="120"/>
              <w:ind w:right="113"/>
              <w:rPr>
                <w:sz w:val="18"/>
                <w:szCs w:val="18"/>
              </w:rPr>
            </w:pPr>
            <w:r w:rsidRPr="00FD7066">
              <w:rPr>
                <w:sz w:val="18"/>
                <w:szCs w:val="18"/>
              </w:rPr>
              <w:t>34</w:t>
            </w:r>
          </w:p>
        </w:tc>
        <w:tc>
          <w:tcPr>
            <w:tcW w:w="5675" w:type="dxa"/>
            <w:shd w:val="clear" w:color="auto" w:fill="auto"/>
          </w:tcPr>
          <w:p w14:paraId="2AAC30B1" w14:textId="77777777" w:rsidR="008365D6" w:rsidRPr="00FD7066" w:rsidRDefault="008365D6" w:rsidP="008365D6">
            <w:pPr>
              <w:spacing w:before="40" w:after="120"/>
              <w:ind w:right="113"/>
              <w:rPr>
                <w:sz w:val="18"/>
                <w:szCs w:val="18"/>
                <w:lang w:val="en-US"/>
              </w:rPr>
            </w:pPr>
            <w:r w:rsidRPr="00FD7066">
              <w:rPr>
                <w:sz w:val="18"/>
                <w:szCs w:val="18"/>
                <w:lang w:val="en-US"/>
              </w:rPr>
              <w:t>(CE) Draft amendments to UN Regulation No. 55 (Mechanical couplings)</w:t>
            </w:r>
          </w:p>
        </w:tc>
        <w:tc>
          <w:tcPr>
            <w:tcW w:w="1009" w:type="dxa"/>
            <w:shd w:val="clear" w:color="auto" w:fill="auto"/>
          </w:tcPr>
          <w:p w14:paraId="2AD4BB16" w14:textId="77777777" w:rsidR="008365D6" w:rsidRPr="00FD7066" w:rsidRDefault="008365D6" w:rsidP="008365D6">
            <w:pPr>
              <w:spacing w:before="40" w:after="120"/>
              <w:ind w:right="113"/>
              <w:rPr>
                <w:sz w:val="18"/>
                <w:szCs w:val="18"/>
              </w:rPr>
            </w:pPr>
            <w:r w:rsidRPr="00FD7066">
              <w:rPr>
                <w:sz w:val="18"/>
                <w:szCs w:val="18"/>
              </w:rPr>
              <w:t>(c)</w:t>
            </w:r>
          </w:p>
        </w:tc>
      </w:tr>
      <w:tr w:rsidR="008365D6" w:rsidRPr="00FD7066" w14:paraId="7173A59F" w14:textId="77777777" w:rsidTr="00E11FF7">
        <w:tc>
          <w:tcPr>
            <w:tcW w:w="1820" w:type="dxa"/>
            <w:shd w:val="clear" w:color="auto" w:fill="auto"/>
          </w:tcPr>
          <w:p w14:paraId="082851DE" w14:textId="77777777" w:rsidR="008365D6" w:rsidRPr="00FD7066" w:rsidRDefault="008365D6" w:rsidP="008365D6">
            <w:pPr>
              <w:spacing w:before="40" w:after="120"/>
              <w:ind w:right="113"/>
              <w:rPr>
                <w:sz w:val="18"/>
                <w:szCs w:val="18"/>
              </w:rPr>
            </w:pPr>
            <w:r w:rsidRPr="00FD7066">
              <w:rPr>
                <w:sz w:val="18"/>
                <w:szCs w:val="18"/>
              </w:rPr>
              <w:t>35</w:t>
            </w:r>
          </w:p>
        </w:tc>
        <w:tc>
          <w:tcPr>
            <w:tcW w:w="5675" w:type="dxa"/>
            <w:shd w:val="clear" w:color="auto" w:fill="auto"/>
          </w:tcPr>
          <w:p w14:paraId="0DD96354" w14:textId="77777777" w:rsidR="008365D6" w:rsidRPr="00FD7066" w:rsidRDefault="008365D6" w:rsidP="008365D6">
            <w:pPr>
              <w:spacing w:before="40" w:after="120"/>
              <w:ind w:right="113"/>
              <w:rPr>
                <w:sz w:val="18"/>
                <w:szCs w:val="18"/>
              </w:rPr>
            </w:pPr>
            <w:r w:rsidRPr="00FD7066">
              <w:rPr>
                <w:sz w:val="18"/>
                <w:szCs w:val="18"/>
              </w:rPr>
              <w:t>(République de Corée) Progress report by PSG IWG</w:t>
            </w:r>
          </w:p>
        </w:tc>
        <w:tc>
          <w:tcPr>
            <w:tcW w:w="1009" w:type="dxa"/>
            <w:shd w:val="clear" w:color="auto" w:fill="auto"/>
          </w:tcPr>
          <w:p w14:paraId="67C45166"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27E8C49C" w14:textId="77777777" w:rsidTr="00E11FF7">
        <w:tc>
          <w:tcPr>
            <w:tcW w:w="1820" w:type="dxa"/>
            <w:shd w:val="clear" w:color="auto" w:fill="auto"/>
          </w:tcPr>
          <w:p w14:paraId="7CA5B05B" w14:textId="77777777" w:rsidR="008365D6" w:rsidRPr="00FD7066" w:rsidRDefault="008365D6" w:rsidP="008365D6">
            <w:pPr>
              <w:spacing w:before="40" w:after="120"/>
              <w:ind w:right="113"/>
              <w:rPr>
                <w:sz w:val="18"/>
                <w:szCs w:val="18"/>
              </w:rPr>
            </w:pPr>
            <w:r w:rsidRPr="00FD7066">
              <w:rPr>
                <w:sz w:val="18"/>
                <w:szCs w:val="18"/>
              </w:rPr>
              <w:t>36</w:t>
            </w:r>
          </w:p>
        </w:tc>
        <w:tc>
          <w:tcPr>
            <w:tcW w:w="5675" w:type="dxa"/>
            <w:shd w:val="clear" w:color="auto" w:fill="auto"/>
          </w:tcPr>
          <w:p w14:paraId="7B6B8CF7" w14:textId="77777777" w:rsidR="008365D6" w:rsidRPr="00FD7066" w:rsidRDefault="008365D6" w:rsidP="008365D6">
            <w:pPr>
              <w:spacing w:before="40" w:after="120"/>
              <w:ind w:right="113"/>
              <w:rPr>
                <w:sz w:val="18"/>
                <w:szCs w:val="18"/>
                <w:lang w:val="en-US"/>
              </w:rPr>
            </w:pPr>
            <w:r w:rsidRPr="00FD7066">
              <w:rPr>
                <w:sz w:val="18"/>
                <w:szCs w:val="18"/>
                <w:lang w:val="en-US"/>
              </w:rPr>
              <w:t>(Israël) Proposal for amendments to the draft new UN Regulation on uniform provisions concerning the approval of motor vehicles with regard to the Blind Spot Information System for the Detection of Bicycles</w:t>
            </w:r>
          </w:p>
        </w:tc>
        <w:tc>
          <w:tcPr>
            <w:tcW w:w="1009" w:type="dxa"/>
            <w:shd w:val="clear" w:color="auto" w:fill="auto"/>
          </w:tcPr>
          <w:p w14:paraId="680BCDF3"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7301E716" w14:textId="77777777" w:rsidTr="00E11FF7">
        <w:tc>
          <w:tcPr>
            <w:tcW w:w="1820" w:type="dxa"/>
            <w:shd w:val="clear" w:color="auto" w:fill="auto"/>
          </w:tcPr>
          <w:p w14:paraId="27CB6CA4" w14:textId="77777777" w:rsidR="008365D6" w:rsidRPr="00FD7066" w:rsidRDefault="008365D6" w:rsidP="008365D6">
            <w:pPr>
              <w:spacing w:before="40" w:after="120"/>
              <w:ind w:right="113"/>
              <w:rPr>
                <w:sz w:val="18"/>
                <w:szCs w:val="18"/>
              </w:rPr>
            </w:pPr>
            <w:r w:rsidRPr="00FD7066">
              <w:rPr>
                <w:sz w:val="18"/>
                <w:szCs w:val="18"/>
              </w:rPr>
              <w:t>37</w:t>
            </w:r>
          </w:p>
        </w:tc>
        <w:tc>
          <w:tcPr>
            <w:tcW w:w="5675" w:type="dxa"/>
            <w:shd w:val="clear" w:color="auto" w:fill="auto"/>
          </w:tcPr>
          <w:p w14:paraId="42138C7F" w14:textId="77777777" w:rsidR="008365D6" w:rsidRPr="00FD7066" w:rsidRDefault="008365D6" w:rsidP="008365D6">
            <w:pPr>
              <w:spacing w:before="40" w:after="120"/>
              <w:ind w:right="113"/>
              <w:rPr>
                <w:sz w:val="18"/>
                <w:szCs w:val="18"/>
              </w:rPr>
            </w:pPr>
            <w:r w:rsidRPr="00FD7066">
              <w:rPr>
                <w:sz w:val="18"/>
                <w:szCs w:val="18"/>
              </w:rPr>
              <w:t>(Allemagne) Truck drivers’ turning information concept - a psychological approach</w:t>
            </w:r>
          </w:p>
        </w:tc>
        <w:tc>
          <w:tcPr>
            <w:tcW w:w="1009" w:type="dxa"/>
            <w:shd w:val="clear" w:color="auto" w:fill="auto"/>
          </w:tcPr>
          <w:p w14:paraId="0301B177"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796A2E65" w14:textId="77777777" w:rsidTr="00E11FF7">
        <w:tc>
          <w:tcPr>
            <w:tcW w:w="1820" w:type="dxa"/>
            <w:shd w:val="clear" w:color="auto" w:fill="auto"/>
          </w:tcPr>
          <w:p w14:paraId="2B0B346D" w14:textId="77777777" w:rsidR="008365D6" w:rsidRPr="00FD7066" w:rsidRDefault="008365D6" w:rsidP="008365D6">
            <w:pPr>
              <w:spacing w:before="40" w:after="120"/>
              <w:ind w:right="113"/>
              <w:rPr>
                <w:sz w:val="18"/>
                <w:szCs w:val="18"/>
              </w:rPr>
            </w:pPr>
            <w:r w:rsidRPr="00FD7066">
              <w:rPr>
                <w:sz w:val="18"/>
                <w:szCs w:val="18"/>
              </w:rPr>
              <w:t>38</w:t>
            </w:r>
          </w:p>
        </w:tc>
        <w:tc>
          <w:tcPr>
            <w:tcW w:w="5675" w:type="dxa"/>
            <w:shd w:val="clear" w:color="auto" w:fill="auto"/>
          </w:tcPr>
          <w:p w14:paraId="67E706B2" w14:textId="77777777" w:rsidR="008365D6" w:rsidRPr="00FD7066" w:rsidRDefault="008365D6" w:rsidP="008365D6">
            <w:pPr>
              <w:spacing w:before="40" w:after="120"/>
              <w:ind w:right="113"/>
              <w:rPr>
                <w:sz w:val="18"/>
                <w:szCs w:val="18"/>
                <w:lang w:val="en-US"/>
              </w:rPr>
            </w:pPr>
            <w:r w:rsidRPr="00FD7066">
              <w:rPr>
                <w:sz w:val="18"/>
                <w:szCs w:val="18"/>
                <w:lang w:val="en-US"/>
              </w:rPr>
              <w:t>(Inde) Comment on document ECE/TRANS/180/Add.6 Proposal for</w:t>
            </w:r>
            <w:r w:rsidR="00FD7066" w:rsidRPr="00FD7066">
              <w:rPr>
                <w:sz w:val="18"/>
                <w:szCs w:val="18"/>
                <w:lang w:val="en-US"/>
              </w:rPr>
              <w:t> </w:t>
            </w:r>
            <w:r w:rsidRPr="00FD7066">
              <w:rPr>
                <w:sz w:val="18"/>
                <w:szCs w:val="18"/>
                <w:lang w:val="en-US"/>
              </w:rPr>
              <w:t xml:space="preserve">Amendment 2 to the Global Technical Regulation No. 6 </w:t>
            </w:r>
            <w:r w:rsidR="00FD7066" w:rsidRPr="00FD7066">
              <w:rPr>
                <w:sz w:val="18"/>
                <w:szCs w:val="18"/>
                <w:lang w:val="en-US"/>
              </w:rPr>
              <w:br/>
            </w:r>
            <w:r w:rsidRPr="00FD7066">
              <w:rPr>
                <w:sz w:val="18"/>
                <w:szCs w:val="18"/>
                <w:lang w:val="en-US"/>
              </w:rPr>
              <w:t>(Safety Glazing)</w:t>
            </w:r>
          </w:p>
        </w:tc>
        <w:tc>
          <w:tcPr>
            <w:tcW w:w="1009" w:type="dxa"/>
            <w:shd w:val="clear" w:color="auto" w:fill="auto"/>
          </w:tcPr>
          <w:p w14:paraId="24F8D759" w14:textId="77777777" w:rsidR="008365D6" w:rsidRPr="00FD7066" w:rsidRDefault="008365D6" w:rsidP="008365D6">
            <w:pPr>
              <w:spacing w:before="40" w:after="120"/>
              <w:ind w:right="113"/>
              <w:rPr>
                <w:sz w:val="18"/>
                <w:szCs w:val="18"/>
              </w:rPr>
            </w:pPr>
            <w:r w:rsidRPr="00FD7066">
              <w:rPr>
                <w:sz w:val="18"/>
                <w:szCs w:val="18"/>
              </w:rPr>
              <w:t>(c)</w:t>
            </w:r>
          </w:p>
        </w:tc>
      </w:tr>
      <w:tr w:rsidR="008365D6" w:rsidRPr="00FD7066" w14:paraId="0B270795" w14:textId="77777777" w:rsidTr="00E11FF7">
        <w:tc>
          <w:tcPr>
            <w:tcW w:w="1820" w:type="dxa"/>
            <w:shd w:val="clear" w:color="auto" w:fill="auto"/>
          </w:tcPr>
          <w:p w14:paraId="7982DA50" w14:textId="77777777" w:rsidR="008365D6" w:rsidRPr="00FD7066" w:rsidRDefault="008365D6" w:rsidP="008365D6">
            <w:pPr>
              <w:spacing w:before="40" w:after="120"/>
              <w:ind w:right="113"/>
              <w:rPr>
                <w:sz w:val="18"/>
                <w:szCs w:val="18"/>
              </w:rPr>
            </w:pPr>
            <w:r w:rsidRPr="00FD7066">
              <w:rPr>
                <w:sz w:val="18"/>
                <w:szCs w:val="18"/>
              </w:rPr>
              <w:t>39</w:t>
            </w:r>
          </w:p>
        </w:tc>
        <w:tc>
          <w:tcPr>
            <w:tcW w:w="5675" w:type="dxa"/>
            <w:shd w:val="clear" w:color="auto" w:fill="auto"/>
          </w:tcPr>
          <w:p w14:paraId="2BFE388F" w14:textId="77777777" w:rsidR="008365D6" w:rsidRPr="00FD7066" w:rsidRDefault="008365D6" w:rsidP="008365D6">
            <w:pPr>
              <w:spacing w:before="40" w:after="120"/>
              <w:ind w:right="113"/>
              <w:rPr>
                <w:sz w:val="18"/>
                <w:szCs w:val="18"/>
                <w:lang w:val="en-US"/>
              </w:rPr>
            </w:pPr>
            <w:r w:rsidRPr="00FD7066">
              <w:rPr>
                <w:sz w:val="18"/>
                <w:szCs w:val="18"/>
                <w:lang w:val="en-US"/>
              </w:rPr>
              <w:t>(VRU-</w:t>
            </w:r>
            <w:proofErr w:type="spellStart"/>
            <w:r w:rsidRPr="00FD7066">
              <w:rPr>
                <w:sz w:val="18"/>
                <w:szCs w:val="18"/>
                <w:lang w:val="en-US"/>
              </w:rPr>
              <w:t>Proxi</w:t>
            </w:r>
            <w:proofErr w:type="spellEnd"/>
            <w:r w:rsidRPr="00FD7066">
              <w:rPr>
                <w:sz w:val="18"/>
                <w:szCs w:val="18"/>
                <w:lang w:val="en-US"/>
              </w:rPr>
              <w:t xml:space="preserve">) Proposal for the 05 series of amendment to UN Regulation </w:t>
            </w:r>
            <w:r w:rsidR="00D5525A">
              <w:rPr>
                <w:sz w:val="18"/>
                <w:szCs w:val="18"/>
                <w:lang w:val="en-US"/>
              </w:rPr>
              <w:br/>
            </w:r>
            <w:r w:rsidRPr="00FD7066">
              <w:rPr>
                <w:sz w:val="18"/>
                <w:szCs w:val="18"/>
                <w:lang w:val="en-US"/>
              </w:rPr>
              <w:t>No. 46 (Devices for indirect vision)</w:t>
            </w:r>
          </w:p>
        </w:tc>
        <w:tc>
          <w:tcPr>
            <w:tcW w:w="1009" w:type="dxa"/>
            <w:shd w:val="clear" w:color="auto" w:fill="auto"/>
          </w:tcPr>
          <w:p w14:paraId="52CC856A" w14:textId="77777777" w:rsidR="008365D6" w:rsidRPr="00FD7066" w:rsidRDefault="008365D6" w:rsidP="008365D6">
            <w:pPr>
              <w:spacing w:before="40" w:after="120"/>
              <w:ind w:right="113"/>
              <w:rPr>
                <w:sz w:val="18"/>
                <w:szCs w:val="18"/>
              </w:rPr>
            </w:pPr>
            <w:r w:rsidRPr="00FD7066">
              <w:rPr>
                <w:sz w:val="18"/>
                <w:szCs w:val="18"/>
              </w:rPr>
              <w:t>(e)</w:t>
            </w:r>
          </w:p>
        </w:tc>
      </w:tr>
      <w:tr w:rsidR="008365D6" w:rsidRPr="00FD7066" w14:paraId="22D43C06" w14:textId="77777777" w:rsidTr="00E11FF7">
        <w:tc>
          <w:tcPr>
            <w:tcW w:w="1820" w:type="dxa"/>
            <w:shd w:val="clear" w:color="auto" w:fill="auto"/>
          </w:tcPr>
          <w:p w14:paraId="735A8AF6" w14:textId="77777777" w:rsidR="008365D6" w:rsidRPr="00FD7066" w:rsidRDefault="008365D6" w:rsidP="008365D6">
            <w:pPr>
              <w:spacing w:before="40" w:after="120"/>
              <w:ind w:right="113"/>
              <w:rPr>
                <w:sz w:val="18"/>
                <w:szCs w:val="18"/>
              </w:rPr>
            </w:pPr>
            <w:r w:rsidRPr="00FD7066">
              <w:rPr>
                <w:sz w:val="18"/>
                <w:szCs w:val="18"/>
              </w:rPr>
              <w:t>40</w:t>
            </w:r>
          </w:p>
        </w:tc>
        <w:tc>
          <w:tcPr>
            <w:tcW w:w="5675" w:type="dxa"/>
            <w:shd w:val="clear" w:color="auto" w:fill="auto"/>
          </w:tcPr>
          <w:p w14:paraId="7391E32B" w14:textId="77777777" w:rsidR="008365D6" w:rsidRPr="00FD7066" w:rsidRDefault="008365D6" w:rsidP="008365D6">
            <w:pPr>
              <w:spacing w:before="40" w:after="120"/>
              <w:ind w:right="113"/>
              <w:rPr>
                <w:sz w:val="18"/>
                <w:szCs w:val="18"/>
                <w:lang w:val="en-US"/>
              </w:rPr>
            </w:pPr>
            <w:r w:rsidRPr="00FD7066">
              <w:rPr>
                <w:sz w:val="18"/>
                <w:szCs w:val="18"/>
                <w:lang w:val="en-US"/>
              </w:rPr>
              <w:t>(Japon) Status report of "Reversing Motion" in VRU-Proxi Informal Working Group</w:t>
            </w:r>
          </w:p>
        </w:tc>
        <w:tc>
          <w:tcPr>
            <w:tcW w:w="1009" w:type="dxa"/>
            <w:shd w:val="clear" w:color="auto" w:fill="auto"/>
          </w:tcPr>
          <w:p w14:paraId="3EC4E6BA"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027DFA56" w14:textId="77777777" w:rsidTr="00E11FF7">
        <w:tc>
          <w:tcPr>
            <w:tcW w:w="1820" w:type="dxa"/>
            <w:shd w:val="clear" w:color="auto" w:fill="auto"/>
          </w:tcPr>
          <w:p w14:paraId="430F6C79" w14:textId="77777777" w:rsidR="008365D6" w:rsidRPr="00FD7066" w:rsidRDefault="008365D6" w:rsidP="008365D6">
            <w:pPr>
              <w:spacing w:before="40" w:after="120"/>
              <w:ind w:right="113"/>
              <w:rPr>
                <w:sz w:val="18"/>
                <w:szCs w:val="18"/>
              </w:rPr>
            </w:pPr>
            <w:r w:rsidRPr="00FD7066">
              <w:rPr>
                <w:sz w:val="18"/>
                <w:szCs w:val="18"/>
              </w:rPr>
              <w:t>41</w:t>
            </w:r>
          </w:p>
        </w:tc>
        <w:tc>
          <w:tcPr>
            <w:tcW w:w="5675" w:type="dxa"/>
            <w:shd w:val="clear" w:color="auto" w:fill="auto"/>
          </w:tcPr>
          <w:p w14:paraId="41C143EF" w14:textId="77777777" w:rsidR="008365D6" w:rsidRPr="00FD7066" w:rsidRDefault="008365D6" w:rsidP="008365D6">
            <w:pPr>
              <w:spacing w:before="40" w:after="120"/>
              <w:ind w:right="113"/>
              <w:rPr>
                <w:sz w:val="18"/>
                <w:szCs w:val="18"/>
                <w:lang w:val="en-US"/>
              </w:rPr>
            </w:pPr>
            <w:r w:rsidRPr="00FD7066">
              <w:rPr>
                <w:sz w:val="18"/>
                <w:szCs w:val="18"/>
                <w:lang w:val="en-US"/>
              </w:rPr>
              <w:t>(OICA) UN Regulation No. 107 (Uniform provisions concerning the approval of category M2 or M3 vehicles with regard to their general construction) - Draft proposal for a correction in several supplements and series of amendments of UN Regulation No. 107</w:t>
            </w:r>
          </w:p>
        </w:tc>
        <w:tc>
          <w:tcPr>
            <w:tcW w:w="1009" w:type="dxa"/>
            <w:shd w:val="clear" w:color="auto" w:fill="auto"/>
          </w:tcPr>
          <w:p w14:paraId="2E5809D5" w14:textId="77777777" w:rsidR="008365D6" w:rsidRPr="00FD7066" w:rsidRDefault="008365D6" w:rsidP="008365D6">
            <w:pPr>
              <w:spacing w:before="40" w:after="120"/>
              <w:ind w:right="113"/>
              <w:rPr>
                <w:sz w:val="18"/>
                <w:szCs w:val="18"/>
              </w:rPr>
            </w:pPr>
            <w:r w:rsidRPr="00FD7066">
              <w:rPr>
                <w:sz w:val="18"/>
                <w:szCs w:val="18"/>
              </w:rPr>
              <w:t>(b)</w:t>
            </w:r>
          </w:p>
        </w:tc>
      </w:tr>
      <w:tr w:rsidR="008365D6" w:rsidRPr="00FD7066" w14:paraId="08974C7D" w14:textId="77777777" w:rsidTr="00E11FF7">
        <w:tc>
          <w:tcPr>
            <w:tcW w:w="1820" w:type="dxa"/>
            <w:tcBorders>
              <w:bottom w:val="single" w:sz="12" w:space="0" w:color="auto"/>
            </w:tcBorders>
            <w:shd w:val="clear" w:color="auto" w:fill="auto"/>
          </w:tcPr>
          <w:p w14:paraId="35F9736F" w14:textId="77777777" w:rsidR="008365D6" w:rsidRPr="00FD7066" w:rsidRDefault="008365D6" w:rsidP="008365D6">
            <w:pPr>
              <w:spacing w:before="40" w:after="120"/>
              <w:ind w:right="113"/>
              <w:rPr>
                <w:sz w:val="18"/>
                <w:szCs w:val="18"/>
              </w:rPr>
            </w:pPr>
            <w:r w:rsidRPr="00FD7066">
              <w:rPr>
                <w:sz w:val="18"/>
                <w:szCs w:val="18"/>
              </w:rPr>
              <w:t>42</w:t>
            </w:r>
          </w:p>
        </w:tc>
        <w:tc>
          <w:tcPr>
            <w:tcW w:w="5675" w:type="dxa"/>
            <w:tcBorders>
              <w:bottom w:val="single" w:sz="12" w:space="0" w:color="auto"/>
            </w:tcBorders>
            <w:shd w:val="clear" w:color="auto" w:fill="auto"/>
          </w:tcPr>
          <w:p w14:paraId="3DCE3A06" w14:textId="77777777" w:rsidR="008365D6" w:rsidRPr="00FD7066" w:rsidRDefault="008365D6" w:rsidP="008365D6">
            <w:pPr>
              <w:spacing w:before="40" w:after="120"/>
              <w:ind w:right="113"/>
              <w:rPr>
                <w:sz w:val="18"/>
                <w:szCs w:val="18"/>
                <w:lang w:val="en-US"/>
              </w:rPr>
            </w:pPr>
            <w:r w:rsidRPr="00FD7066">
              <w:rPr>
                <w:sz w:val="18"/>
                <w:szCs w:val="18"/>
                <w:lang w:val="en-US"/>
              </w:rPr>
              <w:t>(Secrétariat) ITC-related matters : ITC strategy 2030 - UN management reform update</w:t>
            </w:r>
          </w:p>
        </w:tc>
        <w:tc>
          <w:tcPr>
            <w:tcW w:w="1009" w:type="dxa"/>
            <w:tcBorders>
              <w:bottom w:val="single" w:sz="12" w:space="0" w:color="auto"/>
            </w:tcBorders>
            <w:shd w:val="clear" w:color="auto" w:fill="auto"/>
          </w:tcPr>
          <w:p w14:paraId="2B94DAB6" w14:textId="77777777" w:rsidR="008365D6" w:rsidRPr="00FD7066" w:rsidRDefault="008365D6" w:rsidP="008365D6">
            <w:pPr>
              <w:spacing w:before="40" w:after="120"/>
              <w:ind w:right="113"/>
              <w:rPr>
                <w:sz w:val="18"/>
                <w:szCs w:val="18"/>
              </w:rPr>
            </w:pPr>
            <w:r w:rsidRPr="00FD7066">
              <w:rPr>
                <w:sz w:val="18"/>
                <w:szCs w:val="18"/>
              </w:rPr>
              <w:t>(f)</w:t>
            </w:r>
          </w:p>
        </w:tc>
      </w:tr>
    </w:tbl>
    <w:p w14:paraId="2F5E1F1E" w14:textId="77777777" w:rsidR="008365D6" w:rsidRPr="008365D6" w:rsidRDefault="008365D6" w:rsidP="00E11FF7">
      <w:pPr>
        <w:pStyle w:val="H1G"/>
      </w:pPr>
      <w:r w:rsidRPr="008365D6">
        <w:tab/>
      </w:r>
      <w:r w:rsidRPr="008365D6">
        <w:tab/>
        <w:t>Liste des documents informels distribués lors des précédentes sessions du GRSG ou du Forum mondial</w:t>
      </w:r>
    </w:p>
    <w:tbl>
      <w:tblPr>
        <w:tblW w:w="8504" w:type="dxa"/>
        <w:tblInd w:w="1134" w:type="dxa"/>
        <w:tblLayout w:type="fixed"/>
        <w:tblCellMar>
          <w:left w:w="0" w:type="dxa"/>
          <w:right w:w="0" w:type="dxa"/>
        </w:tblCellMar>
        <w:tblLook w:val="01E0" w:firstRow="1" w:lastRow="1" w:firstColumn="1" w:lastColumn="1" w:noHBand="0" w:noVBand="0"/>
      </w:tblPr>
      <w:tblGrid>
        <w:gridCol w:w="1843"/>
        <w:gridCol w:w="5660"/>
        <w:gridCol w:w="1001"/>
      </w:tblGrid>
      <w:tr w:rsidR="008365D6" w:rsidRPr="008365D6" w14:paraId="35FFACA7" w14:textId="77777777" w:rsidTr="00E11FF7">
        <w:trPr>
          <w:tblHeader/>
        </w:trPr>
        <w:tc>
          <w:tcPr>
            <w:tcW w:w="1843" w:type="dxa"/>
            <w:tcBorders>
              <w:top w:val="single" w:sz="4" w:space="0" w:color="auto"/>
              <w:bottom w:val="single" w:sz="12" w:space="0" w:color="auto"/>
            </w:tcBorders>
            <w:shd w:val="clear" w:color="auto" w:fill="auto"/>
            <w:vAlign w:val="bottom"/>
          </w:tcPr>
          <w:p w14:paraId="48DC9538" w14:textId="77777777" w:rsidR="008365D6" w:rsidRPr="008365D6" w:rsidRDefault="008365D6" w:rsidP="008365D6">
            <w:pPr>
              <w:spacing w:before="80" w:after="80" w:line="200" w:lineRule="exact"/>
              <w:ind w:right="113"/>
              <w:rPr>
                <w:i/>
                <w:sz w:val="16"/>
              </w:rPr>
            </w:pPr>
            <w:r w:rsidRPr="008365D6">
              <w:rPr>
                <w:i/>
                <w:sz w:val="16"/>
              </w:rPr>
              <w:t>N</w:t>
            </w:r>
            <w:r w:rsidRPr="008365D6">
              <w:rPr>
                <w:i/>
                <w:sz w:val="16"/>
                <w:vertAlign w:val="superscript"/>
              </w:rPr>
              <w:t>o</w:t>
            </w:r>
          </w:p>
        </w:tc>
        <w:tc>
          <w:tcPr>
            <w:tcW w:w="5660" w:type="dxa"/>
            <w:tcBorders>
              <w:top w:val="single" w:sz="4" w:space="0" w:color="auto"/>
              <w:bottom w:val="single" w:sz="12" w:space="0" w:color="auto"/>
            </w:tcBorders>
            <w:shd w:val="clear" w:color="auto" w:fill="auto"/>
            <w:vAlign w:val="bottom"/>
          </w:tcPr>
          <w:p w14:paraId="51555E95" w14:textId="77777777" w:rsidR="008365D6" w:rsidRPr="008365D6" w:rsidRDefault="008365D6" w:rsidP="008365D6">
            <w:pPr>
              <w:spacing w:before="80" w:after="80" w:line="200" w:lineRule="exact"/>
              <w:ind w:right="113"/>
              <w:rPr>
                <w:i/>
                <w:sz w:val="16"/>
              </w:rPr>
            </w:pPr>
            <w:r w:rsidRPr="008365D6">
              <w:rPr>
                <w:i/>
                <w:sz w:val="16"/>
              </w:rPr>
              <w:t>(Auteur) Titre</w:t>
            </w:r>
          </w:p>
        </w:tc>
        <w:tc>
          <w:tcPr>
            <w:tcW w:w="1001" w:type="dxa"/>
            <w:tcBorders>
              <w:top w:val="single" w:sz="4" w:space="0" w:color="auto"/>
              <w:bottom w:val="single" w:sz="12" w:space="0" w:color="auto"/>
            </w:tcBorders>
            <w:shd w:val="clear" w:color="auto" w:fill="auto"/>
            <w:vAlign w:val="bottom"/>
          </w:tcPr>
          <w:p w14:paraId="531A60C8" w14:textId="77777777" w:rsidR="008365D6" w:rsidRPr="008365D6" w:rsidRDefault="008365D6" w:rsidP="008365D6">
            <w:pPr>
              <w:spacing w:before="80" w:after="80" w:line="200" w:lineRule="exact"/>
              <w:ind w:right="113"/>
              <w:rPr>
                <w:i/>
                <w:sz w:val="16"/>
              </w:rPr>
            </w:pPr>
            <w:r w:rsidRPr="008365D6">
              <w:rPr>
                <w:i/>
                <w:sz w:val="16"/>
              </w:rPr>
              <w:t>Suivi</w:t>
            </w:r>
          </w:p>
        </w:tc>
      </w:tr>
      <w:tr w:rsidR="008365D6" w:rsidRPr="008365D6" w14:paraId="0944829A" w14:textId="77777777" w:rsidTr="00E11FF7">
        <w:trPr>
          <w:trHeight w:hRule="exact" w:val="113"/>
          <w:tblHeader/>
        </w:trPr>
        <w:tc>
          <w:tcPr>
            <w:tcW w:w="1843" w:type="dxa"/>
            <w:tcBorders>
              <w:top w:val="single" w:sz="12" w:space="0" w:color="auto"/>
            </w:tcBorders>
            <w:shd w:val="clear" w:color="auto" w:fill="auto"/>
          </w:tcPr>
          <w:p w14:paraId="2C8F4DE6" w14:textId="77777777" w:rsidR="008365D6" w:rsidRPr="008365D6" w:rsidRDefault="008365D6" w:rsidP="008365D6">
            <w:pPr>
              <w:spacing w:before="40" w:after="120"/>
              <w:ind w:right="113"/>
            </w:pPr>
          </w:p>
        </w:tc>
        <w:tc>
          <w:tcPr>
            <w:tcW w:w="5660" w:type="dxa"/>
            <w:tcBorders>
              <w:top w:val="single" w:sz="12" w:space="0" w:color="auto"/>
            </w:tcBorders>
            <w:shd w:val="clear" w:color="auto" w:fill="auto"/>
          </w:tcPr>
          <w:p w14:paraId="10AC321F" w14:textId="77777777" w:rsidR="008365D6" w:rsidRPr="008365D6" w:rsidRDefault="008365D6" w:rsidP="008365D6">
            <w:pPr>
              <w:spacing w:before="40" w:after="120"/>
              <w:ind w:right="113"/>
            </w:pPr>
          </w:p>
        </w:tc>
        <w:tc>
          <w:tcPr>
            <w:tcW w:w="1001" w:type="dxa"/>
            <w:tcBorders>
              <w:top w:val="single" w:sz="12" w:space="0" w:color="auto"/>
            </w:tcBorders>
            <w:shd w:val="clear" w:color="auto" w:fill="auto"/>
          </w:tcPr>
          <w:p w14:paraId="390B8044" w14:textId="77777777" w:rsidR="008365D6" w:rsidRPr="008365D6" w:rsidRDefault="008365D6" w:rsidP="008365D6">
            <w:pPr>
              <w:spacing w:before="40" w:after="120"/>
              <w:ind w:right="113"/>
            </w:pPr>
          </w:p>
        </w:tc>
      </w:tr>
      <w:tr w:rsidR="008365D6" w:rsidRPr="00FD7066" w14:paraId="254E2A11" w14:textId="77777777" w:rsidTr="00E11FF7">
        <w:tc>
          <w:tcPr>
            <w:tcW w:w="1843" w:type="dxa"/>
            <w:shd w:val="clear" w:color="auto" w:fill="auto"/>
          </w:tcPr>
          <w:p w14:paraId="245315E1" w14:textId="77777777" w:rsidR="008365D6" w:rsidRPr="00FD7066" w:rsidRDefault="008365D6" w:rsidP="008365D6">
            <w:pPr>
              <w:spacing w:before="40" w:after="120"/>
              <w:ind w:right="113"/>
              <w:rPr>
                <w:sz w:val="18"/>
                <w:szCs w:val="18"/>
              </w:rPr>
            </w:pPr>
            <w:r w:rsidRPr="00FD7066">
              <w:rPr>
                <w:sz w:val="18"/>
                <w:szCs w:val="18"/>
              </w:rPr>
              <w:t>GRSG-113-11-Rev.1</w:t>
            </w:r>
          </w:p>
        </w:tc>
        <w:tc>
          <w:tcPr>
            <w:tcW w:w="5660" w:type="dxa"/>
            <w:shd w:val="clear" w:color="auto" w:fill="auto"/>
          </w:tcPr>
          <w:p w14:paraId="227B1A9A" w14:textId="77777777" w:rsidR="008365D6" w:rsidRPr="00FD7066" w:rsidRDefault="008365D6" w:rsidP="008365D6">
            <w:pPr>
              <w:spacing w:before="40" w:after="120"/>
              <w:ind w:right="113"/>
              <w:rPr>
                <w:sz w:val="18"/>
                <w:szCs w:val="18"/>
              </w:rPr>
            </w:pPr>
            <w:r w:rsidRPr="00FD7066">
              <w:rPr>
                <w:sz w:val="18"/>
                <w:szCs w:val="18"/>
              </w:rPr>
              <w:t>(France) Lateral Protection Devices (UN Regulation No.</w:t>
            </w:r>
            <w:r w:rsidR="00FD7066" w:rsidRPr="00FD7066">
              <w:rPr>
                <w:sz w:val="18"/>
                <w:szCs w:val="18"/>
              </w:rPr>
              <w:t> </w:t>
            </w:r>
            <w:r w:rsidRPr="00FD7066">
              <w:rPr>
                <w:sz w:val="18"/>
                <w:szCs w:val="18"/>
              </w:rPr>
              <w:t>73)</w:t>
            </w:r>
          </w:p>
        </w:tc>
        <w:tc>
          <w:tcPr>
            <w:tcW w:w="1001" w:type="dxa"/>
            <w:shd w:val="clear" w:color="auto" w:fill="auto"/>
          </w:tcPr>
          <w:p w14:paraId="67B852D2"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7FE70745" w14:textId="77777777" w:rsidTr="00E11FF7">
        <w:tc>
          <w:tcPr>
            <w:tcW w:w="1843" w:type="dxa"/>
            <w:shd w:val="clear" w:color="auto" w:fill="auto"/>
          </w:tcPr>
          <w:p w14:paraId="42B0979B" w14:textId="77777777" w:rsidR="008365D6" w:rsidRPr="00FD7066" w:rsidRDefault="008365D6" w:rsidP="008365D6">
            <w:pPr>
              <w:spacing w:before="40" w:after="120"/>
              <w:ind w:right="113"/>
              <w:rPr>
                <w:sz w:val="18"/>
                <w:szCs w:val="18"/>
              </w:rPr>
            </w:pPr>
            <w:r w:rsidRPr="00FD7066">
              <w:rPr>
                <w:sz w:val="18"/>
                <w:szCs w:val="18"/>
              </w:rPr>
              <w:t>GRSG-114-05</w:t>
            </w:r>
          </w:p>
        </w:tc>
        <w:tc>
          <w:tcPr>
            <w:tcW w:w="5660" w:type="dxa"/>
            <w:shd w:val="clear" w:color="auto" w:fill="auto"/>
          </w:tcPr>
          <w:p w14:paraId="0BB4EF73" w14:textId="77777777" w:rsidR="008365D6" w:rsidRPr="00FD7066" w:rsidRDefault="008365D6" w:rsidP="008365D6">
            <w:pPr>
              <w:spacing w:before="40" w:after="120"/>
              <w:ind w:right="113"/>
              <w:rPr>
                <w:sz w:val="18"/>
                <w:szCs w:val="18"/>
                <w:lang w:val="en-US"/>
              </w:rPr>
            </w:pPr>
            <w:r w:rsidRPr="00FD7066">
              <w:rPr>
                <w:sz w:val="18"/>
                <w:szCs w:val="18"/>
                <w:lang w:val="en-US"/>
              </w:rPr>
              <w:t>(Pologne) UN Regulation No. 107 (Uniform provisions concerning the approval of category M2 or M3 vehicles with regard to their general construction)</w:t>
            </w:r>
          </w:p>
        </w:tc>
        <w:tc>
          <w:tcPr>
            <w:tcW w:w="1001" w:type="dxa"/>
            <w:shd w:val="clear" w:color="auto" w:fill="auto"/>
          </w:tcPr>
          <w:p w14:paraId="3752D5F6"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45DE4393" w14:textId="77777777" w:rsidTr="00E11FF7">
        <w:tc>
          <w:tcPr>
            <w:tcW w:w="1843" w:type="dxa"/>
            <w:shd w:val="clear" w:color="auto" w:fill="auto"/>
          </w:tcPr>
          <w:p w14:paraId="5D0ED827" w14:textId="77777777" w:rsidR="008365D6" w:rsidRPr="00FD7066" w:rsidRDefault="008365D6" w:rsidP="008365D6">
            <w:pPr>
              <w:spacing w:before="40" w:after="120"/>
              <w:ind w:right="113"/>
              <w:rPr>
                <w:sz w:val="18"/>
                <w:szCs w:val="18"/>
              </w:rPr>
            </w:pPr>
            <w:r w:rsidRPr="00FD7066">
              <w:rPr>
                <w:sz w:val="18"/>
                <w:szCs w:val="18"/>
              </w:rPr>
              <w:t>GRSG-114-16</w:t>
            </w:r>
          </w:p>
        </w:tc>
        <w:tc>
          <w:tcPr>
            <w:tcW w:w="5660" w:type="dxa"/>
            <w:shd w:val="clear" w:color="auto" w:fill="auto"/>
          </w:tcPr>
          <w:p w14:paraId="1D873433" w14:textId="77777777" w:rsidR="008365D6" w:rsidRPr="00FD7066" w:rsidRDefault="008365D6" w:rsidP="008365D6">
            <w:pPr>
              <w:spacing w:before="40" w:after="120"/>
              <w:ind w:right="113"/>
              <w:rPr>
                <w:sz w:val="18"/>
                <w:szCs w:val="18"/>
                <w:lang w:val="en-US"/>
              </w:rPr>
            </w:pPr>
            <w:r w:rsidRPr="00FD7066">
              <w:rPr>
                <w:sz w:val="18"/>
                <w:szCs w:val="18"/>
                <w:lang w:val="en-US"/>
              </w:rPr>
              <w:t>(Italie) Proposal for Supplement 3 to the 07 series of amendments to UN Regulation No. 107 (M2 and M3 vehicles)</w:t>
            </w:r>
          </w:p>
        </w:tc>
        <w:tc>
          <w:tcPr>
            <w:tcW w:w="1001" w:type="dxa"/>
            <w:shd w:val="clear" w:color="auto" w:fill="auto"/>
          </w:tcPr>
          <w:p w14:paraId="66EA4ECF"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2E3AB752" w14:textId="77777777" w:rsidTr="00E11FF7">
        <w:tc>
          <w:tcPr>
            <w:tcW w:w="1843" w:type="dxa"/>
            <w:shd w:val="clear" w:color="auto" w:fill="auto"/>
          </w:tcPr>
          <w:p w14:paraId="7AD33936" w14:textId="77777777" w:rsidR="008365D6" w:rsidRPr="00FD7066" w:rsidRDefault="008365D6" w:rsidP="008365D6">
            <w:pPr>
              <w:spacing w:before="40" w:after="120"/>
              <w:ind w:right="113"/>
              <w:rPr>
                <w:sz w:val="18"/>
                <w:szCs w:val="18"/>
              </w:rPr>
            </w:pPr>
            <w:r w:rsidRPr="00FD7066">
              <w:rPr>
                <w:sz w:val="18"/>
                <w:szCs w:val="18"/>
              </w:rPr>
              <w:t>GRSG-114-20</w:t>
            </w:r>
          </w:p>
        </w:tc>
        <w:tc>
          <w:tcPr>
            <w:tcW w:w="5660" w:type="dxa"/>
            <w:shd w:val="clear" w:color="auto" w:fill="auto"/>
          </w:tcPr>
          <w:p w14:paraId="1446D284" w14:textId="77777777" w:rsidR="008365D6" w:rsidRPr="00FD7066" w:rsidRDefault="008365D6" w:rsidP="008365D6">
            <w:pPr>
              <w:spacing w:before="40" w:after="120"/>
              <w:ind w:right="113"/>
              <w:rPr>
                <w:sz w:val="18"/>
                <w:szCs w:val="18"/>
                <w:lang w:val="en-US"/>
              </w:rPr>
            </w:pPr>
            <w:r w:rsidRPr="00FD7066">
              <w:rPr>
                <w:sz w:val="18"/>
                <w:szCs w:val="18"/>
                <w:lang w:val="en-US"/>
              </w:rPr>
              <w:t>(Inde) Comment on ECE/TRANS/WP.29/GRSG/2018/7, Proposal for Supplement 8 to the 01 series of amendments to UN Regulation No. 43 (Safety Glazing)</w:t>
            </w:r>
          </w:p>
        </w:tc>
        <w:tc>
          <w:tcPr>
            <w:tcW w:w="1001" w:type="dxa"/>
            <w:shd w:val="clear" w:color="auto" w:fill="auto"/>
          </w:tcPr>
          <w:p w14:paraId="7C06DC34" w14:textId="77777777" w:rsidR="008365D6" w:rsidRPr="00FD7066" w:rsidRDefault="008365D6" w:rsidP="008365D6">
            <w:pPr>
              <w:spacing w:before="40" w:after="120"/>
              <w:ind w:right="113"/>
              <w:rPr>
                <w:sz w:val="18"/>
                <w:szCs w:val="18"/>
              </w:rPr>
            </w:pPr>
            <w:r w:rsidRPr="00FD7066">
              <w:rPr>
                <w:sz w:val="18"/>
                <w:szCs w:val="18"/>
              </w:rPr>
              <w:t>(f)</w:t>
            </w:r>
          </w:p>
        </w:tc>
      </w:tr>
      <w:tr w:rsidR="008365D6" w:rsidRPr="00FD7066" w14:paraId="476997CE" w14:textId="77777777" w:rsidTr="00E11FF7">
        <w:tc>
          <w:tcPr>
            <w:tcW w:w="1843" w:type="dxa"/>
            <w:tcBorders>
              <w:bottom w:val="single" w:sz="12" w:space="0" w:color="auto"/>
            </w:tcBorders>
            <w:shd w:val="clear" w:color="auto" w:fill="auto"/>
          </w:tcPr>
          <w:p w14:paraId="1D978528" w14:textId="77777777" w:rsidR="008365D6" w:rsidRPr="00FD7066" w:rsidRDefault="008365D6" w:rsidP="008365D6">
            <w:pPr>
              <w:spacing w:before="40" w:after="120"/>
              <w:ind w:right="113"/>
              <w:rPr>
                <w:sz w:val="18"/>
                <w:szCs w:val="18"/>
              </w:rPr>
            </w:pPr>
            <w:r w:rsidRPr="00FD7066">
              <w:rPr>
                <w:sz w:val="18"/>
                <w:szCs w:val="18"/>
              </w:rPr>
              <w:t>WP.29-175-30</w:t>
            </w:r>
          </w:p>
        </w:tc>
        <w:tc>
          <w:tcPr>
            <w:tcW w:w="5660" w:type="dxa"/>
            <w:tcBorders>
              <w:bottom w:val="single" w:sz="12" w:space="0" w:color="auto"/>
            </w:tcBorders>
            <w:shd w:val="clear" w:color="auto" w:fill="auto"/>
          </w:tcPr>
          <w:p w14:paraId="58DC0421" w14:textId="77777777" w:rsidR="008365D6" w:rsidRPr="00FD7066" w:rsidRDefault="008365D6" w:rsidP="008365D6">
            <w:pPr>
              <w:spacing w:before="40" w:after="120"/>
              <w:ind w:right="113"/>
              <w:rPr>
                <w:sz w:val="18"/>
                <w:szCs w:val="18"/>
                <w:lang w:val="en-US"/>
              </w:rPr>
            </w:pPr>
            <w:r w:rsidRPr="00FD7066">
              <w:rPr>
                <w:sz w:val="18"/>
                <w:szCs w:val="18"/>
                <w:lang w:val="en-US"/>
              </w:rPr>
              <w:t>(Inde) Request for authorization to develop an amendment to global technical regulation No. 6 (Safety Glazing)</w:t>
            </w:r>
          </w:p>
        </w:tc>
        <w:tc>
          <w:tcPr>
            <w:tcW w:w="1001" w:type="dxa"/>
            <w:tcBorders>
              <w:bottom w:val="single" w:sz="12" w:space="0" w:color="auto"/>
            </w:tcBorders>
            <w:shd w:val="clear" w:color="auto" w:fill="auto"/>
          </w:tcPr>
          <w:p w14:paraId="0B975376" w14:textId="77777777" w:rsidR="008365D6" w:rsidRPr="00FD7066" w:rsidRDefault="008365D6" w:rsidP="008365D6">
            <w:pPr>
              <w:spacing w:before="40" w:after="120"/>
              <w:ind w:right="113"/>
              <w:rPr>
                <w:sz w:val="18"/>
                <w:szCs w:val="18"/>
              </w:rPr>
            </w:pPr>
            <w:r w:rsidRPr="00FD7066">
              <w:rPr>
                <w:sz w:val="18"/>
                <w:szCs w:val="18"/>
              </w:rPr>
              <w:t>(f)</w:t>
            </w:r>
          </w:p>
        </w:tc>
      </w:tr>
    </w:tbl>
    <w:p w14:paraId="38F18DAE" w14:textId="77777777" w:rsidR="008365D6" w:rsidRPr="00FD7066" w:rsidRDefault="008365D6" w:rsidP="00FD7066">
      <w:pPr>
        <w:pStyle w:val="SingleTxtG"/>
        <w:spacing w:before="120"/>
        <w:rPr>
          <w:i/>
          <w:sz w:val="18"/>
          <w:szCs w:val="18"/>
        </w:rPr>
      </w:pPr>
      <w:r w:rsidRPr="00FD7066">
        <w:rPr>
          <w:i/>
          <w:iCs/>
          <w:sz w:val="18"/>
          <w:szCs w:val="18"/>
        </w:rPr>
        <w:t>Notes </w:t>
      </w:r>
      <w:r w:rsidRPr="00FD7066">
        <w:t>:</w:t>
      </w:r>
    </w:p>
    <w:p w14:paraId="25D52FDE" w14:textId="77777777" w:rsidR="008365D6" w:rsidRPr="00FD7066" w:rsidRDefault="008365D6" w:rsidP="00D5525A">
      <w:pPr>
        <w:pStyle w:val="SingleTxtG"/>
        <w:ind w:firstLine="170"/>
        <w:rPr>
          <w:sz w:val="18"/>
          <w:szCs w:val="18"/>
          <w:lang w:val="en-US"/>
        </w:rPr>
      </w:pPr>
      <w:r w:rsidRPr="00FD7066">
        <w:rPr>
          <w:sz w:val="18"/>
          <w:szCs w:val="18"/>
          <w:lang w:val="en-US"/>
        </w:rPr>
        <w:t>(a)</w:t>
      </w:r>
      <w:r w:rsidRPr="00FD7066">
        <w:rPr>
          <w:sz w:val="18"/>
          <w:szCs w:val="18"/>
          <w:lang w:val="en-US"/>
        </w:rPr>
        <w:tab/>
        <w:t>Adopted/endorsed with no change for consideration at WP.29.</w:t>
      </w:r>
    </w:p>
    <w:p w14:paraId="7E9A2173" w14:textId="77777777" w:rsidR="008365D6" w:rsidRPr="00FD7066" w:rsidRDefault="008365D6" w:rsidP="00D5525A">
      <w:pPr>
        <w:pStyle w:val="SingleTxtG"/>
        <w:ind w:firstLine="170"/>
        <w:rPr>
          <w:sz w:val="18"/>
          <w:szCs w:val="18"/>
          <w:lang w:val="en-US"/>
        </w:rPr>
      </w:pPr>
      <w:r w:rsidRPr="00FD7066">
        <w:rPr>
          <w:sz w:val="18"/>
          <w:szCs w:val="18"/>
          <w:lang w:val="en-US"/>
        </w:rPr>
        <w:t>(b)</w:t>
      </w:r>
      <w:r w:rsidRPr="00FD7066">
        <w:rPr>
          <w:sz w:val="18"/>
          <w:szCs w:val="18"/>
          <w:lang w:val="en-US"/>
        </w:rPr>
        <w:tab/>
        <w:t>Adopted/endorsed with changes for consideration at WP.29.</w:t>
      </w:r>
    </w:p>
    <w:p w14:paraId="7A0235C1" w14:textId="77777777" w:rsidR="008365D6" w:rsidRPr="00FD7066" w:rsidRDefault="008365D6" w:rsidP="00D5525A">
      <w:pPr>
        <w:pStyle w:val="SingleTxtG"/>
        <w:ind w:firstLine="170"/>
        <w:rPr>
          <w:sz w:val="18"/>
          <w:szCs w:val="18"/>
          <w:lang w:val="en-US"/>
        </w:rPr>
      </w:pPr>
      <w:r w:rsidRPr="00FD7066">
        <w:rPr>
          <w:sz w:val="18"/>
          <w:szCs w:val="18"/>
          <w:lang w:val="en-US"/>
        </w:rPr>
        <w:t>(c)</w:t>
      </w:r>
      <w:r w:rsidRPr="00FD7066">
        <w:rPr>
          <w:sz w:val="18"/>
          <w:szCs w:val="18"/>
          <w:lang w:val="en-US"/>
        </w:rPr>
        <w:tab/>
        <w:t>Resume consideration on the basis of an official document.</w:t>
      </w:r>
    </w:p>
    <w:p w14:paraId="41D52C6B" w14:textId="77777777" w:rsidR="008365D6" w:rsidRPr="00FD7066" w:rsidRDefault="008365D6" w:rsidP="00D5525A">
      <w:pPr>
        <w:pStyle w:val="SingleTxtG"/>
        <w:ind w:firstLine="170"/>
        <w:rPr>
          <w:sz w:val="18"/>
          <w:szCs w:val="18"/>
          <w:lang w:val="en-US"/>
        </w:rPr>
      </w:pPr>
      <w:r w:rsidRPr="00FD7066">
        <w:rPr>
          <w:sz w:val="18"/>
          <w:szCs w:val="18"/>
          <w:lang w:val="en-US"/>
        </w:rPr>
        <w:lastRenderedPageBreak/>
        <w:t>(d)</w:t>
      </w:r>
      <w:r w:rsidRPr="00FD7066">
        <w:rPr>
          <w:sz w:val="18"/>
          <w:szCs w:val="18"/>
          <w:lang w:val="en-US"/>
        </w:rPr>
        <w:tab/>
        <w:t>Keep as a reference document/continue consideration.</w:t>
      </w:r>
    </w:p>
    <w:p w14:paraId="2A15CFBA" w14:textId="77777777" w:rsidR="008365D6" w:rsidRPr="00FD7066" w:rsidRDefault="008365D6" w:rsidP="00D5525A">
      <w:pPr>
        <w:pStyle w:val="SingleTxtG"/>
        <w:ind w:firstLine="170"/>
        <w:rPr>
          <w:sz w:val="18"/>
          <w:szCs w:val="18"/>
          <w:lang w:val="en-US"/>
        </w:rPr>
      </w:pPr>
      <w:r w:rsidRPr="00FD7066">
        <w:rPr>
          <w:sz w:val="18"/>
          <w:szCs w:val="18"/>
          <w:lang w:val="en-US"/>
        </w:rPr>
        <w:t>(e)</w:t>
      </w:r>
      <w:r w:rsidRPr="00FD7066">
        <w:rPr>
          <w:sz w:val="18"/>
          <w:szCs w:val="18"/>
          <w:lang w:val="en-US"/>
        </w:rPr>
        <w:tab/>
        <w:t>Revised proposal for the next session.</w:t>
      </w:r>
    </w:p>
    <w:p w14:paraId="21CED7A8" w14:textId="77777777" w:rsidR="008365D6" w:rsidRPr="00FD7066" w:rsidRDefault="008365D6" w:rsidP="00FD7066">
      <w:pPr>
        <w:pStyle w:val="SingleTxtG"/>
        <w:spacing w:after="0"/>
        <w:ind w:firstLine="170"/>
        <w:rPr>
          <w:sz w:val="18"/>
          <w:szCs w:val="18"/>
          <w:lang w:val="en-US"/>
        </w:rPr>
      </w:pPr>
      <w:r w:rsidRPr="00FD7066">
        <w:rPr>
          <w:sz w:val="18"/>
          <w:szCs w:val="18"/>
          <w:lang w:val="en-US"/>
        </w:rPr>
        <w:t>(f)</w:t>
      </w:r>
      <w:r w:rsidRPr="00FD7066">
        <w:rPr>
          <w:sz w:val="18"/>
          <w:szCs w:val="18"/>
          <w:lang w:val="en-US"/>
        </w:rPr>
        <w:tab/>
        <w:t>Consideration completed or to be superseded.</w:t>
      </w:r>
    </w:p>
    <w:p w14:paraId="17340DA4" w14:textId="77777777" w:rsidR="008365D6" w:rsidRPr="008365D6" w:rsidRDefault="008365D6" w:rsidP="00FD7066">
      <w:pPr>
        <w:pStyle w:val="HChG"/>
      </w:pPr>
      <w:r w:rsidRPr="008D5B60">
        <w:br w:type="page"/>
      </w:r>
      <w:r w:rsidRPr="008365D6">
        <w:lastRenderedPageBreak/>
        <w:t>Annexe</w:t>
      </w:r>
      <w:r w:rsidR="00FD7066">
        <w:t> </w:t>
      </w:r>
      <w:r w:rsidRPr="008365D6">
        <w:t>II</w:t>
      </w:r>
    </w:p>
    <w:p w14:paraId="42FC1C9A" w14:textId="77777777" w:rsidR="008365D6" w:rsidRPr="008365D6" w:rsidRDefault="00FD7066" w:rsidP="00FD7066">
      <w:pPr>
        <w:pStyle w:val="HChG"/>
        <w:rPr>
          <w:i/>
        </w:rPr>
      </w:pPr>
      <w:r>
        <w:tab/>
      </w:r>
      <w:r>
        <w:tab/>
      </w:r>
      <w:r w:rsidR="008365D6" w:rsidRPr="00D5525A">
        <w:rPr>
          <w:spacing w:val="4"/>
        </w:rPr>
        <w:t>Amendements au document ECE/TRANS/WP.29/GRSG/2018/24</w:t>
      </w:r>
      <w:r w:rsidR="008365D6" w:rsidRPr="008365D6">
        <w:t xml:space="preserve"> sur le nouveau projet de Règlement ONU sur les systèmes de surveillance </w:t>
      </w:r>
      <w:r w:rsidR="00D5525A">
        <w:br/>
      </w:r>
      <w:r w:rsidR="008365D6" w:rsidRPr="008365D6">
        <w:t>de l’angle mort (par.</w:t>
      </w:r>
      <w:r w:rsidR="00F1285D">
        <w:t> </w:t>
      </w:r>
      <w:r w:rsidR="008365D6" w:rsidRPr="008365D6">
        <w:t>26)</w:t>
      </w:r>
    </w:p>
    <w:p w14:paraId="5CE2197C" w14:textId="77777777" w:rsidR="008365D6" w:rsidRPr="008365D6" w:rsidRDefault="008365D6" w:rsidP="008365D6">
      <w:pPr>
        <w:pStyle w:val="SingleTxtG"/>
      </w:pPr>
      <w:r w:rsidRPr="008365D6">
        <w:rPr>
          <w:i/>
        </w:rPr>
        <w:t>Paragraphe</w:t>
      </w:r>
      <w:r w:rsidR="00F1285D">
        <w:rPr>
          <w:i/>
        </w:rPr>
        <w:t> </w:t>
      </w:r>
      <w:r w:rsidRPr="008365D6">
        <w:rPr>
          <w:i/>
        </w:rPr>
        <w:t>1.1</w:t>
      </w:r>
      <w:r w:rsidRPr="00F1285D">
        <w:t xml:space="preserve">, </w:t>
      </w:r>
      <w:r w:rsidRPr="008365D6">
        <w:t>modifier comme suit :</w:t>
      </w:r>
    </w:p>
    <w:p w14:paraId="68F88635" w14:textId="77777777" w:rsidR="008365D6" w:rsidRPr="008365D6" w:rsidRDefault="008365D6" w:rsidP="00F1285D">
      <w:pPr>
        <w:pStyle w:val="SingleTxtG"/>
        <w:ind w:left="2268" w:hanging="1134"/>
      </w:pPr>
      <w:r w:rsidRPr="008365D6">
        <w:t>« 1.1</w:t>
      </w:r>
      <w:r w:rsidRPr="008365D6">
        <w:tab/>
      </w:r>
      <w:r w:rsidR="00F1285D">
        <w:tab/>
      </w:r>
      <w:r w:rsidRPr="008365D6">
        <w:t xml:space="preserve">Le présent Règlement s’applique aux systèmes de surveillance de l’angle mort des véhicules des catégories </w:t>
      </w:r>
      <w:r w:rsidRPr="008365D6">
        <w:rPr>
          <w:b/>
        </w:rPr>
        <w:t>N</w:t>
      </w:r>
      <w:r w:rsidRPr="008365D6">
        <w:rPr>
          <w:b/>
          <w:vertAlign w:val="subscript"/>
        </w:rPr>
        <w:t>2</w:t>
      </w:r>
      <w:r w:rsidRPr="008365D6">
        <w:rPr>
          <w:b/>
        </w:rPr>
        <w:t xml:space="preserve"> [(d’une masse maximale admissible supérieure à 8 t)] et N</w:t>
      </w:r>
      <w:r w:rsidRPr="008365D6">
        <w:rPr>
          <w:b/>
          <w:vertAlign w:val="subscript"/>
        </w:rPr>
        <w:t>3</w:t>
      </w:r>
      <w:r w:rsidRPr="008365D6">
        <w:rPr>
          <w:b/>
        </w:rPr>
        <w:t>. Les véhicules des catégories</w:t>
      </w:r>
      <w:r w:rsidR="00F1285D">
        <w:rPr>
          <w:b/>
        </w:rPr>
        <w:t> </w:t>
      </w:r>
      <w:r w:rsidRPr="008365D6">
        <w:rPr>
          <w:b/>
        </w:rPr>
        <w:t>N</w:t>
      </w:r>
      <w:r w:rsidRPr="008365D6">
        <w:rPr>
          <w:b/>
          <w:vertAlign w:val="subscript"/>
        </w:rPr>
        <w:t>2</w:t>
      </w:r>
      <w:r w:rsidRPr="008365D6">
        <w:rPr>
          <w:b/>
        </w:rPr>
        <w:t xml:space="preserve"> (d’une masse maximale admissible inférieure ou égale à 8</w:t>
      </w:r>
      <w:r w:rsidR="00F1285D">
        <w:rPr>
          <w:b/>
        </w:rPr>
        <w:t> </w:t>
      </w:r>
      <w:r w:rsidRPr="008365D6">
        <w:rPr>
          <w:b/>
        </w:rPr>
        <w:t>t), M</w:t>
      </w:r>
      <w:r w:rsidRPr="008365D6">
        <w:rPr>
          <w:b/>
          <w:vertAlign w:val="subscript"/>
        </w:rPr>
        <w:t>2</w:t>
      </w:r>
      <w:r w:rsidRPr="008365D6">
        <w:rPr>
          <w:b/>
        </w:rPr>
        <w:t xml:space="preserve"> et M</w:t>
      </w:r>
      <w:r w:rsidRPr="008365D6">
        <w:rPr>
          <w:b/>
          <w:vertAlign w:val="subscript"/>
        </w:rPr>
        <w:t>3</w:t>
      </w:r>
      <w:r w:rsidRPr="008365D6">
        <w:rPr>
          <w:b/>
        </w:rPr>
        <w:t xml:space="preserve"> </w:t>
      </w:r>
      <w:r w:rsidRPr="008365D6">
        <w:t>peuvent être homologués à la demande du constructeur. »</w:t>
      </w:r>
    </w:p>
    <w:p w14:paraId="21418921" w14:textId="77777777" w:rsidR="008365D6" w:rsidRPr="008365D6" w:rsidRDefault="008365D6" w:rsidP="008365D6">
      <w:pPr>
        <w:pStyle w:val="SingleTxtG"/>
      </w:pPr>
      <w:r w:rsidRPr="008365D6">
        <w:rPr>
          <w:i/>
        </w:rPr>
        <w:t>Paragraphe 2.14</w:t>
      </w:r>
      <w:r w:rsidRPr="00F1285D">
        <w:t xml:space="preserve">, </w:t>
      </w:r>
      <w:r w:rsidRPr="008365D6">
        <w:t>sans objet en français.</w:t>
      </w:r>
    </w:p>
    <w:p w14:paraId="6A3683B6" w14:textId="77777777" w:rsidR="008365D6" w:rsidRPr="008365D6" w:rsidRDefault="008365D6" w:rsidP="008365D6">
      <w:pPr>
        <w:pStyle w:val="SingleTxtG"/>
      </w:pPr>
      <w:r w:rsidRPr="008365D6">
        <w:rPr>
          <w:i/>
        </w:rPr>
        <w:t>Paragraphe 2.12</w:t>
      </w:r>
      <w:r w:rsidRPr="00F1285D">
        <w:t xml:space="preserve">, </w:t>
      </w:r>
      <w:r w:rsidRPr="008365D6">
        <w:t>remplacer « ISO [WD] » par « ISO [CD] ».</w:t>
      </w:r>
    </w:p>
    <w:p w14:paraId="4867DD52" w14:textId="77777777" w:rsidR="008365D6" w:rsidRPr="008365D6" w:rsidRDefault="008365D6" w:rsidP="008365D6">
      <w:pPr>
        <w:pStyle w:val="SingleTxtG"/>
      </w:pPr>
      <w:r w:rsidRPr="008365D6">
        <w:rPr>
          <w:i/>
        </w:rPr>
        <w:t>Paragraphe 2.15</w:t>
      </w:r>
      <w:r w:rsidRPr="00F1285D">
        <w:t>,</w:t>
      </w:r>
      <w:r w:rsidRPr="008365D6">
        <w:t xml:space="preserve"> modifier comme suit :</w:t>
      </w:r>
    </w:p>
    <w:p w14:paraId="53A26476" w14:textId="77777777" w:rsidR="008365D6" w:rsidRPr="008365D6" w:rsidRDefault="008365D6" w:rsidP="00F1285D">
      <w:pPr>
        <w:pStyle w:val="SingleTxtG"/>
        <w:ind w:left="2268" w:hanging="1134"/>
      </w:pPr>
      <w:r w:rsidRPr="008365D6">
        <w:t>« 2.15</w:t>
      </w:r>
      <w:r w:rsidRPr="008365D6">
        <w:tab/>
      </w:r>
      <w:r w:rsidR="00F1285D">
        <w:tab/>
      </w:r>
      <w:r w:rsidRPr="008365D6">
        <w:t>« </w:t>
      </w:r>
      <w:r w:rsidRPr="008365D6">
        <w:rPr>
          <w:i/>
        </w:rPr>
        <w:t>Premier point d’information</w:t>
      </w:r>
      <w:r w:rsidRPr="008365D6">
        <w:t xml:space="preserve"> », le point … le signal d’information peut être donné. </w:t>
      </w:r>
      <w:r w:rsidRPr="008365D6">
        <w:rPr>
          <w:b/>
        </w:rPr>
        <w:t>Il s’agit du dernier point d’information et d’une distance correspondant à un temps de parcours de 4 secondes, compte tenu de la vitesse de déplacement du véhicule plus une distance supplémentaire si la position d’impact est inférieure à 6 m.</w:t>
      </w:r>
      <w:r w:rsidRPr="008365D6">
        <w:t> »</w:t>
      </w:r>
    </w:p>
    <w:p w14:paraId="17F4DC42" w14:textId="77777777" w:rsidR="008365D6" w:rsidRPr="008365D6" w:rsidRDefault="008365D6" w:rsidP="00F1285D">
      <w:pPr>
        <w:pStyle w:val="SingleTxtG"/>
        <w:keepNext/>
        <w:keepLines/>
      </w:pPr>
      <w:r w:rsidRPr="008365D6">
        <w:rPr>
          <w:i/>
        </w:rPr>
        <w:t>Paragraphe 5.3.1</w:t>
      </w:r>
      <w:r w:rsidRPr="00F1285D">
        <w:t>,</w:t>
      </w:r>
      <w:r w:rsidRPr="008365D6">
        <w:t xml:space="preserve"> modifier comme suit :</w:t>
      </w:r>
    </w:p>
    <w:p w14:paraId="27B29E34" w14:textId="77777777" w:rsidR="008365D6" w:rsidRPr="008365D6" w:rsidRDefault="008365D6" w:rsidP="008365D6">
      <w:pPr>
        <w:pStyle w:val="SingleTxtG"/>
      </w:pPr>
      <w:r w:rsidRPr="008365D6">
        <w:t>« 5.3.1</w:t>
      </w:r>
      <w:r w:rsidRPr="008365D6">
        <w:tab/>
      </w:r>
      <w:r w:rsidR="00F1285D">
        <w:tab/>
      </w:r>
      <w:r w:rsidRPr="008365D6">
        <w:t>Le système de surveillance … conformément au paragraphe 6.6.</w:t>
      </w:r>
    </w:p>
    <w:p w14:paraId="0A6BFCA6" w14:textId="77777777" w:rsidR="008365D6" w:rsidRPr="008365D6" w:rsidRDefault="008365D6" w:rsidP="00F1285D">
      <w:pPr>
        <w:pStyle w:val="SingleTxtG"/>
        <w:ind w:left="2268" w:hanging="1134"/>
        <w:rPr>
          <w:b/>
        </w:rPr>
      </w:pPr>
      <w:r w:rsidRPr="008365D6">
        <w:tab/>
      </w:r>
      <w:r w:rsidR="00F1285D">
        <w:tab/>
      </w:r>
      <w:r w:rsidRPr="008365D6">
        <w:rPr>
          <w:b/>
        </w:rPr>
        <w:t>Lorsque le risque de collision augmente, le système doit avertir le conducteur au moyen d’un signal optique, d’un signal acoustique, d’un signal tactile ou de toute combinaison de ces signaux.</w:t>
      </w:r>
    </w:p>
    <w:p w14:paraId="6BC811EB" w14:textId="77777777" w:rsidR="008365D6" w:rsidRPr="008365D6" w:rsidRDefault="00F1285D" w:rsidP="008365D6">
      <w:pPr>
        <w:pStyle w:val="SingleTxtG"/>
      </w:pPr>
      <w:r>
        <w:tab/>
      </w:r>
      <w:r>
        <w:tab/>
      </w:r>
      <w:r w:rsidR="008365D6" w:rsidRPr="008365D6">
        <w:t xml:space="preserve">Un signal </w:t>
      </w:r>
      <w:r w:rsidR="008365D6" w:rsidRPr="008365D6">
        <w:rPr>
          <w:b/>
        </w:rPr>
        <w:t>d’information</w:t>
      </w:r>
      <w:r w:rsidR="008365D6" w:rsidRPr="008365D6">
        <w:t xml:space="preserve"> optique ne doit être … sur la trajectoire du vélo. »</w:t>
      </w:r>
    </w:p>
    <w:p w14:paraId="75644540" w14:textId="77777777" w:rsidR="008365D6" w:rsidRPr="008365D6" w:rsidRDefault="008365D6" w:rsidP="008365D6">
      <w:pPr>
        <w:pStyle w:val="SingleTxtG"/>
      </w:pPr>
      <w:r w:rsidRPr="008365D6">
        <w:rPr>
          <w:i/>
        </w:rPr>
        <w:t>Paragraphe 5.3.2</w:t>
      </w:r>
      <w:r w:rsidRPr="00F1285D">
        <w:t>, r</w:t>
      </w:r>
      <w:r w:rsidRPr="008365D6">
        <w:t>emplacer «</w:t>
      </w:r>
      <w:r w:rsidR="00F1285D">
        <w:t> </w:t>
      </w:r>
      <w:r w:rsidRPr="008365D6">
        <w:t>ISO</w:t>
      </w:r>
      <w:r w:rsidR="00F1285D">
        <w:t> </w:t>
      </w:r>
      <w:r w:rsidRPr="008365D6">
        <w:t>[WD]</w:t>
      </w:r>
      <w:r w:rsidR="00F1285D">
        <w:t> </w:t>
      </w:r>
      <w:r w:rsidRPr="008365D6">
        <w:t>» par «</w:t>
      </w:r>
      <w:r w:rsidR="00F1285D">
        <w:t> </w:t>
      </w:r>
      <w:r w:rsidRPr="008365D6">
        <w:t>ISO</w:t>
      </w:r>
      <w:r w:rsidR="00F1285D">
        <w:t> </w:t>
      </w:r>
      <w:r w:rsidRPr="008365D6">
        <w:t>[CD]</w:t>
      </w:r>
      <w:r w:rsidR="00F1285D">
        <w:t> </w:t>
      </w:r>
      <w:r w:rsidRPr="008365D6">
        <w:t>».</w:t>
      </w:r>
    </w:p>
    <w:p w14:paraId="22C1A336" w14:textId="77777777" w:rsidR="008365D6" w:rsidRPr="008365D6" w:rsidRDefault="008365D6" w:rsidP="008365D6">
      <w:pPr>
        <w:pStyle w:val="SingleTxtG"/>
      </w:pPr>
      <w:r w:rsidRPr="008365D6">
        <w:rPr>
          <w:i/>
        </w:rPr>
        <w:t>Paragraphe</w:t>
      </w:r>
      <w:r w:rsidR="00F1285D">
        <w:rPr>
          <w:i/>
        </w:rPr>
        <w:t> </w:t>
      </w:r>
      <w:r w:rsidRPr="008365D6">
        <w:rPr>
          <w:i/>
        </w:rPr>
        <w:t>5.4.2</w:t>
      </w:r>
      <w:r w:rsidRPr="00F1285D">
        <w:t xml:space="preserve">, </w:t>
      </w:r>
      <w:r w:rsidRPr="008365D6">
        <w:t>modifier comme suit :</w:t>
      </w:r>
    </w:p>
    <w:p w14:paraId="799F04F0" w14:textId="77777777" w:rsidR="008365D6" w:rsidRPr="008365D6" w:rsidRDefault="008365D6" w:rsidP="00F1285D">
      <w:pPr>
        <w:pStyle w:val="SingleTxtG"/>
        <w:ind w:left="2268" w:hanging="1134"/>
        <w:rPr>
          <w:b/>
          <w:bCs/>
        </w:rPr>
      </w:pPr>
      <w:r w:rsidRPr="008365D6">
        <w:t>« </w:t>
      </w:r>
      <w:r w:rsidRPr="008365D6">
        <w:rPr>
          <w:bCs/>
        </w:rPr>
        <w:t>5.4.2</w:t>
      </w:r>
      <w:r w:rsidRPr="008365D6">
        <w:rPr>
          <w:bCs/>
        </w:rPr>
        <w:tab/>
      </w:r>
      <w:r w:rsidR="00F1285D">
        <w:rPr>
          <w:bCs/>
        </w:rPr>
        <w:tab/>
      </w:r>
      <w:r w:rsidRPr="008365D6">
        <w:t xml:space="preserve">Le dispositif émettant le signal d’information doit être situé </w:t>
      </w:r>
      <w:r w:rsidRPr="008365D6">
        <w:rPr>
          <w:b/>
        </w:rPr>
        <w:t xml:space="preserve">du côté passager </w:t>
      </w:r>
      <w:r w:rsidRPr="008365D6">
        <w:t xml:space="preserve">à un angle horizontal supérieur à 30° par rapport à un axe parallèle au plan longitudinal médian du véhicule et passant par le point de référence oculaire. </w:t>
      </w:r>
      <w:r w:rsidRPr="008365D6">
        <w:rPr>
          <w:b/>
        </w:rPr>
        <w:t>Si le siège du conducteur est situé du côté du bas-côté de la chaussée, cette valeur peut être réduite.</w:t>
      </w:r>
      <w:r w:rsidRPr="008365D6">
        <w:t> »</w:t>
      </w:r>
    </w:p>
    <w:p w14:paraId="648D5F79" w14:textId="77777777" w:rsidR="008365D6" w:rsidRPr="008365D6" w:rsidRDefault="008365D6" w:rsidP="00F1285D">
      <w:pPr>
        <w:pStyle w:val="SingleTxtG"/>
        <w:keepNext/>
        <w:keepLines/>
      </w:pPr>
      <w:r w:rsidRPr="008365D6">
        <w:rPr>
          <w:i/>
        </w:rPr>
        <w:t>Paragraphe 5.5.2</w:t>
      </w:r>
      <w:r w:rsidRPr="00F1285D">
        <w:t xml:space="preserve">, </w:t>
      </w:r>
      <w:r w:rsidRPr="008365D6">
        <w:t>modifier comme suit :</w:t>
      </w:r>
    </w:p>
    <w:p w14:paraId="1E94A191" w14:textId="77777777" w:rsidR="008365D6" w:rsidRPr="008365D6" w:rsidRDefault="008365D6" w:rsidP="00F1285D">
      <w:pPr>
        <w:pStyle w:val="SingleTxtG"/>
        <w:ind w:left="2268" w:hanging="1134"/>
        <w:rPr>
          <w:bCs/>
        </w:rPr>
      </w:pPr>
      <w:r w:rsidRPr="008365D6">
        <w:t>« </w:t>
      </w:r>
      <w:r w:rsidRPr="008365D6">
        <w:rPr>
          <w:bCs/>
        </w:rPr>
        <w:t>5.5.2</w:t>
      </w:r>
      <w:r w:rsidR="00F1285D">
        <w:rPr>
          <w:bCs/>
        </w:rPr>
        <w:tab/>
      </w:r>
      <w:r w:rsidRPr="008365D6">
        <w:rPr>
          <w:bCs/>
        </w:rPr>
        <w:tab/>
      </w:r>
      <w:r w:rsidRPr="008365D6">
        <w:t xml:space="preserve">Il doit être facile pour le conducteur de faire le lien entre le signal d’avertissement et la collision potentielle. </w:t>
      </w:r>
      <w:r w:rsidRPr="008365D6">
        <w:rPr>
          <w:b/>
        </w:rPr>
        <w:t>Si le signal d’avertissement est un signal optique, ce signal doit en outre être visible de jour comme de nuit.</w:t>
      </w:r>
      <w:r w:rsidRPr="008365D6">
        <w:rPr>
          <w:bCs/>
        </w:rPr>
        <w:t> »</w:t>
      </w:r>
    </w:p>
    <w:p w14:paraId="4706EDC6" w14:textId="77777777" w:rsidR="008365D6" w:rsidRPr="008365D6" w:rsidRDefault="008365D6" w:rsidP="00F1285D">
      <w:pPr>
        <w:pStyle w:val="SingleTxtG"/>
        <w:keepNext/>
        <w:keepLines/>
      </w:pPr>
      <w:r w:rsidRPr="008365D6">
        <w:rPr>
          <w:i/>
        </w:rPr>
        <w:t>Paragraphe 6.5.5</w:t>
      </w:r>
      <w:r w:rsidRPr="00F1285D">
        <w:t>,</w:t>
      </w:r>
      <w:r w:rsidRPr="008365D6">
        <w:t xml:space="preserve"> modifier comme suit :</w:t>
      </w:r>
    </w:p>
    <w:p w14:paraId="6FDCA450" w14:textId="77777777" w:rsidR="008365D6" w:rsidRPr="008365D6" w:rsidRDefault="008365D6" w:rsidP="00F1285D">
      <w:pPr>
        <w:pStyle w:val="SingleTxtG"/>
        <w:ind w:left="2268" w:hanging="1134"/>
      </w:pPr>
      <w:r w:rsidRPr="008365D6">
        <w:t>« 6.5.5</w:t>
      </w:r>
      <w:r w:rsidRPr="008365D6">
        <w:tab/>
      </w:r>
      <w:r w:rsidR="00F1285D">
        <w:tab/>
      </w:r>
      <w:r w:rsidRPr="008365D6">
        <w:t xml:space="preserve">Les </w:t>
      </w:r>
      <w:r w:rsidRPr="008365D6">
        <w:rPr>
          <w:b/>
        </w:rPr>
        <w:t xml:space="preserve">feux indicateurs de direction </w:t>
      </w:r>
      <w:r w:rsidRPr="008365D6">
        <w:t>ne doivent pas être actionnés pendant l’épreuve. »</w:t>
      </w:r>
    </w:p>
    <w:p w14:paraId="7E9873AA" w14:textId="77777777" w:rsidR="008365D6" w:rsidRPr="008365D6" w:rsidRDefault="008365D6" w:rsidP="00F1285D">
      <w:pPr>
        <w:pStyle w:val="SingleTxtG"/>
        <w:keepNext/>
        <w:keepLines/>
      </w:pPr>
      <w:r w:rsidRPr="008365D6">
        <w:rPr>
          <w:i/>
        </w:rPr>
        <w:t>Paragraphe 6.5.10,</w:t>
      </w:r>
      <w:r w:rsidRPr="008365D6">
        <w:t xml:space="preserve"> modifier comme suit :</w:t>
      </w:r>
    </w:p>
    <w:p w14:paraId="399A4276" w14:textId="77777777" w:rsidR="008365D6" w:rsidRPr="008365D6" w:rsidRDefault="008365D6" w:rsidP="008365D6">
      <w:pPr>
        <w:pStyle w:val="SingleTxtG"/>
      </w:pPr>
      <w:bookmarkStart w:id="8" w:name="_Hlk2157878"/>
      <w:r w:rsidRPr="008365D6">
        <w:t>« 6.5.10</w:t>
      </w:r>
      <w:r w:rsidRPr="008365D6">
        <w:tab/>
        <w:t>L’épreuve est considérée comme réussie…</w:t>
      </w:r>
    </w:p>
    <w:p w14:paraId="6DF46C86" w14:textId="77777777" w:rsidR="008365D6" w:rsidRPr="008365D6" w:rsidRDefault="00F1285D" w:rsidP="00F1285D">
      <w:pPr>
        <w:pStyle w:val="SingleTxtG"/>
        <w:ind w:left="2268" w:hanging="1134"/>
        <w:rPr>
          <w:b/>
        </w:rPr>
      </w:pPr>
      <w:r>
        <w:tab/>
      </w:r>
      <w:r>
        <w:tab/>
      </w:r>
      <w:r w:rsidR="008365D6" w:rsidRPr="008365D6">
        <w:t xml:space="preserve">Pour les vitesses inférieures ou égales à 5 km/h, … le point de choc théorique spécifié sur la figure 1 de l’appendice 1. </w:t>
      </w:r>
      <w:r w:rsidR="008365D6" w:rsidRPr="008365D6">
        <w:rPr>
          <w:b/>
        </w:rPr>
        <w:t>Pour les vitesses du véhicule comprises entre</w:t>
      </w:r>
      <w:r>
        <w:rPr>
          <w:b/>
        </w:rPr>
        <w:t> </w:t>
      </w:r>
      <w:r w:rsidR="008365D6" w:rsidRPr="008365D6">
        <w:rPr>
          <w:b/>
        </w:rPr>
        <w:t>5 et 10</w:t>
      </w:r>
      <w:r>
        <w:rPr>
          <w:b/>
        </w:rPr>
        <w:t> </w:t>
      </w:r>
      <w:r w:rsidR="008365D6" w:rsidRPr="008365D6">
        <w:rPr>
          <w:b/>
        </w:rPr>
        <w:t xml:space="preserve">km/h, la valeur </w:t>
      </w:r>
      <w:r w:rsidR="008365D6" w:rsidRPr="008365D6">
        <w:rPr>
          <w:b/>
          <w:i/>
        </w:rPr>
        <w:t>d</w:t>
      </w:r>
      <w:r w:rsidR="008365D6" w:rsidRPr="008365D6">
        <w:rPr>
          <w:b/>
          <w:vertAlign w:val="subscript"/>
        </w:rPr>
        <w:t>c</w:t>
      </w:r>
      <w:r w:rsidR="008365D6" w:rsidRPr="008365D6">
        <w:rPr>
          <w:b/>
        </w:rPr>
        <w:t xml:space="preserve"> est fixée à 5</w:t>
      </w:r>
      <w:r>
        <w:rPr>
          <w:b/>
        </w:rPr>
        <w:t> </w:t>
      </w:r>
      <w:r w:rsidR="008365D6" w:rsidRPr="008365D6">
        <w:rPr>
          <w:b/>
        </w:rPr>
        <w:t>m.</w:t>
      </w:r>
    </w:p>
    <w:bookmarkEnd w:id="8"/>
    <w:p w14:paraId="54F451B5" w14:textId="77777777" w:rsidR="008365D6" w:rsidRPr="008365D6" w:rsidRDefault="00F1285D" w:rsidP="008365D6">
      <w:pPr>
        <w:pStyle w:val="SingleTxtG"/>
      </w:pPr>
      <w:r>
        <w:tab/>
      </w:r>
      <w:r>
        <w:tab/>
      </w:r>
      <w:r w:rsidR="008365D6" w:rsidRPr="008365D6">
        <w:t>Pour les vitesses supérieures à 25 km/h, … le tableau</w:t>
      </w:r>
      <w:r>
        <w:t> </w:t>
      </w:r>
      <w:r w:rsidR="008365D6" w:rsidRPr="008365D6">
        <w:t>2 de l’appendice</w:t>
      </w:r>
      <w:r>
        <w:t> </w:t>
      </w:r>
      <w:r w:rsidR="008365D6" w:rsidRPr="008365D6">
        <w:t>1. »</w:t>
      </w:r>
    </w:p>
    <w:p w14:paraId="3BEF5E80" w14:textId="77777777" w:rsidR="008365D6" w:rsidRPr="008365D6" w:rsidRDefault="008365D6" w:rsidP="00F1285D">
      <w:pPr>
        <w:pStyle w:val="SingleTxtG"/>
        <w:keepNext/>
        <w:keepLines/>
      </w:pPr>
      <w:r w:rsidRPr="008365D6">
        <w:rPr>
          <w:i/>
        </w:rPr>
        <w:lastRenderedPageBreak/>
        <w:t>Appendice</w:t>
      </w:r>
      <w:r w:rsidR="00F1285D">
        <w:rPr>
          <w:i/>
        </w:rPr>
        <w:t> </w:t>
      </w:r>
      <w:r w:rsidRPr="008365D6">
        <w:rPr>
          <w:i/>
        </w:rPr>
        <w:t>1, tableau</w:t>
      </w:r>
      <w:r w:rsidR="00F1285D">
        <w:rPr>
          <w:i/>
        </w:rPr>
        <w:t> </w:t>
      </w:r>
      <w:r w:rsidRPr="008365D6">
        <w:rPr>
          <w:i/>
        </w:rPr>
        <w:t>1, explication de la variable d</w:t>
      </w:r>
      <w:r w:rsidRPr="008365D6">
        <w:rPr>
          <w:vertAlign w:val="subscript"/>
        </w:rPr>
        <w:t>d</w:t>
      </w:r>
      <w:r w:rsidRPr="008365D6">
        <w:t>, modifier comme suit :</w:t>
      </w:r>
    </w:p>
    <w:p w14:paraId="690934DB" w14:textId="77777777" w:rsidR="008365D6" w:rsidRPr="008365D6" w:rsidRDefault="008365D6" w:rsidP="00F1285D">
      <w:pPr>
        <w:pStyle w:val="SingleTxtG"/>
        <w:ind w:left="2268" w:hanging="1134"/>
      </w:pPr>
      <w:r w:rsidRPr="008365D6">
        <w:t>« </w:t>
      </w:r>
      <w:r w:rsidRPr="008365D6">
        <w:rPr>
          <w:i/>
        </w:rPr>
        <w:t>d</w:t>
      </w:r>
      <w:r w:rsidRPr="008365D6">
        <w:rPr>
          <w:vertAlign w:val="subscript"/>
        </w:rPr>
        <w:t>d</w:t>
      </w:r>
      <w:r w:rsidRPr="008365D6">
        <w:tab/>
      </w:r>
      <w:r w:rsidR="00F1285D">
        <w:tab/>
      </w:r>
      <w:r w:rsidRPr="008365D6">
        <w:t>position du véhicule au premier point d’information (</w:t>
      </w:r>
      <w:r w:rsidRPr="008365D6">
        <w:rPr>
          <w:i/>
        </w:rPr>
        <w:t>d</w:t>
      </w:r>
      <w:r w:rsidRPr="008365D6">
        <w:rPr>
          <w:vertAlign w:val="subscript"/>
        </w:rPr>
        <w:t>c</w:t>
      </w:r>
      <w:r w:rsidRPr="008365D6">
        <w:t> </w:t>
      </w:r>
      <w:bookmarkStart w:id="9" w:name="_Hlk533957770"/>
      <w:r w:rsidRPr="008365D6">
        <w:rPr>
          <w:b/>
        </w:rPr>
        <w:t>+ (6 m – point de collision)</w:t>
      </w:r>
      <w:bookmarkEnd w:id="9"/>
      <w:r w:rsidRPr="008365D6">
        <w:t xml:space="preserve"> + 11,11 m pour les vitesses de 10 km/h et </w:t>
      </w:r>
      <w:r w:rsidRPr="008365D6">
        <w:rPr>
          <w:i/>
        </w:rPr>
        <w:t>d</w:t>
      </w:r>
      <w:r w:rsidRPr="008365D6">
        <w:rPr>
          <w:vertAlign w:val="subscript"/>
        </w:rPr>
        <w:t>c</w:t>
      </w:r>
      <w:r w:rsidRPr="008365D6">
        <w:rPr>
          <w:b/>
        </w:rPr>
        <w:t>+ (6 m – point de collision)</w:t>
      </w:r>
      <w:r w:rsidRPr="008365D6">
        <w:t> + 22,22 m pour les vitesses de 20 km/h)</w:t>
      </w:r>
      <w:r w:rsidR="00F1285D">
        <w:t>.</w:t>
      </w:r>
      <w:r w:rsidRPr="008365D6">
        <w:t> »</w:t>
      </w:r>
    </w:p>
    <w:p w14:paraId="213DA607" w14:textId="77777777" w:rsidR="008365D6" w:rsidRPr="008365D6" w:rsidRDefault="008365D6" w:rsidP="00F1285D">
      <w:pPr>
        <w:pStyle w:val="SingleTxtG"/>
        <w:keepNext/>
        <w:keepLines/>
      </w:pPr>
      <w:r w:rsidRPr="008365D6">
        <w:t>Ajouter une nouvelle annexe</w:t>
      </w:r>
      <w:r w:rsidR="00F1285D">
        <w:t> </w:t>
      </w:r>
      <w:r w:rsidRPr="008365D6">
        <w:t>3, ainsi conçue :</w:t>
      </w:r>
    </w:p>
    <w:p w14:paraId="551726AB" w14:textId="77777777" w:rsidR="008365D6" w:rsidRPr="008365D6" w:rsidRDefault="008365D6" w:rsidP="00F1285D">
      <w:pPr>
        <w:pStyle w:val="HChG"/>
      </w:pPr>
      <w:bookmarkStart w:id="10" w:name="_Hlk2157764"/>
      <w:r w:rsidRPr="00F1285D">
        <w:rPr>
          <w:b w:val="0"/>
          <w:sz w:val="20"/>
        </w:rPr>
        <w:t>« </w:t>
      </w:r>
      <w:r w:rsidRPr="008365D6">
        <w:t>Annexe</w:t>
      </w:r>
      <w:r w:rsidR="00F1285D">
        <w:t> </w:t>
      </w:r>
      <w:r w:rsidRPr="008365D6">
        <w:t>3</w:t>
      </w:r>
    </w:p>
    <w:p w14:paraId="74335CF0" w14:textId="77777777" w:rsidR="008365D6" w:rsidRPr="008365D6" w:rsidRDefault="00F1285D" w:rsidP="00F1285D">
      <w:pPr>
        <w:pStyle w:val="HChG"/>
      </w:pPr>
      <w:r>
        <w:tab/>
      </w:r>
      <w:r>
        <w:tab/>
      </w:r>
      <w:r w:rsidR="008365D6" w:rsidRPr="008365D6">
        <w:t xml:space="preserve">Procédure de définition des prescriptions d’efficacité pour les cas de figure d’essai autres que ceux indiqués </w:t>
      </w:r>
      <w:r>
        <w:br/>
      </w:r>
      <w:r w:rsidR="008365D6" w:rsidRPr="008365D6">
        <w:t>dans le tableau</w:t>
      </w:r>
      <w:r>
        <w:t> </w:t>
      </w:r>
      <w:r w:rsidR="008365D6" w:rsidRPr="008365D6">
        <w:t>1 de l’appendice</w:t>
      </w:r>
      <w:r>
        <w:t> </w:t>
      </w:r>
      <w:r w:rsidR="008365D6" w:rsidRPr="008365D6">
        <w:t>1</w:t>
      </w:r>
    </w:p>
    <w:bookmarkEnd w:id="10"/>
    <w:p w14:paraId="718155D3" w14:textId="77777777" w:rsidR="008365D6" w:rsidRPr="008365D6" w:rsidRDefault="008365D6" w:rsidP="008365D6">
      <w:pPr>
        <w:pStyle w:val="SingleTxtG"/>
        <w:rPr>
          <w:b/>
        </w:rPr>
      </w:pPr>
      <w:r w:rsidRPr="008365D6">
        <w:rPr>
          <w:b/>
        </w:rPr>
        <w:t>Conformément au paragraphe 6.5.9, le service technique peut effectuer des essais dans d’autres cas de figure que ceux indiqués dans le tableau 1 de l’appendice 1. Dans ce cas, le service technique est tenu de vérifier que la combinaison de paramètres choisie conduirait à une situation critique. À titre d’orientation, la procédure suivante aide à préciser les prescriptions d’efficacité.</w:t>
      </w:r>
    </w:p>
    <w:p w14:paraId="09C67C90" w14:textId="77777777" w:rsidR="008365D6" w:rsidRPr="008365D6" w:rsidRDefault="008365D6" w:rsidP="008365D6">
      <w:pPr>
        <w:pStyle w:val="SingleTxtG"/>
        <w:rPr>
          <w:b/>
        </w:rPr>
      </w:pPr>
      <w:r w:rsidRPr="008365D6">
        <w:rPr>
          <w:b/>
          <w:i/>
        </w:rPr>
        <w:t>d</w:t>
      </w:r>
      <w:r w:rsidRPr="008365D6">
        <w:rPr>
          <w:b/>
          <w:vertAlign w:val="subscript"/>
        </w:rPr>
        <w:t>a</w:t>
      </w:r>
      <w:r w:rsidRPr="008365D6">
        <w:rPr>
          <w:b/>
        </w:rPr>
        <w:t xml:space="preserve"> – la valeur </w:t>
      </w:r>
      <w:r w:rsidRPr="008365D6">
        <w:rPr>
          <w:b/>
          <w:i/>
        </w:rPr>
        <w:t>d</w:t>
      </w:r>
      <w:r w:rsidRPr="008365D6">
        <w:rPr>
          <w:b/>
          <w:vertAlign w:val="subscript"/>
        </w:rPr>
        <w:t>a</w:t>
      </w:r>
      <w:r w:rsidRPr="008365D6">
        <w:rPr>
          <w:b/>
        </w:rPr>
        <w:t xml:space="preserve"> est utilisée pour synchroniser le déplacement du véhicule et celui du vélo. Elle est calculée en multipliant 8 secondes de déplacement à vitesse constante par la vitesse de la bicyclette indiquée dans le tableau :</w:t>
      </w:r>
    </w:p>
    <w:p w14:paraId="1EA54C00" w14:textId="77777777" w:rsidR="008365D6" w:rsidRPr="00F1285D" w:rsidRDefault="00486145" w:rsidP="00F1285D">
      <w:pPr>
        <w:pStyle w:val="SingleTxtG"/>
        <w:ind w:left="1701"/>
        <w:rPr>
          <w:b/>
        </w:rPr>
      </w:pPr>
      <m:oMathPara>
        <m:oMathParaPr>
          <m:jc m:val="left"/>
        </m:oMathParaPr>
        <m:oMath>
          <m:sSub>
            <m:sSubPr>
              <m:ctrlPr>
                <w:rPr>
                  <w:rFonts w:ascii="Cambria Math" w:hAnsi="Cambria Math"/>
                  <w:b/>
                  <w:i/>
                </w:rPr>
              </m:ctrlPr>
            </m:sSubPr>
            <m:e>
              <m:r>
                <m:rPr>
                  <m:sty m:val="bi"/>
                </m:rPr>
                <w:rPr>
                  <w:rFonts w:ascii="Cambria Math" w:hAnsi="Cambria Math"/>
                </w:rPr>
                <m:t>d</m:t>
              </m:r>
            </m:e>
            <m:sub>
              <m:r>
                <m:rPr>
                  <m:sty m:val="b"/>
                </m:rPr>
                <w:rPr>
                  <w:rFonts w:ascii="Cambria Math" w:hAnsi="Cambria Math"/>
                </w:rPr>
                <m:t>a</m:t>
              </m:r>
            </m:sub>
          </m:sSub>
          <m:r>
            <m:rPr>
              <m:sty m:val="bi"/>
            </m:rPr>
            <w:rPr>
              <w:rFonts w:ascii="Cambria Math" w:hAnsi="Cambria Math"/>
            </w:rPr>
            <m:t>=8</m:t>
          </m:r>
          <m:r>
            <m:rPr>
              <m:sty m:val="b"/>
            </m:rPr>
            <w:rPr>
              <w:rFonts w:ascii="Cambria Math" w:hAnsi="Cambria Math"/>
            </w:rPr>
            <m:t>s</m:t>
          </m:r>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
                </m:rPr>
                <w:rPr>
                  <w:rFonts w:ascii="Cambria Math" w:hAnsi="Cambria Math"/>
                </w:rPr>
                <m:t>Bicycle</m:t>
              </m:r>
            </m:sub>
          </m:sSub>
        </m:oMath>
      </m:oMathPara>
    </w:p>
    <w:p w14:paraId="46614B81" w14:textId="77777777" w:rsidR="008365D6" w:rsidRPr="008365D6" w:rsidRDefault="008365D6" w:rsidP="008365D6">
      <w:pPr>
        <w:pStyle w:val="SingleTxtG"/>
        <w:rPr>
          <w:b/>
        </w:rPr>
      </w:pPr>
      <w:r w:rsidRPr="008365D6">
        <w:rPr>
          <w:b/>
          <w:i/>
        </w:rPr>
        <w:t>d</w:t>
      </w:r>
      <w:r w:rsidRPr="008365D6">
        <w:rPr>
          <w:b/>
          <w:vertAlign w:val="subscript"/>
        </w:rPr>
        <w:t>b</w:t>
      </w:r>
      <w:r w:rsidRPr="008365D6">
        <w:rPr>
          <w:b/>
        </w:rPr>
        <w:t xml:space="preserve"> – la valeur </w:t>
      </w:r>
      <w:r w:rsidRPr="008365D6">
        <w:rPr>
          <w:b/>
          <w:i/>
        </w:rPr>
        <w:t>d</w:t>
      </w:r>
      <w:r w:rsidRPr="008365D6">
        <w:rPr>
          <w:b/>
          <w:vertAlign w:val="subscript"/>
        </w:rPr>
        <w:t>b</w:t>
      </w:r>
      <w:r w:rsidRPr="008365D6">
        <w:rPr>
          <w:b/>
        </w:rPr>
        <w:t xml:space="preserve"> est utilisée pour synchroniser le déplacement du véhicule et celui du vélo. Elle comprend trois parties. La première partie correspond à 8 secondes de déplacement du véhicule à vitesse constante : </w:t>
      </w:r>
    </w:p>
    <w:p w14:paraId="1D9A73D9" w14:textId="77777777" w:rsidR="008365D6" w:rsidRPr="00F1285D" w:rsidRDefault="00486145" w:rsidP="00F1285D">
      <w:pPr>
        <w:pStyle w:val="SingleTxtG"/>
        <w:ind w:left="1701"/>
        <w:rPr>
          <w:b/>
        </w:rPr>
      </w:pPr>
      <m:oMathPara>
        <m:oMathParaPr>
          <m:jc m:val="left"/>
        </m:oMathParaPr>
        <m:oMath>
          <m:sSub>
            <m:sSubPr>
              <m:ctrlPr>
                <w:rPr>
                  <w:rFonts w:ascii="Cambria Math" w:hAnsi="Cambria Math"/>
                  <w:b/>
                  <w:i/>
                </w:rPr>
              </m:ctrlPr>
            </m:sSubPr>
            <m:e>
              <m:r>
                <m:rPr>
                  <m:sty m:val="bi"/>
                </m:rPr>
                <w:rPr>
                  <w:rFonts w:ascii="Cambria Math" w:hAnsi="Cambria Math"/>
                </w:rPr>
                <m:t>d</m:t>
              </m:r>
            </m:e>
            <m:sub>
              <m:r>
                <m:rPr>
                  <m:sty m:val="b"/>
                </m:rPr>
                <w:rPr>
                  <w:rFonts w:ascii="Cambria Math" w:hAnsi="Cambria Math"/>
                </w:rPr>
                <m:t>b,1</m:t>
              </m:r>
            </m:sub>
          </m:sSub>
          <m:r>
            <m:rPr>
              <m:sty m:val="bi"/>
            </m:rPr>
            <w:rPr>
              <w:rFonts w:ascii="Cambria Math" w:hAnsi="Cambria Math"/>
            </w:rPr>
            <m:t>=8</m:t>
          </m:r>
          <m:r>
            <m:rPr>
              <m:sty m:val="b"/>
            </m:rPr>
            <w:rPr>
              <w:rFonts w:ascii="Cambria Math" w:hAnsi="Cambria Math"/>
            </w:rPr>
            <m:t>s</m:t>
          </m:r>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
                </m:rPr>
                <w:rPr>
                  <w:rFonts w:ascii="Cambria Math" w:hAnsi="Cambria Math"/>
                </w:rPr>
                <m:t>Vehicle</m:t>
              </m:r>
            </m:sub>
          </m:sSub>
        </m:oMath>
      </m:oMathPara>
    </w:p>
    <w:p w14:paraId="495B1975" w14:textId="77777777" w:rsidR="008365D6" w:rsidRPr="008365D6" w:rsidRDefault="008365D6" w:rsidP="008365D6">
      <w:pPr>
        <w:pStyle w:val="SingleTxtG"/>
        <w:rPr>
          <w:b/>
        </w:rPr>
      </w:pPr>
      <w:r w:rsidRPr="008365D6">
        <w:rPr>
          <w:b/>
        </w:rPr>
        <w:t xml:space="preserve">La deuxième partie modifie la synchronisation en tenant compte du point d’impact du vélo. Elle est donnée au moyen du point d’impact </w:t>
      </w:r>
      <w:r w:rsidRPr="008365D6">
        <w:rPr>
          <w:b/>
          <w:i/>
        </w:rPr>
        <w:t>L</w:t>
      </w:r>
      <w:r w:rsidRPr="008365D6">
        <w:rPr>
          <w:b/>
        </w:rPr>
        <w:t> :</w:t>
      </w:r>
    </w:p>
    <w:p w14:paraId="46EC7E3C" w14:textId="77777777" w:rsidR="008365D6" w:rsidRPr="00F1285D" w:rsidRDefault="00486145" w:rsidP="00F1285D">
      <w:pPr>
        <w:pStyle w:val="SingleTxtG"/>
        <w:ind w:left="1701"/>
        <w:rPr>
          <w:b/>
        </w:rPr>
      </w:pPr>
      <m:oMathPara>
        <m:oMathParaPr>
          <m:jc m:val="left"/>
        </m:oMathParaPr>
        <m:oMath>
          <m:sSub>
            <m:sSubPr>
              <m:ctrlPr>
                <w:rPr>
                  <w:rFonts w:ascii="Cambria Math" w:hAnsi="Cambria Math"/>
                  <w:b/>
                  <w:i/>
                </w:rPr>
              </m:ctrlPr>
            </m:sSubPr>
            <m:e>
              <m:r>
                <m:rPr>
                  <m:sty m:val="bi"/>
                </m:rPr>
                <w:rPr>
                  <w:rFonts w:ascii="Cambria Math" w:hAnsi="Cambria Math"/>
                </w:rPr>
                <m:t>d</m:t>
              </m:r>
            </m:e>
            <m:sub>
              <m:r>
                <m:rPr>
                  <m:sty m:val="b"/>
                </m:rPr>
                <w:rPr>
                  <w:rFonts w:ascii="Cambria Math" w:hAnsi="Cambria Math"/>
                </w:rPr>
                <m:t>b,2</m:t>
              </m:r>
            </m:sub>
          </m:sSub>
          <m:r>
            <m:rPr>
              <m:sty m:val="bi"/>
            </m:rPr>
            <w:rPr>
              <w:rFonts w:ascii="Cambria Math" w:hAnsi="Cambria Math"/>
            </w:rPr>
            <m:t xml:space="preserve">=L </m:t>
          </m:r>
        </m:oMath>
      </m:oMathPara>
    </w:p>
    <w:p w14:paraId="79B3B0BD" w14:textId="77777777" w:rsidR="008365D6" w:rsidRPr="008365D6" w:rsidRDefault="008365D6" w:rsidP="008365D6">
      <w:pPr>
        <w:pStyle w:val="SingleTxtG"/>
        <w:rPr>
          <w:b/>
        </w:rPr>
      </w:pPr>
      <w:r w:rsidRPr="008365D6">
        <w:rPr>
          <w:b/>
        </w:rPr>
        <w:t>La troisième partie prend en compte la distance supérieure que doit parcourir le véhicule, qui doit négocier un rayon de braquage constant en direction du point de collision plutôt que d’aller droit devant comme le fait le vélo.</w:t>
      </w:r>
    </w:p>
    <w:p w14:paraId="7D9046E8" w14:textId="77777777" w:rsidR="008365D6" w:rsidRPr="008365D6" w:rsidRDefault="008365D6" w:rsidP="008365D6">
      <w:pPr>
        <w:pStyle w:val="SingleTxtG"/>
        <w:rPr>
          <w:b/>
        </w:rPr>
      </w:pPr>
      <w:r w:rsidRPr="008365D6">
        <w:rPr>
          <w:b/>
        </w:rPr>
        <w:t xml:space="preserve">Le segment de virage est représenté par un arc de cercle de rayon constant qui se termine dès que le déplacement latéral voulu est atteint. Par conséquent, la valeur </w:t>
      </w:r>
      <w:r w:rsidRPr="008365D6">
        <w:rPr>
          <w:b/>
          <w:i/>
        </w:rPr>
        <w:t>d</w:t>
      </w:r>
      <w:r w:rsidRPr="008365D6">
        <w:rPr>
          <w:b/>
          <w:vertAlign w:val="subscript"/>
        </w:rPr>
        <w:t>b</w:t>
      </w:r>
      <w:r w:rsidRPr="008365D6">
        <w:rPr>
          <w:b/>
        </w:rPr>
        <w:t xml:space="preserve"> doit être augmentée de la différence de distance entre la ligne droite et le virage.</w:t>
      </w:r>
    </w:p>
    <w:p w14:paraId="22FD230D" w14:textId="77777777" w:rsidR="008365D6" w:rsidRPr="008365D6" w:rsidRDefault="008365D6" w:rsidP="008365D6">
      <w:pPr>
        <w:pStyle w:val="SingleTxtG"/>
        <w:rPr>
          <w:b/>
        </w:rPr>
      </w:pPr>
      <w:r w:rsidRPr="008365D6">
        <w:rPr>
          <w:b/>
        </w:rPr>
        <w:t>Cette différence peut être calculée au moyen du rayon de braquage </w:t>
      </w:r>
      <w:r w:rsidRPr="008365D6">
        <w:rPr>
          <w:b/>
          <w:i/>
        </w:rPr>
        <w:t>R</w:t>
      </w:r>
      <w:r w:rsidRPr="008365D6">
        <w:rPr>
          <w:b/>
        </w:rPr>
        <w:t>, du déplacement latéral </w:t>
      </w:r>
      <w:r w:rsidRPr="008365D6">
        <w:rPr>
          <w:b/>
          <w:i/>
        </w:rPr>
        <w:t>Y=d</w:t>
      </w:r>
      <w:r w:rsidRPr="008365D6">
        <w:rPr>
          <w:b/>
          <w:vertAlign w:val="subscript"/>
        </w:rPr>
        <w:t>lateral</w:t>
      </w:r>
      <w:r w:rsidRPr="008365D6">
        <w:rPr>
          <w:b/>
          <w:i/>
        </w:rPr>
        <w:t xml:space="preserve"> + </w:t>
      </w:r>
      <w:r w:rsidRPr="008365D6">
        <w:rPr>
          <w:b/>
        </w:rPr>
        <w:t>0,25</w:t>
      </w:r>
      <w:r w:rsidRPr="008365D6">
        <w:rPr>
          <w:b/>
          <w:i/>
        </w:rPr>
        <w:t xml:space="preserve"> </w:t>
      </w:r>
      <w:r w:rsidRPr="008365D6">
        <w:rPr>
          <w:b/>
        </w:rPr>
        <w:t>m</w:t>
      </w:r>
      <w:r w:rsidRPr="008365D6">
        <w:rPr>
          <w:b/>
          <w:i/>
        </w:rPr>
        <w:t xml:space="preserve"> </w:t>
      </w:r>
      <w:r w:rsidRPr="008365D6">
        <w:rPr>
          <w:b/>
        </w:rPr>
        <w:t>(distance entre l’axe du vélo et le bord du véhicule) et du point d’impact </w:t>
      </w:r>
      <w:r w:rsidRPr="008365D6">
        <w:rPr>
          <w:b/>
          <w:i/>
        </w:rPr>
        <w:t>L</w:t>
      </w:r>
      <w:r w:rsidRPr="008365D6">
        <w:rPr>
          <w:b/>
        </w:rPr>
        <w:t>.</w:t>
      </w:r>
    </w:p>
    <w:p w14:paraId="64366B6F" w14:textId="77777777" w:rsidR="008365D6" w:rsidRPr="00F1285D" w:rsidRDefault="00486145" w:rsidP="00F1285D">
      <w:pPr>
        <w:pStyle w:val="SingleTxtG"/>
        <w:ind w:left="1701"/>
        <w:rPr>
          <w:b/>
        </w:rPr>
      </w:pPr>
      <m:oMathPara>
        <m:oMathParaPr>
          <m:jc m:val="left"/>
        </m:oMathParaPr>
        <m:oMath>
          <m:sSub>
            <m:sSubPr>
              <m:ctrlPr>
                <w:rPr>
                  <w:rFonts w:ascii="Cambria Math" w:hAnsi="Cambria Math"/>
                  <w:b/>
                  <w:i/>
                </w:rPr>
              </m:ctrlPr>
            </m:sSubPr>
            <m:e>
              <m:r>
                <m:rPr>
                  <m:sty m:val="bi"/>
                </m:rPr>
                <w:rPr>
                  <w:rFonts w:ascii="Cambria Math" w:hAnsi="Cambria Math"/>
                </w:rPr>
                <m:t>d</m:t>
              </m:r>
            </m:e>
            <m:sub>
              <m:r>
                <m:rPr>
                  <m:sty m:val="b"/>
                </m:rPr>
                <w:rPr>
                  <w:rFonts w:ascii="Cambria Math" w:hAnsi="Cambria Math"/>
                </w:rPr>
                <m:t>b,3</m:t>
              </m:r>
            </m:sub>
          </m:sSub>
          <m:r>
            <m:rPr>
              <m:sty m:val="bi"/>
            </m:rPr>
            <w:rPr>
              <w:rFonts w:ascii="Cambria Math" w:hAnsi="Cambria Math"/>
            </w:rPr>
            <m:t>=R∙</m:t>
          </m:r>
          <m:func>
            <m:funcPr>
              <m:ctrlPr>
                <w:rPr>
                  <w:rFonts w:ascii="Cambria Math" w:hAnsi="Cambria Math"/>
                  <w:b/>
                  <w:i/>
                </w:rPr>
              </m:ctrlPr>
            </m:funcPr>
            <m:fName>
              <m:sSup>
                <m:sSupPr>
                  <m:ctrlPr>
                    <w:rPr>
                      <w:rFonts w:ascii="Cambria Math" w:hAnsi="Cambria Math"/>
                      <w:b/>
                      <w:i/>
                    </w:rPr>
                  </m:ctrlPr>
                </m:sSupPr>
                <m:e>
                  <m:r>
                    <m:rPr>
                      <m:sty m:val="b"/>
                    </m:rPr>
                    <w:rPr>
                      <w:rFonts w:ascii="Cambria Math" w:hAnsi="Cambria Math"/>
                    </w:rPr>
                    <m:t>cos</m:t>
                  </m:r>
                </m:e>
                <m:sup>
                  <m:r>
                    <m:rPr>
                      <m:sty m:val="bi"/>
                    </m:rPr>
                    <w:rPr>
                      <w:rFonts w:ascii="Cambria Math" w:hAnsi="Cambria Math"/>
                    </w:rPr>
                    <m:t>-1</m:t>
                  </m:r>
                </m:sup>
              </m:sSup>
            </m:fName>
            <m:e>
              <m:d>
                <m:dPr>
                  <m:ctrlPr>
                    <w:rPr>
                      <w:rFonts w:ascii="Cambria Math" w:hAnsi="Cambria Math"/>
                      <w:b/>
                      <w:i/>
                    </w:rPr>
                  </m:ctrlPr>
                </m:dPr>
                <m:e>
                  <m:f>
                    <m:fPr>
                      <m:ctrlPr>
                        <w:rPr>
                          <w:rFonts w:ascii="Cambria Math" w:hAnsi="Cambria Math"/>
                          <w:b/>
                          <w:i/>
                        </w:rPr>
                      </m:ctrlPr>
                    </m:fPr>
                    <m:num>
                      <m:r>
                        <m:rPr>
                          <m:sty m:val="bi"/>
                        </m:rPr>
                        <w:rPr>
                          <w:rFonts w:ascii="Cambria Math" w:hAnsi="Cambria Math"/>
                        </w:rPr>
                        <m:t>R-Y</m:t>
                      </m:r>
                    </m:num>
                    <m:den>
                      <m:r>
                        <m:rPr>
                          <m:sty m:val="bi"/>
                        </m:rPr>
                        <w:rPr>
                          <w:rFonts w:ascii="Cambria Math" w:hAnsi="Cambria Math"/>
                        </w:rPr>
                        <m:t>R</m:t>
                      </m:r>
                    </m:den>
                  </m:f>
                </m:e>
              </m:d>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(R-Y)</m:t>
                      </m:r>
                    </m:e>
                    <m:sup>
                      <m:r>
                        <m:rPr>
                          <m:sty m:val="bi"/>
                        </m:rPr>
                        <w:rPr>
                          <w:rFonts w:ascii="Cambria Math" w:hAnsi="Cambria Math"/>
                        </w:rPr>
                        <m:t>2</m:t>
                      </m:r>
                    </m:sup>
                  </m:sSup>
                </m:e>
              </m:rad>
            </m:e>
          </m:func>
          <m:r>
            <m:rPr>
              <m:sty m:val="bi"/>
            </m:rPr>
            <w:rPr>
              <w:rFonts w:ascii="Cambria Math" w:hAnsi="Cambria Math"/>
            </w:rPr>
            <m:t xml:space="preserve"> </m:t>
          </m:r>
        </m:oMath>
      </m:oMathPara>
    </w:p>
    <w:p w14:paraId="16C466A1" w14:textId="77777777" w:rsidR="008365D6" w:rsidRPr="008365D6" w:rsidRDefault="008365D6" w:rsidP="008365D6">
      <w:pPr>
        <w:pStyle w:val="SingleTxtG"/>
        <w:rPr>
          <w:b/>
        </w:rPr>
      </w:pPr>
      <w:r w:rsidRPr="008365D6">
        <w:rPr>
          <w:b/>
        </w:rPr>
        <w:t>La valeur finale de </w:t>
      </w:r>
      <w:r w:rsidRPr="008365D6">
        <w:rPr>
          <w:b/>
          <w:i/>
        </w:rPr>
        <w:t>d</w:t>
      </w:r>
      <w:r w:rsidRPr="008365D6">
        <w:rPr>
          <w:b/>
          <w:vertAlign w:val="subscript"/>
        </w:rPr>
        <w:t>b</w:t>
      </w:r>
      <w:r w:rsidRPr="008365D6">
        <w:rPr>
          <w:b/>
        </w:rPr>
        <w:t xml:space="preserve"> est  </w:t>
      </w:r>
      <w:r w:rsidRPr="008365D6">
        <w:rPr>
          <w:b/>
          <w:i/>
        </w:rPr>
        <w:t>d</w:t>
      </w:r>
      <w:r w:rsidRPr="008365D6">
        <w:rPr>
          <w:b/>
          <w:vertAlign w:val="subscript"/>
        </w:rPr>
        <w:t>b,1</w:t>
      </w:r>
      <w:r w:rsidRPr="008365D6">
        <w:rPr>
          <w:b/>
        </w:rPr>
        <w:t xml:space="preserve"> moins les deux autres parties </w:t>
      </w:r>
      <w:r w:rsidRPr="008365D6">
        <w:rPr>
          <w:b/>
          <w:i/>
        </w:rPr>
        <w:t>d</w:t>
      </w:r>
      <w:r w:rsidRPr="008365D6">
        <w:rPr>
          <w:b/>
          <w:vertAlign w:val="subscript"/>
        </w:rPr>
        <w:t>b,2</w:t>
      </w:r>
      <w:r w:rsidRPr="008365D6">
        <w:rPr>
          <w:b/>
        </w:rPr>
        <w:t xml:space="preserve"> et </w:t>
      </w:r>
      <w:r w:rsidRPr="008365D6">
        <w:rPr>
          <w:b/>
          <w:i/>
        </w:rPr>
        <w:t>d</w:t>
      </w:r>
      <w:r w:rsidRPr="008365D6">
        <w:rPr>
          <w:b/>
          <w:vertAlign w:val="subscript"/>
        </w:rPr>
        <w:t>b,3 :</w:t>
      </w:r>
    </w:p>
    <w:p w14:paraId="07A1F826" w14:textId="77777777" w:rsidR="008365D6" w:rsidRPr="00F1285D" w:rsidRDefault="00486145" w:rsidP="00F1285D">
      <w:pPr>
        <w:pStyle w:val="SingleTxtG"/>
        <w:ind w:left="1701"/>
        <w:rPr>
          <w:b/>
        </w:rPr>
      </w:pPr>
      <m:oMathPara>
        <m:oMathParaPr>
          <m:jc m:val="left"/>
        </m:oMathParaP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b</m:t>
              </m:r>
            </m:sub>
          </m:sSub>
          <m:r>
            <m:rPr>
              <m:sty m:val="bi"/>
            </m:rPr>
            <w:rPr>
              <w:rFonts w:ascii="Cambria Math" w:hAnsi="Cambria Math"/>
            </w:rPr>
            <m:t>=8</m:t>
          </m:r>
          <m:r>
            <m:rPr>
              <m:sty m:val="b"/>
            </m:rPr>
            <w:rPr>
              <w:rFonts w:ascii="Cambria Math" w:hAnsi="Cambria Math"/>
            </w:rPr>
            <m:t>s</m:t>
          </m:r>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
                </m:rPr>
                <w:rPr>
                  <w:rFonts w:ascii="Cambria Math" w:hAnsi="Cambria Math"/>
                </w:rPr>
                <m:t>Vehicle</m:t>
              </m:r>
            </m:sub>
          </m:sSub>
          <m:r>
            <m:rPr>
              <m:sty m:val="bi"/>
            </m:rPr>
            <w:rPr>
              <w:rFonts w:ascii="Cambria Math" w:hAnsi="Cambria Math"/>
            </w:rPr>
            <m:t xml:space="preserve">-L-R </m:t>
          </m:r>
          <m:func>
            <m:funcPr>
              <m:ctrlPr>
                <w:rPr>
                  <w:rFonts w:ascii="Cambria Math" w:hAnsi="Cambria Math"/>
                  <w:b/>
                  <w:i/>
                </w:rPr>
              </m:ctrlPr>
            </m:funcPr>
            <m:fName>
              <m:sSup>
                <m:sSupPr>
                  <m:ctrlPr>
                    <w:rPr>
                      <w:rFonts w:ascii="Cambria Math" w:hAnsi="Cambria Math"/>
                      <w:b/>
                      <w:i/>
                    </w:rPr>
                  </m:ctrlPr>
                </m:sSupPr>
                <m:e>
                  <m:r>
                    <m:rPr>
                      <m:sty m:val="b"/>
                    </m:rPr>
                    <w:rPr>
                      <w:rFonts w:ascii="Cambria Math" w:hAnsi="Cambria Math"/>
                    </w:rPr>
                    <m:t>cos</m:t>
                  </m:r>
                </m:e>
                <m:sup>
                  <m:r>
                    <m:rPr>
                      <m:sty m:val="bi"/>
                    </m:rPr>
                    <w:rPr>
                      <w:rFonts w:ascii="Cambria Math" w:hAnsi="Cambria Math"/>
                    </w:rPr>
                    <m:t>-1</m:t>
                  </m:r>
                </m:sup>
              </m:sSup>
            </m:fName>
            <m:e>
              <m:d>
                <m:dPr>
                  <m:ctrlPr>
                    <w:rPr>
                      <w:rFonts w:ascii="Cambria Math" w:hAnsi="Cambria Math"/>
                      <w:b/>
                      <w:i/>
                    </w:rPr>
                  </m:ctrlPr>
                </m:dPr>
                <m:e>
                  <m:f>
                    <m:fPr>
                      <m:ctrlPr>
                        <w:rPr>
                          <w:rFonts w:ascii="Cambria Math" w:hAnsi="Cambria Math"/>
                          <w:b/>
                          <w:i/>
                        </w:rPr>
                      </m:ctrlPr>
                    </m:fPr>
                    <m:num>
                      <m:r>
                        <m:rPr>
                          <m:sty m:val="bi"/>
                        </m:rPr>
                        <w:rPr>
                          <w:rFonts w:ascii="Cambria Math" w:hAnsi="Cambria Math"/>
                        </w:rPr>
                        <m:t>R-Y</m:t>
                      </m:r>
                    </m:num>
                    <m:den>
                      <m:r>
                        <m:rPr>
                          <m:sty m:val="bi"/>
                        </m:rPr>
                        <w:rPr>
                          <w:rFonts w:ascii="Cambria Math" w:hAnsi="Cambria Math"/>
                        </w:rPr>
                        <m:t>R</m:t>
                      </m:r>
                    </m:den>
                  </m:f>
                </m:e>
              </m:d>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(R-Y)</m:t>
                      </m:r>
                    </m:e>
                    <m:sup>
                      <m:r>
                        <m:rPr>
                          <m:sty m:val="bi"/>
                        </m:rPr>
                        <w:rPr>
                          <w:rFonts w:ascii="Cambria Math" w:hAnsi="Cambria Math"/>
                        </w:rPr>
                        <m:t>2</m:t>
                      </m:r>
                    </m:sup>
                  </m:sSup>
                </m:e>
              </m:rad>
            </m:e>
          </m:func>
        </m:oMath>
      </m:oMathPara>
    </w:p>
    <w:p w14:paraId="6BB96C1F" w14:textId="77777777" w:rsidR="008365D6" w:rsidRPr="008365D6" w:rsidRDefault="008365D6" w:rsidP="008365D6">
      <w:pPr>
        <w:pStyle w:val="SingleTxtG"/>
        <w:rPr>
          <w:b/>
        </w:rPr>
      </w:pPr>
      <w:r w:rsidRPr="008365D6">
        <w:rPr>
          <w:b/>
        </w:rPr>
        <w:t xml:space="preserve">La valeur </w:t>
      </w:r>
      <w:r w:rsidRPr="008365D6">
        <w:rPr>
          <w:b/>
          <w:i/>
        </w:rPr>
        <w:t>d</w:t>
      </w:r>
      <w:r w:rsidRPr="008365D6">
        <w:rPr>
          <w:b/>
          <w:vertAlign w:val="subscript"/>
        </w:rPr>
        <w:t>c</w:t>
      </w:r>
      <w:r w:rsidRPr="008365D6">
        <w:rPr>
          <w:b/>
        </w:rPr>
        <w:t xml:space="preserve"> définit le dernier point d’information. </w:t>
      </w:r>
      <w:r w:rsidRPr="008365D6">
        <w:rPr>
          <w:b/>
          <w:u w:val="single"/>
        </w:rPr>
        <w:t>Pour les vitesses de 10 km/h et plus</w:t>
      </w:r>
      <w:r w:rsidRPr="008365D6">
        <w:rPr>
          <w:b/>
        </w:rPr>
        <w:t xml:space="preserve">, il s’agit de la plus grande des deux valeurs suivantes : </w:t>
      </w:r>
    </w:p>
    <w:p w14:paraId="4375C272" w14:textId="77777777" w:rsidR="008365D6" w:rsidRPr="008365D6" w:rsidRDefault="008365D6" w:rsidP="008365D6">
      <w:pPr>
        <w:pStyle w:val="SingleTxtG"/>
        <w:rPr>
          <w:b/>
        </w:rPr>
      </w:pPr>
      <w:r w:rsidRPr="008365D6">
        <w:rPr>
          <w:b/>
        </w:rPr>
        <w:t>La première valeur, qui a été calculée à partir de d’essais physiques, définit à quelle distance du point de collision le virage du véhicule commence au plus tôt et en tournant vers l’extérieur Cette valeur est de :</w:t>
      </w:r>
    </w:p>
    <w:p w14:paraId="17B15985" w14:textId="77777777" w:rsidR="008365D6" w:rsidRPr="008365D6" w:rsidRDefault="008365D6" w:rsidP="00F1285D">
      <w:pPr>
        <w:pStyle w:val="SingleTxtG"/>
        <w:ind w:left="1701"/>
        <w:rPr>
          <w:b/>
        </w:rPr>
      </w:pPr>
      <w:r w:rsidRPr="008365D6">
        <w:rPr>
          <w:b/>
        </w:rPr>
        <w:t>15</w:t>
      </w:r>
      <w:r w:rsidR="00F1285D">
        <w:rPr>
          <w:b/>
        </w:rPr>
        <w:t> </w:t>
      </w:r>
      <w:r w:rsidRPr="008365D6">
        <w:rPr>
          <w:b/>
        </w:rPr>
        <w:t>m</w:t>
      </w:r>
    </w:p>
    <w:p w14:paraId="09C40F72" w14:textId="77777777" w:rsidR="008365D6" w:rsidRPr="008365D6" w:rsidRDefault="008365D6" w:rsidP="008365D6">
      <w:pPr>
        <w:pStyle w:val="SingleTxtG"/>
        <w:rPr>
          <w:b/>
        </w:rPr>
      </w:pPr>
      <w:r w:rsidRPr="008365D6">
        <w:rPr>
          <w:b/>
        </w:rPr>
        <w:lastRenderedPageBreak/>
        <w:t>La deuxième valeur est la distance d’arrêt, compte tenu du temps de réaction et de la décélération de freinage </w:t>
      </w:r>
      <w:r w:rsidRPr="008365D6">
        <w:rPr>
          <w:b/>
          <w:i/>
        </w:rPr>
        <w:t>a</w:t>
      </w:r>
      <w:r w:rsidRPr="008365D6">
        <w:rPr>
          <w:b/>
        </w:rPr>
        <w:t>, en utilisant les paramètres « décélération » et « temps de réaction » (5</w:t>
      </w:r>
      <w:r w:rsidR="00F1285D">
        <w:rPr>
          <w:b/>
        </w:rPr>
        <w:t> </w:t>
      </w:r>
      <w:r w:rsidRPr="008365D6">
        <w:rPr>
          <w:b/>
        </w:rPr>
        <w:t>m/s² et 1,4</w:t>
      </w:r>
      <w:r w:rsidR="00F1285D">
        <w:rPr>
          <w:b/>
        </w:rPr>
        <w:t> </w:t>
      </w:r>
      <w:r w:rsidRPr="008365D6">
        <w:rPr>
          <w:b/>
        </w:rPr>
        <w:t>seconde, respectivement) :</w:t>
      </w:r>
    </w:p>
    <w:p w14:paraId="419150DF" w14:textId="77777777" w:rsidR="008365D6" w:rsidRPr="00F1285D" w:rsidRDefault="00486145" w:rsidP="00F1285D">
      <w:pPr>
        <w:pStyle w:val="SingleTxtG"/>
        <w:ind w:left="1701"/>
        <w:rPr>
          <w:b/>
        </w:rPr>
      </w:pPr>
      <m:oMathPara>
        <m:oMathParaPr>
          <m:jc m:val="left"/>
        </m:oMathParaPr>
        <m:oMath>
          <m:sSub>
            <m:sSubPr>
              <m:ctrlPr>
                <w:rPr>
                  <w:rFonts w:ascii="Cambria Math" w:hAnsi="Cambria Math"/>
                  <w:b/>
                  <w:i/>
                </w:rPr>
              </m:ctrlPr>
            </m:sSubPr>
            <m:e>
              <m:r>
                <m:rPr>
                  <m:sty m:val="bi"/>
                </m:rPr>
                <w:rPr>
                  <w:rFonts w:ascii="Cambria Math" w:hAnsi="Cambria Math"/>
                </w:rPr>
                <m:t>d</m:t>
              </m:r>
            </m:e>
            <m:sub>
              <m:r>
                <m:rPr>
                  <m:sty m:val="b"/>
                </m:rPr>
                <w:rPr>
                  <w:rFonts w:ascii="Cambria Math" w:hAnsi="Cambria Math"/>
                </w:rPr>
                <m:t>Stop</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
                </m:rPr>
                <w:rPr>
                  <w:rFonts w:ascii="Cambria Math" w:hAnsi="Cambria Math"/>
                </w:rPr>
                <m:t>vehicle</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react</m:t>
              </m:r>
            </m:sub>
          </m:sSub>
          <m:r>
            <m:rPr>
              <m:sty m:val="bi"/>
            </m:rPr>
            <w:rPr>
              <w:rFonts w:ascii="Cambria Math" w:hAnsi="Cambria Math"/>
            </w:rPr>
            <m:t>+</m:t>
          </m:r>
          <m:f>
            <m:fPr>
              <m:ctrlPr>
                <w:rPr>
                  <w:rFonts w:ascii="Cambria Math" w:hAnsi="Cambria Math"/>
                  <w:b/>
                  <w:i/>
                </w:rPr>
              </m:ctrlPr>
            </m:fPr>
            <m:num>
              <m:sSubSup>
                <m:sSubSupPr>
                  <m:ctrlPr>
                    <w:rPr>
                      <w:rFonts w:ascii="Cambria Math" w:hAnsi="Cambria Math"/>
                      <w:b/>
                      <w:i/>
                    </w:rPr>
                  </m:ctrlPr>
                </m:sSubSupPr>
                <m:e>
                  <m:r>
                    <m:rPr>
                      <m:sty m:val="bi"/>
                    </m:rPr>
                    <w:rPr>
                      <w:rFonts w:ascii="Cambria Math" w:hAnsi="Cambria Math"/>
                    </w:rPr>
                    <m:t>v</m:t>
                  </m:r>
                </m:e>
                <m:sub>
                  <m:r>
                    <m:rPr>
                      <m:sty m:val="b"/>
                    </m:rPr>
                    <w:rPr>
                      <w:rFonts w:ascii="Cambria Math" w:hAnsi="Cambria Math"/>
                    </w:rPr>
                    <m:t>Vehicle</m:t>
                  </m:r>
                </m:sub>
                <m:sup>
                  <m:r>
                    <m:rPr>
                      <m:sty m:val="bi"/>
                    </m:rPr>
                    <w:rPr>
                      <w:rFonts w:ascii="Cambria Math" w:hAnsi="Cambria Math"/>
                    </w:rPr>
                    <m:t>2</m:t>
                  </m:r>
                </m:sup>
              </m:sSubSup>
            </m:num>
            <m:den>
              <m:r>
                <m:rPr>
                  <m:sty m:val="bi"/>
                </m:rPr>
                <w:rPr>
                  <w:rFonts w:ascii="Cambria Math" w:hAnsi="Cambria Math"/>
                </w:rPr>
                <m:t xml:space="preserve">2 </m:t>
              </m:r>
              <m:d>
                <m:dPr>
                  <m:begChr m:val="|"/>
                  <m:endChr m:val="|"/>
                  <m:ctrlPr>
                    <w:rPr>
                      <w:rFonts w:ascii="Cambria Math" w:hAnsi="Cambria Math"/>
                      <w:b/>
                      <w:i/>
                    </w:rPr>
                  </m:ctrlPr>
                </m:dPr>
                <m:e>
                  <m:r>
                    <m:rPr>
                      <m:sty m:val="bi"/>
                    </m:rPr>
                    <w:rPr>
                      <w:rFonts w:ascii="Cambria Math" w:hAnsi="Cambria Math"/>
                    </w:rPr>
                    <m:t>a</m:t>
                  </m:r>
                </m:e>
              </m:d>
            </m:den>
          </m:f>
        </m:oMath>
      </m:oMathPara>
    </w:p>
    <w:p w14:paraId="7ED84749" w14:textId="77777777" w:rsidR="008365D6" w:rsidRPr="008365D6" w:rsidRDefault="008365D6" w:rsidP="008365D6">
      <w:pPr>
        <w:pStyle w:val="SingleTxtG"/>
        <w:rPr>
          <w:b/>
        </w:rPr>
      </w:pPr>
      <w:r w:rsidRPr="008365D6">
        <w:rPr>
          <w:b/>
        </w:rPr>
        <w:t xml:space="preserve">La valeur de </w:t>
      </w:r>
      <w:r w:rsidRPr="008365D6">
        <w:rPr>
          <w:b/>
          <w:i/>
        </w:rPr>
        <w:t>d</w:t>
      </w:r>
      <w:r w:rsidRPr="008365D6">
        <w:rPr>
          <w:b/>
          <w:vertAlign w:val="subscript"/>
        </w:rPr>
        <w:t>c</w:t>
      </w:r>
      <w:r w:rsidRPr="008365D6">
        <w:rPr>
          <w:b/>
        </w:rPr>
        <w:t xml:space="preserve"> est donc définie comme suit :</w:t>
      </w:r>
    </w:p>
    <w:p w14:paraId="4A33B846" w14:textId="77777777" w:rsidR="008365D6" w:rsidRPr="00F1285D" w:rsidRDefault="00486145" w:rsidP="00F1285D">
      <w:pPr>
        <w:pStyle w:val="SingleTxtG"/>
        <w:ind w:left="1701"/>
        <w:rPr>
          <w:b/>
        </w:rPr>
      </w:pPr>
      <m:oMathPara>
        <m:oMathParaPr>
          <m:jc m:val="left"/>
        </m:oMathParaPr>
        <m:oMath>
          <m:sSub>
            <m:sSubPr>
              <m:ctrlPr>
                <w:rPr>
                  <w:rFonts w:ascii="Cambria Math" w:hAnsi="Cambria Math"/>
                  <w:b/>
                  <w:i/>
                </w:rPr>
              </m:ctrlPr>
            </m:sSubPr>
            <m:e>
              <m:r>
                <m:rPr>
                  <m:sty m:val="bi"/>
                </m:rPr>
                <w:rPr>
                  <w:rFonts w:ascii="Cambria Math" w:hAnsi="Cambria Math"/>
                </w:rPr>
                <m:t>d</m:t>
              </m:r>
            </m:e>
            <m:sub>
              <m:r>
                <m:rPr>
                  <m:sty m:val="b"/>
                </m:rPr>
                <w:rPr>
                  <w:rFonts w:ascii="Cambria Math" w:hAnsi="Cambria Math"/>
                </w:rPr>
                <m:t>c</m:t>
              </m:r>
            </m:sub>
          </m:sSub>
          <m:r>
            <m:rPr>
              <m:sty m:val="bi"/>
            </m:rPr>
            <w:rPr>
              <w:rFonts w:ascii="Cambria Math" w:hAnsi="Cambria Math"/>
            </w:rPr>
            <m:t>=MAX</m:t>
          </m:r>
          <m:d>
            <m:dPr>
              <m:ctrlPr>
                <w:rPr>
                  <w:rFonts w:ascii="Cambria Math" w:hAnsi="Cambria Math"/>
                  <w:b/>
                  <w:i/>
                </w:rPr>
              </m:ctrlPr>
            </m:dPr>
            <m:e>
              <m:r>
                <m:rPr>
                  <m:sty m:val="bi"/>
                </m:rPr>
                <w:rPr>
                  <w:rFonts w:ascii="Cambria Math" w:hAnsi="Cambria Math"/>
                </w:rPr>
                <m:t xml:space="preserve">15 </m:t>
              </m:r>
              <m:r>
                <m:rPr>
                  <m:sty m:val="b"/>
                </m:rPr>
                <w:rPr>
                  <w:rFonts w:ascii="Cambria Math" w:hAnsi="Cambria Math"/>
                </w:rPr>
                <m:t>m</m:t>
              </m:r>
              <m:r>
                <m:rPr>
                  <m:sty m:val="bi"/>
                </m:rPr>
                <w:rPr>
                  <w:rFonts w:ascii="Cambria Math" w:hAnsi="Cambria Math"/>
                </w:rPr>
                <m:t> ;</m:t>
              </m:r>
              <m:sSub>
                <m:sSubPr>
                  <m:ctrlPr>
                    <w:rPr>
                      <w:rFonts w:ascii="Cambria Math" w:hAnsi="Cambria Math"/>
                      <w:b/>
                      <w:i/>
                    </w:rPr>
                  </m:ctrlPr>
                </m:sSubPr>
                <m:e>
                  <m:r>
                    <m:rPr>
                      <m:sty m:val="bi"/>
                    </m:rPr>
                    <w:rPr>
                      <w:rFonts w:ascii="Cambria Math" w:hAnsi="Cambria Math"/>
                    </w:rPr>
                    <m:t>v</m:t>
                  </m:r>
                </m:e>
                <m:sub>
                  <m:r>
                    <m:rPr>
                      <m:sty m:val="b"/>
                    </m:rPr>
                    <w:rPr>
                      <w:rFonts w:ascii="Cambria Math" w:hAnsi="Cambria Math"/>
                    </w:rPr>
                    <m:t>vehicle</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react</m:t>
                  </m:r>
                </m:sub>
              </m:sSub>
              <m:r>
                <m:rPr>
                  <m:sty m:val="bi"/>
                </m:rPr>
                <w:rPr>
                  <w:rFonts w:ascii="Cambria Math" w:hAnsi="Cambria Math"/>
                </w:rPr>
                <m:t>+</m:t>
              </m:r>
              <m:f>
                <m:fPr>
                  <m:ctrlPr>
                    <w:rPr>
                      <w:rFonts w:ascii="Cambria Math" w:hAnsi="Cambria Math"/>
                      <w:b/>
                      <w:i/>
                    </w:rPr>
                  </m:ctrlPr>
                </m:fPr>
                <m:num>
                  <m:sSubSup>
                    <m:sSubSupPr>
                      <m:ctrlPr>
                        <w:rPr>
                          <w:rFonts w:ascii="Cambria Math" w:hAnsi="Cambria Math"/>
                          <w:b/>
                          <w:i/>
                        </w:rPr>
                      </m:ctrlPr>
                    </m:sSubSupPr>
                    <m:e>
                      <m:r>
                        <m:rPr>
                          <m:sty m:val="bi"/>
                        </m:rPr>
                        <w:rPr>
                          <w:rFonts w:ascii="Cambria Math" w:hAnsi="Cambria Math"/>
                        </w:rPr>
                        <m:t>v</m:t>
                      </m:r>
                    </m:e>
                    <m:sub>
                      <m:r>
                        <m:rPr>
                          <m:sty m:val="b"/>
                        </m:rPr>
                        <w:rPr>
                          <w:rFonts w:ascii="Cambria Math" w:hAnsi="Cambria Math"/>
                        </w:rPr>
                        <m:t>Vehicle</m:t>
                      </m:r>
                    </m:sub>
                    <m:sup>
                      <m:r>
                        <m:rPr>
                          <m:sty m:val="bi"/>
                        </m:rPr>
                        <w:rPr>
                          <w:rFonts w:ascii="Cambria Math" w:hAnsi="Cambria Math"/>
                        </w:rPr>
                        <m:t>2</m:t>
                      </m:r>
                    </m:sup>
                  </m:sSubSup>
                </m:num>
                <m:den>
                  <m:r>
                    <m:rPr>
                      <m:sty m:val="bi"/>
                    </m:rPr>
                    <w:rPr>
                      <w:rFonts w:ascii="Cambria Math" w:hAnsi="Cambria Math"/>
                    </w:rPr>
                    <m:t xml:space="preserve">2 </m:t>
                  </m:r>
                  <m:d>
                    <m:dPr>
                      <m:begChr m:val="|"/>
                      <m:endChr m:val="|"/>
                      <m:ctrlPr>
                        <w:rPr>
                          <w:rFonts w:ascii="Cambria Math" w:hAnsi="Cambria Math"/>
                          <w:b/>
                          <w:i/>
                        </w:rPr>
                      </m:ctrlPr>
                    </m:dPr>
                    <m:e>
                      <m:r>
                        <m:rPr>
                          <m:sty m:val="bi"/>
                        </m:rPr>
                        <w:rPr>
                          <w:rFonts w:ascii="Cambria Math" w:hAnsi="Cambria Math"/>
                        </w:rPr>
                        <m:t>a</m:t>
                      </m:r>
                    </m:e>
                  </m:d>
                </m:den>
              </m:f>
            </m:e>
          </m:d>
        </m:oMath>
      </m:oMathPara>
    </w:p>
    <w:p w14:paraId="3D313FE7" w14:textId="77777777" w:rsidR="008365D6" w:rsidRPr="008365D6" w:rsidRDefault="008365D6" w:rsidP="008365D6">
      <w:pPr>
        <w:pStyle w:val="SingleTxtG"/>
        <w:rPr>
          <w:b/>
        </w:rPr>
      </w:pPr>
      <w:r w:rsidRPr="008365D6">
        <w:rPr>
          <w:b/>
          <w:u w:val="single"/>
        </w:rPr>
        <w:t>Pour les vitesses inférieures à 5</w:t>
      </w:r>
      <w:r w:rsidR="00F1285D">
        <w:rPr>
          <w:b/>
          <w:u w:val="single"/>
        </w:rPr>
        <w:t> </w:t>
      </w:r>
      <w:r w:rsidRPr="008365D6">
        <w:rPr>
          <w:b/>
          <w:u w:val="single"/>
        </w:rPr>
        <w:t>km/h</w:t>
      </w:r>
      <w:r w:rsidRPr="008365D6">
        <w:rPr>
          <w:b/>
        </w:rPr>
        <w:t xml:space="preserve">, il suffit que le signal d’information soit donné à une distance correspondant à une valeur du temps restant avant la collision de 1,4 seconde (similaire aux essais statiques), et </w:t>
      </w:r>
      <w:r w:rsidRPr="008365D6">
        <w:rPr>
          <w:b/>
          <w:u w:val="single"/>
        </w:rPr>
        <w:t>pour les vitesses supérieures à 5</w:t>
      </w:r>
      <w:r w:rsidR="00F1285D">
        <w:rPr>
          <w:b/>
          <w:u w:val="single"/>
        </w:rPr>
        <w:t> </w:t>
      </w:r>
      <w:r w:rsidRPr="008365D6">
        <w:rPr>
          <w:b/>
          <w:u w:val="single"/>
        </w:rPr>
        <w:t>km/h et inférieures à 10</w:t>
      </w:r>
      <w:r w:rsidR="00F1285D">
        <w:rPr>
          <w:b/>
          <w:u w:val="single"/>
        </w:rPr>
        <w:t> </w:t>
      </w:r>
      <w:r w:rsidRPr="008365D6">
        <w:rPr>
          <w:b/>
          <w:u w:val="single"/>
        </w:rPr>
        <w:t>km/h</w:t>
      </w:r>
      <w:r w:rsidRPr="008365D6">
        <w:rPr>
          <w:b/>
        </w:rPr>
        <w:t xml:space="preserve">, la valeur </w:t>
      </w:r>
      <w:r w:rsidRPr="008365D6">
        <w:rPr>
          <w:b/>
          <w:i/>
        </w:rPr>
        <w:t>d</w:t>
      </w:r>
      <w:r w:rsidRPr="008365D6">
        <w:rPr>
          <w:b/>
          <w:vertAlign w:val="subscript"/>
        </w:rPr>
        <w:t>c</w:t>
      </w:r>
      <w:r w:rsidRPr="008365D6">
        <w:rPr>
          <w:b/>
        </w:rPr>
        <w:t xml:space="preserve"> est réduite à 5</w:t>
      </w:r>
      <w:r w:rsidR="00F1285D">
        <w:rPr>
          <w:b/>
        </w:rPr>
        <w:t> </w:t>
      </w:r>
      <w:r w:rsidRPr="008365D6">
        <w:rPr>
          <w:b/>
        </w:rPr>
        <w:t>m.</w:t>
      </w:r>
    </w:p>
    <w:p w14:paraId="256D5F08" w14:textId="77777777" w:rsidR="008365D6" w:rsidRPr="008365D6" w:rsidRDefault="008365D6" w:rsidP="008365D6">
      <w:pPr>
        <w:pStyle w:val="SingleTxtG"/>
        <w:rPr>
          <w:b/>
        </w:rPr>
      </w:pPr>
      <w:r w:rsidRPr="008365D6">
        <w:rPr>
          <w:b/>
        </w:rPr>
        <w:t xml:space="preserve">Enfin, </w:t>
      </w:r>
      <w:r w:rsidRPr="008365D6">
        <w:rPr>
          <w:b/>
          <w:i/>
        </w:rPr>
        <w:t>d</w:t>
      </w:r>
      <w:r w:rsidRPr="008365D6">
        <w:rPr>
          <w:b/>
          <w:vertAlign w:val="subscript"/>
        </w:rPr>
        <w:t>d</w:t>
      </w:r>
      <w:r w:rsidRPr="008365D6">
        <w:rPr>
          <w:b/>
        </w:rPr>
        <w:t xml:space="preserve"> est le premier point d’information. Il peut être calculé en additionnant la distance correspondant à 4 secondes de temps de parcours du véhicule jusqu’au point </w:t>
      </w:r>
      <w:r w:rsidRPr="008365D6">
        <w:rPr>
          <w:b/>
          <w:i/>
        </w:rPr>
        <w:t>d</w:t>
      </w:r>
      <w:r w:rsidRPr="008365D6">
        <w:rPr>
          <w:b/>
          <w:vertAlign w:val="subscript"/>
        </w:rPr>
        <w:t>c</w:t>
      </w:r>
      <w:r w:rsidRPr="008365D6">
        <w:rPr>
          <w:b/>
        </w:rPr>
        <w:t xml:space="preserve"> et en corrigeant pour le point d’impact si celui-ci n’est pas situé à 6 m :</w:t>
      </w:r>
    </w:p>
    <w:p w14:paraId="6FE36EC6" w14:textId="77777777" w:rsidR="008365D6" w:rsidRPr="00F1285D" w:rsidRDefault="00486145" w:rsidP="00F1285D">
      <w:pPr>
        <w:pStyle w:val="SingleTxtG"/>
        <w:ind w:left="1701"/>
        <w:rPr>
          <w:b/>
        </w:rPr>
      </w:pPr>
      <m:oMathPara>
        <m:oMathParaPr>
          <m:jc m:val="left"/>
        </m:oMathParaP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d</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d</m:t>
              </m:r>
            </m:e>
            <m:sub>
              <m:r>
                <m:rPr>
                  <m:sty m:val="b"/>
                </m:rPr>
                <w:rPr>
                  <w:rFonts w:ascii="Cambria Math" w:hAnsi="Cambria Math"/>
                </w:rPr>
                <m:t>c</m:t>
              </m:r>
            </m:sub>
          </m:sSub>
          <m:r>
            <m:rPr>
              <m:sty m:val="bi"/>
            </m:rPr>
            <w:rPr>
              <w:rFonts w:ascii="Cambria Math" w:hAnsi="Cambria Math"/>
            </w:rPr>
            <m:t>+4</m:t>
          </m:r>
          <m:r>
            <m:rPr>
              <m:sty m:val="bi"/>
            </m:rPr>
            <w:rPr>
              <w:rFonts w:ascii="Cambria Math" w:hAnsi="Cambria Math"/>
            </w:rPr>
            <m:t>s∙</m:t>
          </m:r>
          <m:sSub>
            <m:sSubPr>
              <m:ctrlPr>
                <w:rPr>
                  <w:rFonts w:ascii="Cambria Math" w:hAnsi="Cambria Math"/>
                  <w:b/>
                  <w:i/>
                </w:rPr>
              </m:ctrlPr>
            </m:sSubPr>
            <m:e>
              <m:r>
                <m:rPr>
                  <m:sty m:val="bi"/>
                </m:rPr>
                <w:rPr>
                  <w:rFonts w:ascii="Cambria Math" w:hAnsi="Cambria Math"/>
                </w:rPr>
                <m:t>v</m:t>
              </m:r>
            </m:e>
            <m:sub>
              <m:r>
                <m:rPr>
                  <m:sty m:val="b"/>
                </m:rPr>
                <w:rPr>
                  <w:rFonts w:ascii="Cambria Math" w:hAnsi="Cambria Math"/>
                </w:rPr>
                <m:t>Vehicle</m:t>
              </m:r>
            </m:sub>
          </m:sSub>
          <m:r>
            <m:rPr>
              <m:sty m:val="bi"/>
            </m:rPr>
            <w:rPr>
              <w:rFonts w:ascii="Cambria Math" w:hAnsi="Cambria Math"/>
            </w:rPr>
            <m:t>+</m:t>
          </m:r>
          <m:d>
            <m:dPr>
              <m:ctrlPr>
                <w:rPr>
                  <w:rFonts w:ascii="Cambria Math" w:hAnsi="Cambria Math"/>
                  <w:b/>
                  <w:i/>
                </w:rPr>
              </m:ctrlPr>
            </m:dPr>
            <m:e>
              <m:r>
                <m:rPr>
                  <m:sty m:val="bi"/>
                </m:rPr>
                <w:rPr>
                  <w:rFonts w:ascii="Cambria Math" w:hAnsi="Cambria Math"/>
                </w:rPr>
                <m:t>6</m:t>
              </m:r>
              <m:r>
                <m:rPr>
                  <m:sty m:val="b"/>
                </m:rPr>
                <w:rPr>
                  <w:rFonts w:ascii="Cambria Math" w:hAnsi="Cambria Math"/>
                </w:rPr>
                <m:t>m</m:t>
              </m:r>
              <m:r>
                <m:rPr>
                  <m:sty m:val="bi"/>
                </m:rPr>
                <w:rPr>
                  <w:rFonts w:ascii="Cambria Math" w:hAnsi="Cambria Math"/>
                </w:rPr>
                <m:t>-Impact Position</m:t>
              </m:r>
            </m:e>
          </m:d>
          <m:r>
            <m:rPr>
              <m:sty m:val="bi"/>
            </m:rPr>
            <w:rPr>
              <w:rFonts w:ascii="Cambria Math" w:hAnsi="Cambria Math"/>
            </w:rPr>
            <m:t>.</m:t>
          </m:r>
        </m:oMath>
      </m:oMathPara>
    </w:p>
    <w:p w14:paraId="031D9CF7" w14:textId="77777777" w:rsidR="008365D6" w:rsidRPr="008365D6" w:rsidRDefault="008365D6" w:rsidP="008365D6">
      <w:pPr>
        <w:pStyle w:val="SingleTxtG"/>
      </w:pPr>
      <w:r w:rsidRPr="008365D6">
        <w:rPr>
          <w:b/>
        </w:rPr>
        <w:t>Ces formules permettent de compléter intégralement le tableau</w:t>
      </w:r>
      <w:r w:rsidR="00F1285D">
        <w:rPr>
          <w:b/>
        </w:rPr>
        <w:t> </w:t>
      </w:r>
      <w:r w:rsidRPr="008365D6">
        <w:rPr>
          <w:b/>
        </w:rPr>
        <w:t>1 de l’annexe</w:t>
      </w:r>
      <w:r w:rsidR="00F1285D">
        <w:rPr>
          <w:b/>
        </w:rPr>
        <w:t> </w:t>
      </w:r>
      <w:r w:rsidRPr="008365D6">
        <w:rPr>
          <w:b/>
        </w:rPr>
        <w:t>1 pour les cas de figure autres que ceux qui y sont définis.</w:t>
      </w:r>
      <w:r w:rsidRPr="008365D6">
        <w:t> »</w:t>
      </w:r>
    </w:p>
    <w:p w14:paraId="221B6D19" w14:textId="77777777" w:rsidR="008365D6" w:rsidRPr="008365D6" w:rsidRDefault="008365D6" w:rsidP="00F1285D">
      <w:pPr>
        <w:pStyle w:val="HChG"/>
      </w:pPr>
      <w:r w:rsidRPr="008365D6">
        <w:br w:type="page"/>
      </w:r>
      <w:r w:rsidRPr="008365D6">
        <w:lastRenderedPageBreak/>
        <w:t>Annexe</w:t>
      </w:r>
      <w:r w:rsidR="00F1285D">
        <w:t> </w:t>
      </w:r>
      <w:r w:rsidRPr="008365D6">
        <w:t>III</w:t>
      </w:r>
    </w:p>
    <w:p w14:paraId="113528DC" w14:textId="77777777" w:rsidR="008365D6" w:rsidRPr="008365D6" w:rsidRDefault="00F1285D" w:rsidP="00F1285D">
      <w:pPr>
        <w:pStyle w:val="HChG"/>
        <w:rPr>
          <w:i/>
        </w:rPr>
      </w:pPr>
      <w:r>
        <w:tab/>
      </w:r>
      <w:r>
        <w:tab/>
      </w:r>
      <w:r w:rsidR="008365D6" w:rsidRPr="008365D6">
        <w:t>Projet de complément</w:t>
      </w:r>
      <w:r>
        <w:t> </w:t>
      </w:r>
      <w:r w:rsidR="008365D6" w:rsidRPr="008365D6">
        <w:t>2 à la série</w:t>
      </w:r>
      <w:r>
        <w:t> </w:t>
      </w:r>
      <w:r w:rsidR="008365D6" w:rsidRPr="008365D6">
        <w:t>03 d’amendements au Règlement ONU n</w:t>
      </w:r>
      <w:r w:rsidR="008365D6" w:rsidRPr="008365D6">
        <w:rPr>
          <w:vertAlign w:val="superscript"/>
        </w:rPr>
        <w:t>o</w:t>
      </w:r>
      <w:r>
        <w:t> </w:t>
      </w:r>
      <w:r w:rsidR="008365D6" w:rsidRPr="008365D6">
        <w:t>110 (Véhicules alimentés au GNC/GNL) (par.</w:t>
      </w:r>
      <w:r>
        <w:t> </w:t>
      </w:r>
      <w:r w:rsidR="008365D6" w:rsidRPr="008365D6">
        <w:t>37 à</w:t>
      </w:r>
      <w:r>
        <w:t> </w:t>
      </w:r>
      <w:r w:rsidR="008365D6" w:rsidRPr="008365D6">
        <w:t>39)</w:t>
      </w:r>
    </w:p>
    <w:p w14:paraId="3F6D430F" w14:textId="77777777" w:rsidR="008365D6" w:rsidRPr="008365D6" w:rsidRDefault="008365D6" w:rsidP="00F1285D">
      <w:pPr>
        <w:pStyle w:val="SingleTxtG"/>
        <w:keepNext/>
        <w:keepLines/>
      </w:pPr>
      <w:r w:rsidRPr="008365D6">
        <w:rPr>
          <w:i/>
        </w:rPr>
        <w:t>Paragraphes</w:t>
      </w:r>
      <w:r w:rsidR="00F1285D">
        <w:rPr>
          <w:i/>
        </w:rPr>
        <w:t> </w:t>
      </w:r>
      <w:r w:rsidRPr="008365D6">
        <w:rPr>
          <w:i/>
        </w:rPr>
        <w:t>4.32 et 4.33</w:t>
      </w:r>
      <w:r w:rsidRPr="00F1285D">
        <w:t>,</w:t>
      </w:r>
      <w:r w:rsidRPr="008365D6">
        <w:t xml:space="preserve"> modifier comme suit :</w:t>
      </w:r>
    </w:p>
    <w:p w14:paraId="5DB266B2" w14:textId="77777777" w:rsidR="008365D6" w:rsidRPr="008365D6" w:rsidRDefault="008365D6" w:rsidP="00F1285D">
      <w:pPr>
        <w:pStyle w:val="SingleTxtG"/>
        <w:ind w:left="2268" w:hanging="1134"/>
      </w:pPr>
      <w:r w:rsidRPr="008365D6">
        <w:t>« 4.32</w:t>
      </w:r>
      <w:r w:rsidRPr="008365D6">
        <w:tab/>
      </w:r>
      <w:r w:rsidR="00F1285D">
        <w:tab/>
      </w:r>
      <w:r w:rsidRPr="008365D6">
        <w:t xml:space="preserve">Par </w:t>
      </w:r>
      <w:r w:rsidR="00F1285D" w:rsidRPr="00F1285D">
        <w:t>“</w:t>
      </w:r>
      <w:r w:rsidRPr="008365D6">
        <w:rPr>
          <w:i/>
        </w:rPr>
        <w:t>injecteur de gaz</w:t>
      </w:r>
      <w:r w:rsidR="00F1285D" w:rsidRPr="00F1285D">
        <w:t>”</w:t>
      </w:r>
      <w:r w:rsidRPr="00F1285D">
        <w:t>,</w:t>
      </w:r>
      <w:r w:rsidRPr="008365D6">
        <w:t xml:space="preserve"> un dispositif permettant d’introduire le carburant gazeux dans le moteur ou dans le système d’admission associé.</w:t>
      </w:r>
      <w:r w:rsidRPr="008365D6">
        <w:rPr>
          <w:b/>
        </w:rPr>
        <w:t xml:space="preserve"> Un injecteur de gaz est considéré comme un régulateur de débit de gaz.</w:t>
      </w:r>
    </w:p>
    <w:p w14:paraId="201AA91C" w14:textId="77777777" w:rsidR="008365D6" w:rsidRPr="008365D6" w:rsidRDefault="008365D6" w:rsidP="00F1285D">
      <w:pPr>
        <w:pStyle w:val="SingleTxtG"/>
        <w:ind w:left="2268" w:hanging="1134"/>
      </w:pPr>
      <w:r w:rsidRPr="008365D6">
        <w:t>4.33</w:t>
      </w:r>
      <w:r w:rsidRPr="008365D6">
        <w:tab/>
        <w:t xml:space="preserve">Par </w:t>
      </w:r>
      <w:r w:rsidR="00F1285D" w:rsidRPr="00F1285D">
        <w:t>“</w:t>
      </w:r>
      <w:r w:rsidRPr="008365D6">
        <w:rPr>
          <w:i/>
        </w:rPr>
        <w:t>régulateur de débit de gaz</w:t>
      </w:r>
      <w:r w:rsidR="00F1285D" w:rsidRPr="00F1285D">
        <w:t>”</w:t>
      </w:r>
      <w:r w:rsidRPr="008365D6">
        <w:t xml:space="preserve">, un dispositif permettant de réduire le débit de gaz, installé en aval d’un détendeur et contrôlant l’alimentation du moteur.  </w:t>
      </w:r>
      <w:r w:rsidRPr="008365D6">
        <w:rPr>
          <w:b/>
        </w:rPr>
        <w:t>La fonction d’un régulateur de débit de gaz peut être assurée par un autre composant (par exemple un injecteur de gaz).</w:t>
      </w:r>
      <w:r w:rsidRPr="008365D6">
        <w:t> »</w:t>
      </w:r>
    </w:p>
    <w:p w14:paraId="39D666F9" w14:textId="77777777" w:rsidR="008365D6" w:rsidRPr="008365D6" w:rsidRDefault="008365D6" w:rsidP="00F1285D">
      <w:pPr>
        <w:pStyle w:val="SingleTxtG"/>
        <w:keepNext/>
        <w:keepLines/>
      </w:pPr>
      <w:r w:rsidRPr="008365D6">
        <w:rPr>
          <w:i/>
        </w:rPr>
        <w:t>Paragraphe 4.56,</w:t>
      </w:r>
      <w:r w:rsidRPr="008365D6">
        <w:t xml:space="preserve"> modifier comme suit :</w:t>
      </w:r>
    </w:p>
    <w:p w14:paraId="71392317" w14:textId="77777777" w:rsidR="008365D6" w:rsidRPr="008365D6" w:rsidRDefault="008365D6" w:rsidP="00F1285D">
      <w:pPr>
        <w:pStyle w:val="SingleTxtG"/>
        <w:ind w:left="2268" w:hanging="1134"/>
      </w:pPr>
      <w:r w:rsidRPr="008365D6">
        <w:t>« 4.56</w:t>
      </w:r>
      <w:r w:rsidRPr="008365D6">
        <w:tab/>
        <w:t xml:space="preserve">Par </w:t>
      </w:r>
      <w:r w:rsidR="00F1285D" w:rsidRPr="00F1285D">
        <w:t>“</w:t>
      </w:r>
      <w:r w:rsidRPr="008365D6">
        <w:rPr>
          <w:i/>
        </w:rPr>
        <w:t>bouteille finie</w:t>
      </w:r>
      <w:r w:rsidR="00F1285D" w:rsidRPr="00F1285D">
        <w:t>”</w:t>
      </w:r>
      <w:r w:rsidRPr="008365D6">
        <w:t xml:space="preserve">, une bouteille terminée et prête à être utilisée, représentative d’une production normale et comportant des marques d’identification ainsi qu’un revêtement extérieur comprenant l’isolation </w:t>
      </w:r>
      <w:r w:rsidRPr="008365D6">
        <w:rPr>
          <w:b/>
        </w:rPr>
        <w:t xml:space="preserve">et/ou la protection </w:t>
      </w:r>
      <w:r w:rsidRPr="008365D6">
        <w:t xml:space="preserve">intégrées spécifiées par le fabricant </w:t>
      </w:r>
      <w:r w:rsidRPr="008365D6">
        <w:rPr>
          <w:b/>
        </w:rPr>
        <w:t>sur le dessin de construction de la bouteille</w:t>
      </w:r>
      <w:r w:rsidRPr="008365D6">
        <w:t>. »</w:t>
      </w:r>
    </w:p>
    <w:p w14:paraId="380411E2" w14:textId="77777777" w:rsidR="008365D6" w:rsidRPr="008365D6" w:rsidRDefault="008365D6" w:rsidP="00F1285D">
      <w:pPr>
        <w:pStyle w:val="SingleTxtG"/>
        <w:keepNext/>
        <w:keepLines/>
      </w:pPr>
      <w:r w:rsidRPr="008365D6">
        <w:rPr>
          <w:i/>
        </w:rPr>
        <w:t>Ajouter une nouvelle définition</w:t>
      </w:r>
      <w:r w:rsidR="004B2F5D">
        <w:rPr>
          <w:i/>
        </w:rPr>
        <w:t> </w:t>
      </w:r>
      <w:r w:rsidRPr="008365D6">
        <w:rPr>
          <w:i/>
        </w:rPr>
        <w:t>4.78</w:t>
      </w:r>
      <w:r w:rsidRPr="004B2F5D">
        <w:t>,</w:t>
      </w:r>
      <w:r w:rsidRPr="008365D6">
        <w:rPr>
          <w:i/>
        </w:rPr>
        <w:t xml:space="preserve"> </w:t>
      </w:r>
      <w:r w:rsidRPr="008365D6">
        <w:t>libellée comme suit :</w:t>
      </w:r>
    </w:p>
    <w:p w14:paraId="0F2ECD91" w14:textId="77777777" w:rsidR="008365D6" w:rsidRPr="008365D6" w:rsidRDefault="008365D6" w:rsidP="00F1285D">
      <w:pPr>
        <w:pStyle w:val="SingleTxtG"/>
        <w:ind w:left="2268" w:hanging="1134"/>
      </w:pPr>
      <w:r w:rsidRPr="008365D6">
        <w:t>« </w:t>
      </w:r>
      <w:r w:rsidRPr="008365D6">
        <w:rPr>
          <w:b/>
        </w:rPr>
        <w:t>4.78</w:t>
      </w:r>
      <w:r w:rsidRPr="008365D6">
        <w:rPr>
          <w:b/>
        </w:rPr>
        <w:tab/>
        <w:t xml:space="preserve">Par </w:t>
      </w:r>
      <w:r w:rsidR="00F1285D" w:rsidRPr="00F1285D">
        <w:t>“</w:t>
      </w:r>
      <w:r w:rsidRPr="008365D6">
        <w:rPr>
          <w:b/>
          <w:i/>
        </w:rPr>
        <w:t>bouteille certifiée</w:t>
      </w:r>
      <w:r w:rsidR="00F1285D" w:rsidRPr="00F1285D">
        <w:t>”</w:t>
      </w:r>
      <w:r w:rsidRPr="008365D6">
        <w:rPr>
          <w:b/>
          <w:i/>
        </w:rPr>
        <w:t>,</w:t>
      </w:r>
      <w:r w:rsidRPr="008365D6">
        <w:rPr>
          <w:b/>
        </w:rPr>
        <w:t xml:space="preserve"> une bouteille finie qui a satisfait aux essais prescrits dans le présent Règlement pour les bouteilles finies et qui est homologuée</w:t>
      </w:r>
      <w:r w:rsidRPr="008365D6">
        <w:t>. »</w:t>
      </w:r>
    </w:p>
    <w:p w14:paraId="1190EB93" w14:textId="77777777" w:rsidR="008365D6" w:rsidRPr="008365D6" w:rsidRDefault="008365D6" w:rsidP="00F1285D">
      <w:pPr>
        <w:pStyle w:val="SingleTxtG"/>
        <w:keepNext/>
        <w:keepLines/>
      </w:pPr>
      <w:r w:rsidRPr="008365D6">
        <w:rPr>
          <w:i/>
        </w:rPr>
        <w:t>Annexe</w:t>
      </w:r>
      <w:r w:rsidR="004B2F5D">
        <w:rPr>
          <w:i/>
        </w:rPr>
        <w:t> </w:t>
      </w:r>
      <w:r w:rsidRPr="008365D6">
        <w:rPr>
          <w:i/>
        </w:rPr>
        <w:t>3A, paragraphes 4.1.2 à 4.1.4.2</w:t>
      </w:r>
      <w:r w:rsidRPr="004B2F5D">
        <w:t>,</w:t>
      </w:r>
      <w:r w:rsidRPr="008365D6">
        <w:t xml:space="preserve"> modifier comme suit :</w:t>
      </w:r>
    </w:p>
    <w:p w14:paraId="7FAA2D35" w14:textId="77777777" w:rsidR="008365D6" w:rsidRPr="008365D6" w:rsidRDefault="008365D6" w:rsidP="00F1285D">
      <w:pPr>
        <w:pStyle w:val="SingleTxtG"/>
        <w:ind w:left="2268" w:hanging="1134"/>
      </w:pPr>
      <w:r w:rsidRPr="008365D6">
        <w:t>« 4.1.2</w:t>
      </w:r>
      <w:r w:rsidRPr="008365D6">
        <w:tab/>
        <w:t>Utilisation des bouteilles</w:t>
      </w:r>
    </w:p>
    <w:p w14:paraId="3E953D0B" w14:textId="77777777" w:rsidR="008365D6" w:rsidRPr="008365D6" w:rsidRDefault="008365D6" w:rsidP="00F1285D">
      <w:pPr>
        <w:pStyle w:val="SingleTxtG"/>
        <w:ind w:left="2268" w:hanging="1134"/>
      </w:pPr>
      <w:r w:rsidRPr="008365D6">
        <w:tab/>
        <w:t>Les conditions d’utilisation … utilisées en toute sécurité par :</w:t>
      </w:r>
    </w:p>
    <w:p w14:paraId="7E53B352" w14:textId="77777777" w:rsidR="008365D6" w:rsidRPr="008365D6" w:rsidRDefault="004B2F5D" w:rsidP="00F1285D">
      <w:pPr>
        <w:pStyle w:val="SingleTxtG"/>
        <w:ind w:left="2268" w:hanging="1134"/>
      </w:pPr>
      <w:r>
        <w:tab/>
      </w:r>
      <w:r w:rsidR="008365D6" w:rsidRPr="008365D6">
        <w:t>a)</w:t>
      </w:r>
      <w:r w:rsidR="008365D6" w:rsidRPr="008365D6">
        <w:tab/>
        <w:t>Les fabricants de bouteilles ;</w:t>
      </w:r>
    </w:p>
    <w:p w14:paraId="6C13594E" w14:textId="77777777" w:rsidR="008365D6" w:rsidRPr="008365D6" w:rsidRDefault="004B2F5D" w:rsidP="00F1285D">
      <w:pPr>
        <w:pStyle w:val="SingleTxtG"/>
        <w:ind w:left="2268" w:hanging="1134"/>
      </w:pPr>
      <w:r>
        <w:tab/>
      </w:r>
      <w:r w:rsidR="008365D6" w:rsidRPr="008365D6">
        <w:t>b)</w:t>
      </w:r>
      <w:r w:rsidR="008365D6" w:rsidRPr="008365D6">
        <w:tab/>
        <w:t xml:space="preserve">Les détenteurs de bouteilles </w:t>
      </w:r>
      <w:r w:rsidR="008365D6" w:rsidRPr="008365D6">
        <w:rPr>
          <w:b/>
        </w:rPr>
        <w:t>certifiées</w:t>
      </w:r>
      <w:r w:rsidR="008365D6" w:rsidRPr="008365D6">
        <w:t> ;</w:t>
      </w:r>
    </w:p>
    <w:p w14:paraId="3D5603BE" w14:textId="77777777" w:rsidR="008365D6" w:rsidRPr="008365D6" w:rsidRDefault="008365D6" w:rsidP="008365D6">
      <w:pPr>
        <w:pStyle w:val="SingleTxtG"/>
      </w:pPr>
      <w:r w:rsidRPr="008365D6">
        <w:tab/>
      </w:r>
      <w:r w:rsidR="00F1285D">
        <w:tab/>
        <w:t>…</w:t>
      </w:r>
    </w:p>
    <w:p w14:paraId="27DA53FC" w14:textId="77777777" w:rsidR="008365D6" w:rsidRPr="008365D6" w:rsidRDefault="008365D6" w:rsidP="00F1285D">
      <w:pPr>
        <w:pStyle w:val="SingleTxtG"/>
        <w:keepNext/>
        <w:keepLines/>
      </w:pPr>
      <w:r w:rsidRPr="008365D6">
        <w:t>4.1.3</w:t>
      </w:r>
      <w:r w:rsidRPr="008365D6">
        <w:tab/>
      </w:r>
      <w:r w:rsidR="00F1285D">
        <w:tab/>
      </w:r>
      <w:r w:rsidRPr="008365D6">
        <w:t>Durée de service</w:t>
      </w:r>
    </w:p>
    <w:p w14:paraId="7DD4BAB7" w14:textId="77777777" w:rsidR="008365D6" w:rsidRPr="008365D6" w:rsidRDefault="008365D6" w:rsidP="00F1285D">
      <w:pPr>
        <w:pStyle w:val="SingleTxtG"/>
        <w:ind w:left="2268" w:hanging="1134"/>
      </w:pPr>
      <w:r w:rsidRPr="008365D6">
        <w:tab/>
        <w:t xml:space="preserve">La période durant laquelle les bouteilles </w:t>
      </w:r>
      <w:r w:rsidRPr="008365D6">
        <w:rPr>
          <w:b/>
        </w:rPr>
        <w:t xml:space="preserve">certifiées </w:t>
      </w:r>
      <w:r w:rsidRPr="008365D6">
        <w:t>peuvent … être de 20 ans.</w:t>
      </w:r>
    </w:p>
    <w:p w14:paraId="650C0C51" w14:textId="77777777" w:rsidR="008365D6" w:rsidRPr="008365D6" w:rsidRDefault="008365D6" w:rsidP="00F1285D">
      <w:pPr>
        <w:pStyle w:val="SingleTxtG"/>
        <w:keepNext/>
        <w:keepLines/>
      </w:pPr>
      <w:r w:rsidRPr="008365D6">
        <w:t>4.1.4</w:t>
      </w:r>
      <w:r w:rsidRPr="008365D6">
        <w:tab/>
      </w:r>
      <w:r w:rsidR="00F1285D">
        <w:tab/>
      </w:r>
      <w:r w:rsidRPr="008365D6">
        <w:t>Requalification périodique</w:t>
      </w:r>
    </w:p>
    <w:p w14:paraId="1A4179C9" w14:textId="77777777" w:rsidR="008365D6" w:rsidRPr="008365D6" w:rsidRDefault="008365D6" w:rsidP="00F1285D">
      <w:pPr>
        <w:pStyle w:val="SingleTxtG"/>
        <w:ind w:left="2268" w:hanging="1134"/>
        <w:rPr>
          <w:b/>
        </w:rPr>
      </w:pPr>
      <w:r w:rsidRPr="008365D6">
        <w:tab/>
        <w:t xml:space="preserve">Des recommandations pour la requalification périodique par inspection visuelle ou par essai au cours de la durée de service doivent être fournies par le </w:t>
      </w:r>
      <w:r w:rsidRPr="00D93E40">
        <w:rPr>
          <w:b/>
        </w:rPr>
        <w:t>fabricant de la bouteille</w:t>
      </w:r>
      <w:r w:rsidRPr="008365D6">
        <w:t xml:space="preserve"> en fonction de l’utilisation dans les conditions d’utilisation spécifiées dans cette annexe. Chaque </w:t>
      </w:r>
      <w:r w:rsidRPr="00D93E40">
        <w:rPr>
          <w:b/>
        </w:rPr>
        <w:t>bouteille</w:t>
      </w:r>
      <w:r w:rsidRPr="008365D6">
        <w:t xml:space="preserve"> </w:t>
      </w:r>
      <w:bookmarkStart w:id="11" w:name="_Hlk534043292"/>
      <w:r w:rsidRPr="008365D6">
        <w:rPr>
          <w:b/>
        </w:rPr>
        <w:t>certifiée</w:t>
      </w:r>
      <w:r w:rsidRPr="008365D6">
        <w:t xml:space="preserve"> </w:t>
      </w:r>
      <w:bookmarkEnd w:id="11"/>
      <w:r w:rsidRPr="008365D6">
        <w:t xml:space="preserve">doit être contrôlée visuellement au moins tous les 48 mois après la date de sa mise en service sur le véhicule (immatriculation du véhicule), et à chaque nouvelle installation, pour vérifier l’absence de dommages ou détériorations. </w:t>
      </w:r>
      <w:r w:rsidRPr="008365D6">
        <w:rPr>
          <w:b/>
        </w:rPr>
        <w:t>Il est suggéré de contrôler visuellement également sous les supports.</w:t>
      </w:r>
      <w:r w:rsidRPr="008365D6">
        <w:t xml:space="preserve"> Le contrôle visuel doit être effectué par un organisme compétent approuvé ou reconnu par l’autorité réglementaire, </w:t>
      </w:r>
      <w:bookmarkStart w:id="12" w:name="_Hlk534121232"/>
      <w:r w:rsidRPr="008365D6">
        <w:rPr>
          <w:b/>
        </w:rPr>
        <w:t xml:space="preserve">compte tenu des </w:t>
      </w:r>
      <w:bookmarkEnd w:id="12"/>
      <w:r w:rsidRPr="008365D6">
        <w:t xml:space="preserve">spécifications du fabricant. Les bouteilles </w:t>
      </w:r>
      <w:r w:rsidRPr="008365D6">
        <w:rPr>
          <w:b/>
        </w:rPr>
        <w:t>certifiées</w:t>
      </w:r>
      <w:r w:rsidRPr="008365D6">
        <w:t xml:space="preserve"> ne portant pas d’étiquette pour les informations obligatoires, ou sur lesquelles les informations obligatoires sont illisibles pour quelque raison que ce soit, doivent être retirées du service. S’il est possible d’identifier la bouteille </w:t>
      </w:r>
      <w:bookmarkStart w:id="13" w:name="_Hlk534043557"/>
      <w:r w:rsidRPr="008365D6">
        <w:rPr>
          <w:b/>
        </w:rPr>
        <w:t>certifiée</w:t>
      </w:r>
      <w:r w:rsidRPr="008365D6">
        <w:t xml:space="preserve"> </w:t>
      </w:r>
      <w:bookmarkEnd w:id="13"/>
      <w:r w:rsidRPr="008365D6">
        <w:t xml:space="preserve">de façon certaine par le fabricant et le numéro de série, une nouvelle étiquette peut remplacer l’ancienne, la bouteille </w:t>
      </w:r>
      <w:r w:rsidRPr="008365D6">
        <w:rPr>
          <w:b/>
        </w:rPr>
        <w:t>certifiée</w:t>
      </w:r>
      <w:r w:rsidRPr="008365D6">
        <w:t xml:space="preserve"> restant ainsi en service. </w:t>
      </w:r>
      <w:bookmarkStart w:id="14" w:name="_Hlk534121730"/>
      <w:r w:rsidRPr="008365D6">
        <w:rPr>
          <w:b/>
        </w:rPr>
        <w:t xml:space="preserve">Les Parties contractantes qui exigent une requalification périodique des bouteilles plus fréquente (que tous les </w:t>
      </w:r>
      <w:r w:rsidRPr="008365D6">
        <w:rPr>
          <w:b/>
        </w:rPr>
        <w:lastRenderedPageBreak/>
        <w:t>48</w:t>
      </w:r>
      <w:r w:rsidR="004B2F5D">
        <w:rPr>
          <w:b/>
        </w:rPr>
        <w:t> </w:t>
      </w:r>
      <w:r w:rsidRPr="008365D6">
        <w:rPr>
          <w:b/>
        </w:rPr>
        <w:t>mois) ou plus rigoureuse peuvent le faire conformément aux prescriptions nationales ou régionales.</w:t>
      </w:r>
      <w:bookmarkEnd w:id="14"/>
      <w:r w:rsidRPr="008365D6">
        <w:t> »</w:t>
      </w:r>
    </w:p>
    <w:p w14:paraId="5CE9DF3F" w14:textId="77777777" w:rsidR="008365D6" w:rsidRPr="008365D6" w:rsidRDefault="008365D6" w:rsidP="004B2F5D">
      <w:pPr>
        <w:pStyle w:val="SingleTxtG"/>
        <w:keepNext/>
        <w:keepLines/>
        <w:ind w:left="2268" w:hanging="1134"/>
      </w:pPr>
      <w:r w:rsidRPr="008365D6">
        <w:t>4.1.4.1</w:t>
      </w:r>
      <w:r w:rsidRPr="008365D6">
        <w:tab/>
      </w:r>
      <w:r w:rsidRPr="00D93E40">
        <w:rPr>
          <w:b/>
        </w:rPr>
        <w:t xml:space="preserve">Bouteilles </w:t>
      </w:r>
      <w:bookmarkStart w:id="15" w:name="_Hlk534043615"/>
      <w:r w:rsidRPr="008365D6">
        <w:rPr>
          <w:b/>
        </w:rPr>
        <w:t>certifiées</w:t>
      </w:r>
      <w:r w:rsidRPr="008365D6">
        <w:t xml:space="preserve"> </w:t>
      </w:r>
      <w:bookmarkEnd w:id="15"/>
      <w:r w:rsidRPr="008365D6">
        <w:t>ayant subi une collision de véhicules</w:t>
      </w:r>
    </w:p>
    <w:p w14:paraId="13265BD1" w14:textId="77777777" w:rsidR="008365D6" w:rsidRPr="008365D6" w:rsidRDefault="008365D6" w:rsidP="00F1285D">
      <w:pPr>
        <w:pStyle w:val="SingleTxtG"/>
        <w:ind w:left="2268" w:hanging="1134"/>
      </w:pPr>
      <w:r w:rsidRPr="008365D6">
        <w:tab/>
      </w:r>
      <w:bookmarkStart w:id="16" w:name="_Hlk534043739"/>
      <w:r w:rsidRPr="008365D6">
        <w:t xml:space="preserve">Les </w:t>
      </w:r>
      <w:r w:rsidRPr="00D93E40">
        <w:rPr>
          <w:b/>
        </w:rPr>
        <w:t>bouteilles</w:t>
      </w:r>
      <w:r w:rsidRPr="008365D6">
        <w:t xml:space="preserve"> </w:t>
      </w:r>
      <w:bookmarkStart w:id="17" w:name="_Hlk534043711"/>
      <w:r w:rsidRPr="008365D6">
        <w:rPr>
          <w:b/>
        </w:rPr>
        <w:t>certifiées</w:t>
      </w:r>
      <w:r w:rsidRPr="008365D6">
        <w:t xml:space="preserve"> </w:t>
      </w:r>
      <w:bookmarkEnd w:id="17"/>
      <w:r w:rsidRPr="008365D6">
        <w:t xml:space="preserve">ayant subi </w:t>
      </w:r>
      <w:bookmarkEnd w:id="16"/>
      <w:r w:rsidRPr="008365D6">
        <w:t xml:space="preserve">… de l’autorité compétente. Une bouteille </w:t>
      </w:r>
      <w:r w:rsidRPr="008365D6">
        <w:rPr>
          <w:b/>
        </w:rPr>
        <w:t>certifiée</w:t>
      </w:r>
      <w:r w:rsidRPr="008365D6">
        <w:t xml:space="preserve"> qui n’a subi aucun dommage … soumise à un examen.</w:t>
      </w:r>
    </w:p>
    <w:p w14:paraId="419D11EE" w14:textId="77777777" w:rsidR="008365D6" w:rsidRPr="008365D6" w:rsidRDefault="008365D6" w:rsidP="004B2F5D">
      <w:pPr>
        <w:pStyle w:val="SingleTxtG"/>
        <w:keepNext/>
        <w:keepLines/>
        <w:ind w:left="2268" w:hanging="1134"/>
      </w:pPr>
      <w:r w:rsidRPr="008365D6">
        <w:t>4.1.4.2</w:t>
      </w:r>
      <w:r w:rsidRPr="008365D6">
        <w:tab/>
      </w:r>
      <w:r w:rsidRPr="00D93E40">
        <w:rPr>
          <w:b/>
        </w:rPr>
        <w:t xml:space="preserve">Bouteilles </w:t>
      </w:r>
      <w:r w:rsidRPr="008365D6">
        <w:rPr>
          <w:b/>
        </w:rPr>
        <w:t>certifiées</w:t>
      </w:r>
      <w:r w:rsidRPr="008365D6">
        <w:t xml:space="preserve"> ayant subi un feu</w:t>
      </w:r>
    </w:p>
    <w:p w14:paraId="41C5A95C" w14:textId="77777777" w:rsidR="008365D6" w:rsidRPr="008365D6" w:rsidRDefault="008365D6" w:rsidP="00F1285D">
      <w:pPr>
        <w:pStyle w:val="SingleTxtG"/>
        <w:ind w:left="2268" w:hanging="1134"/>
      </w:pPr>
      <w:r w:rsidRPr="008365D6">
        <w:tab/>
        <w:t xml:space="preserve">Les </w:t>
      </w:r>
      <w:r w:rsidRPr="00D93E40">
        <w:rPr>
          <w:b/>
        </w:rPr>
        <w:t>bouteilles</w:t>
      </w:r>
      <w:r w:rsidRPr="008365D6">
        <w:t xml:space="preserve"> </w:t>
      </w:r>
      <w:r w:rsidRPr="008365D6">
        <w:rPr>
          <w:b/>
        </w:rPr>
        <w:t>certifiées</w:t>
      </w:r>
      <w:r w:rsidRPr="008365D6">
        <w:t xml:space="preserve"> ayant subi un feu doivent être soumises à un nouveau contrôle par un organisme autorisé par le fabricant, ou bien être retirées du service. »</w:t>
      </w:r>
    </w:p>
    <w:p w14:paraId="56FEF65A" w14:textId="77777777" w:rsidR="008365D6" w:rsidRPr="008365D6" w:rsidRDefault="008365D6" w:rsidP="004B2F5D">
      <w:pPr>
        <w:pStyle w:val="SingleTxtG"/>
        <w:keepNext/>
        <w:keepLines/>
        <w:rPr>
          <w:i/>
        </w:rPr>
      </w:pPr>
      <w:r w:rsidRPr="008365D6">
        <w:rPr>
          <w:i/>
        </w:rPr>
        <w:t>Annexe</w:t>
      </w:r>
      <w:r w:rsidR="004B2F5D">
        <w:rPr>
          <w:i/>
        </w:rPr>
        <w:t> </w:t>
      </w:r>
      <w:r w:rsidRPr="008365D6">
        <w:rPr>
          <w:i/>
        </w:rPr>
        <w:t>3A</w:t>
      </w:r>
    </w:p>
    <w:p w14:paraId="0E3DC2ED" w14:textId="77777777" w:rsidR="008365D6" w:rsidRPr="008365D6" w:rsidRDefault="008365D6" w:rsidP="004B2F5D">
      <w:pPr>
        <w:pStyle w:val="SingleTxtG"/>
        <w:keepNext/>
        <w:keepLines/>
      </w:pPr>
      <w:bookmarkStart w:id="18" w:name="_Hlk2158032"/>
      <w:r w:rsidRPr="004B2F5D">
        <w:rPr>
          <w:i/>
        </w:rPr>
        <w:t>Paragraphe 6.12</w:t>
      </w:r>
      <w:r w:rsidR="004B2F5D">
        <w:t xml:space="preserve">, </w:t>
      </w:r>
      <w:r w:rsidRPr="004B2F5D">
        <w:t>modifier</w:t>
      </w:r>
      <w:r w:rsidRPr="008365D6">
        <w:t xml:space="preserve"> comme suit :</w:t>
      </w:r>
    </w:p>
    <w:p w14:paraId="726BA49C" w14:textId="77777777" w:rsidR="008365D6" w:rsidRPr="008365D6" w:rsidRDefault="008365D6" w:rsidP="00F1285D">
      <w:pPr>
        <w:pStyle w:val="SingleTxtG"/>
        <w:ind w:left="2268" w:hanging="1134"/>
      </w:pPr>
      <w:r w:rsidRPr="008365D6">
        <w:t>« </w:t>
      </w:r>
      <w:r w:rsidRPr="008365D6">
        <w:rPr>
          <w:bCs/>
        </w:rPr>
        <w:t>6.12</w:t>
      </w:r>
      <w:r w:rsidRPr="008365D6">
        <w:rPr>
          <w:bCs/>
        </w:rPr>
        <w:tab/>
      </w:r>
      <w:r w:rsidRPr="008365D6">
        <w:t>Protection extérieure</w:t>
      </w:r>
    </w:p>
    <w:p w14:paraId="2696DC73" w14:textId="77777777" w:rsidR="008365D6" w:rsidRPr="008365D6" w:rsidRDefault="004B2F5D" w:rsidP="00F1285D">
      <w:pPr>
        <w:pStyle w:val="SingleTxtG"/>
        <w:ind w:left="2268" w:hanging="1134"/>
      </w:pPr>
      <w:r>
        <w:tab/>
      </w:r>
      <w:r w:rsidR="008365D6" w:rsidRPr="008365D6">
        <w:t>La partie extérieure des …</w:t>
      </w:r>
    </w:p>
    <w:p w14:paraId="0493F149" w14:textId="77777777" w:rsidR="008365D6" w:rsidRPr="008365D6" w:rsidRDefault="004B2F5D" w:rsidP="00F1285D">
      <w:pPr>
        <w:pStyle w:val="SingleTxtG"/>
        <w:ind w:left="2268" w:hanging="1134"/>
      </w:pPr>
      <w:r>
        <w:tab/>
      </w:r>
      <w:r w:rsidR="008365D6" w:rsidRPr="008365D6">
        <w:t>c)</w:t>
      </w:r>
      <w:r w:rsidR="008365D6" w:rsidRPr="008365D6">
        <w:tab/>
        <w:t>Un revêtement de … l’appendice A à la présente annexe.</w:t>
      </w:r>
    </w:p>
    <w:bookmarkEnd w:id="18"/>
    <w:p w14:paraId="3A9C3844" w14:textId="77777777" w:rsidR="008365D6" w:rsidRPr="008365D6" w:rsidRDefault="008365D6" w:rsidP="00F1285D">
      <w:pPr>
        <w:pStyle w:val="SingleTxtG"/>
        <w:ind w:left="2268" w:hanging="1134"/>
      </w:pPr>
      <w:r w:rsidRPr="008365D6">
        <w:tab/>
        <w:t xml:space="preserve">Tout revêtement </w:t>
      </w:r>
      <w:r w:rsidRPr="008365D6">
        <w:rPr>
          <w:b/>
        </w:rPr>
        <w:t>ou toute protection appliqués</w:t>
      </w:r>
      <w:r w:rsidRPr="008365D6">
        <w:t xml:space="preserve"> sur les bouteilles </w:t>
      </w:r>
      <w:r w:rsidRPr="008365D6">
        <w:rPr>
          <w:b/>
        </w:rPr>
        <w:t>doivent</w:t>
      </w:r>
      <w:r w:rsidRPr="008365D6">
        <w:t xml:space="preserve"> être </w:t>
      </w:r>
      <w:r w:rsidRPr="008365D6">
        <w:rPr>
          <w:b/>
        </w:rPr>
        <w:t>conçus</w:t>
      </w:r>
      <w:r w:rsidRPr="008365D6">
        <w:t xml:space="preserve"> de manière à ne pas altérer les propriétés mécaniques de la bouteille. </w:t>
      </w:r>
      <w:r w:rsidRPr="008365D6">
        <w:rPr>
          <w:b/>
        </w:rPr>
        <w:t xml:space="preserve">Ils doivent </w:t>
      </w:r>
      <w:r w:rsidRPr="008365D6">
        <w:t xml:space="preserve">en outre être </w:t>
      </w:r>
      <w:r w:rsidRPr="008365D6">
        <w:rPr>
          <w:b/>
        </w:rPr>
        <w:t>conçus</w:t>
      </w:r>
      <w:r w:rsidRPr="008365D6">
        <w:t xml:space="preserve"> de manière à faciliter les contrôles ultérieurs durant la période d’utilisation, et le fabricant doit indiquer les précautions à prendre au cours des contrôles afin de maintenir l’intégrité de la bouteille.</w:t>
      </w:r>
    </w:p>
    <w:p w14:paraId="16274BC4" w14:textId="77777777" w:rsidR="008365D6" w:rsidRPr="008365D6" w:rsidRDefault="008365D6" w:rsidP="00F1285D">
      <w:pPr>
        <w:pStyle w:val="SingleTxtG"/>
        <w:ind w:left="2268" w:hanging="1134"/>
      </w:pPr>
      <w:r w:rsidRPr="008365D6">
        <w:tab/>
        <w:t>Les fabricants sont informés … la compatibilité des revêtements. »</w:t>
      </w:r>
    </w:p>
    <w:p w14:paraId="7C92677B" w14:textId="77777777" w:rsidR="008365D6" w:rsidRPr="008365D6" w:rsidRDefault="008365D6" w:rsidP="004B2F5D">
      <w:pPr>
        <w:pStyle w:val="SingleTxtG"/>
        <w:keepNext/>
        <w:keepLines/>
        <w:rPr>
          <w:bCs/>
          <w:i/>
        </w:rPr>
      </w:pPr>
      <w:r w:rsidRPr="008365D6">
        <w:rPr>
          <w:bCs/>
          <w:i/>
        </w:rPr>
        <w:t>Paragraphe</w:t>
      </w:r>
      <w:r w:rsidR="004B2F5D">
        <w:rPr>
          <w:bCs/>
          <w:i/>
        </w:rPr>
        <w:t> </w:t>
      </w:r>
      <w:r w:rsidRPr="008365D6">
        <w:rPr>
          <w:bCs/>
          <w:i/>
        </w:rPr>
        <w:t>10.7.1</w:t>
      </w:r>
      <w:r w:rsidRPr="004B2F5D">
        <w:t xml:space="preserve">, </w:t>
      </w:r>
      <w:r w:rsidRPr="008365D6">
        <w:rPr>
          <w:bCs/>
        </w:rPr>
        <w:t>modifier comme suit :</w:t>
      </w:r>
    </w:p>
    <w:p w14:paraId="1798CC40" w14:textId="77777777" w:rsidR="008365D6" w:rsidRPr="008365D6" w:rsidRDefault="008365D6" w:rsidP="004B2F5D">
      <w:pPr>
        <w:pStyle w:val="SingleTxtG"/>
        <w:keepNext/>
        <w:keepLines/>
        <w:ind w:left="2268" w:hanging="1134"/>
        <w:rPr>
          <w:bCs/>
        </w:rPr>
      </w:pPr>
      <w:r w:rsidRPr="008365D6">
        <w:rPr>
          <w:bCs/>
          <w:i/>
        </w:rPr>
        <w:t>« </w:t>
      </w:r>
      <w:r w:rsidRPr="008365D6">
        <w:rPr>
          <w:bCs/>
        </w:rPr>
        <w:t>10.7.1</w:t>
      </w:r>
      <w:r w:rsidRPr="008365D6">
        <w:rPr>
          <w:bCs/>
        </w:rPr>
        <w:tab/>
      </w:r>
      <w:r w:rsidRPr="008365D6">
        <w:t>Généralités</w:t>
      </w:r>
    </w:p>
    <w:p w14:paraId="5BE082BF" w14:textId="77777777" w:rsidR="008365D6" w:rsidRPr="008365D6" w:rsidRDefault="008365D6" w:rsidP="00F1285D">
      <w:pPr>
        <w:pStyle w:val="SingleTxtG"/>
        <w:ind w:left="2268" w:hanging="1134"/>
      </w:pPr>
      <w:r w:rsidRPr="008365D6">
        <w:tab/>
        <w:t>Les essais de qualification des types de bouteilles doivent être réalisés conformément aux prescriptions des paragraphes 8.6, 10.7.2, 10.7.3</w:t>
      </w:r>
      <w:r w:rsidRPr="008365D6">
        <w:rPr>
          <w:b/>
        </w:rPr>
        <w:t>,</w:t>
      </w:r>
      <w:r w:rsidRPr="008365D6">
        <w:t xml:space="preserve"> </w:t>
      </w:r>
      <w:r w:rsidRPr="00D93E40">
        <w:rPr>
          <w:b/>
        </w:rPr>
        <w:t>10.7.4</w:t>
      </w:r>
      <w:r w:rsidRPr="008365D6">
        <w:t xml:space="preserve"> </w:t>
      </w:r>
      <w:r w:rsidRPr="008365D6">
        <w:rPr>
          <w:b/>
          <w:bCs/>
        </w:rPr>
        <w:t>et</w:t>
      </w:r>
      <w:r w:rsidR="004B2F5D">
        <w:rPr>
          <w:b/>
          <w:bCs/>
        </w:rPr>
        <w:t> </w:t>
      </w:r>
      <w:r w:rsidRPr="008365D6">
        <w:rPr>
          <w:b/>
          <w:bCs/>
        </w:rPr>
        <w:t>10.7.5</w:t>
      </w:r>
      <w:r w:rsidRPr="008365D6">
        <w:rPr>
          <w:bCs/>
        </w:rPr>
        <w:t xml:space="preserve"> </w:t>
      </w:r>
      <w:r w:rsidRPr="008365D6">
        <w:t>de la présente annexe. L’essai de fuite avant rupture du paragraphe 8.6.10 ci</w:t>
      </w:r>
      <w:r w:rsidRPr="008365D6">
        <w:noBreakHyphen/>
        <w:t>dessus n’est cependant pas requis. »</w:t>
      </w:r>
    </w:p>
    <w:p w14:paraId="4F04CEE0" w14:textId="77777777" w:rsidR="008365D6" w:rsidRPr="008365D6" w:rsidRDefault="008365D6" w:rsidP="004B2F5D">
      <w:pPr>
        <w:pStyle w:val="SingleTxtG"/>
        <w:keepNext/>
        <w:keepLines/>
        <w:rPr>
          <w:bCs/>
          <w:i/>
        </w:rPr>
      </w:pPr>
      <w:r w:rsidRPr="008365D6">
        <w:rPr>
          <w:bCs/>
          <w:i/>
        </w:rPr>
        <w:t>Ajouter un nouveau paragraphe</w:t>
      </w:r>
      <w:r w:rsidR="004B2F5D">
        <w:rPr>
          <w:bCs/>
          <w:i/>
        </w:rPr>
        <w:t> </w:t>
      </w:r>
      <w:r w:rsidRPr="008365D6">
        <w:rPr>
          <w:bCs/>
          <w:i/>
        </w:rPr>
        <w:t>10.7.5</w:t>
      </w:r>
      <w:r w:rsidRPr="004B2F5D">
        <w:t>,</w:t>
      </w:r>
      <w:r w:rsidRPr="008365D6">
        <w:rPr>
          <w:bCs/>
        </w:rPr>
        <w:t xml:space="preserve"> libellé comme suit :</w:t>
      </w:r>
    </w:p>
    <w:p w14:paraId="06813A06" w14:textId="77777777" w:rsidR="008365D6" w:rsidRPr="008365D6" w:rsidRDefault="008365D6" w:rsidP="004B2F5D">
      <w:pPr>
        <w:pStyle w:val="SingleTxtG"/>
        <w:keepNext/>
        <w:keepLines/>
        <w:ind w:left="2268" w:hanging="1134"/>
        <w:rPr>
          <w:b/>
          <w:bCs/>
        </w:rPr>
      </w:pPr>
      <w:r w:rsidRPr="008365D6">
        <w:rPr>
          <w:bCs/>
        </w:rPr>
        <w:t>« </w:t>
      </w:r>
      <w:r w:rsidRPr="008365D6">
        <w:rPr>
          <w:b/>
          <w:bCs/>
        </w:rPr>
        <w:t>10.7.5</w:t>
      </w:r>
      <w:r w:rsidRPr="008365D6">
        <w:rPr>
          <w:b/>
          <w:bCs/>
        </w:rPr>
        <w:tab/>
        <w:t>Essai de résistance aux chocs</w:t>
      </w:r>
    </w:p>
    <w:p w14:paraId="269BB912" w14:textId="77777777" w:rsidR="008365D6" w:rsidRPr="008365D6" w:rsidRDefault="008365D6" w:rsidP="00F1285D">
      <w:pPr>
        <w:pStyle w:val="SingleTxtG"/>
        <w:ind w:left="2268" w:hanging="1134"/>
        <w:rPr>
          <w:b/>
          <w:bCs/>
        </w:rPr>
      </w:pPr>
      <w:r w:rsidRPr="008365D6">
        <w:rPr>
          <w:b/>
          <w:bCs/>
        </w:rPr>
        <w:tab/>
        <w:t>Une ou plusieurs bouteilles finies doivent être soumises à un essai de résistance aux chocs conformément au paragraphe A.20 de l’appendice A.</w:t>
      </w:r>
      <w:r w:rsidRPr="008365D6">
        <w:rPr>
          <w:bCs/>
        </w:rPr>
        <w:t> »</w:t>
      </w:r>
    </w:p>
    <w:p w14:paraId="3F17A68E" w14:textId="77777777" w:rsidR="008365D6" w:rsidRPr="008365D6" w:rsidRDefault="008365D6" w:rsidP="008365D6">
      <w:pPr>
        <w:pStyle w:val="SingleTxtG"/>
        <w:rPr>
          <w:bCs/>
        </w:rPr>
      </w:pPr>
      <w:r w:rsidRPr="008365D6">
        <w:rPr>
          <w:bCs/>
          <w:i/>
        </w:rPr>
        <w:t>Paragraphe</w:t>
      </w:r>
      <w:r w:rsidR="004B2F5D">
        <w:rPr>
          <w:bCs/>
          <w:i/>
        </w:rPr>
        <w:t> </w:t>
      </w:r>
      <w:r w:rsidRPr="008365D6">
        <w:rPr>
          <w:bCs/>
          <w:i/>
        </w:rPr>
        <w:t>6.17, tableau 6.7 (Modification de conception), douzième ligne</w:t>
      </w:r>
      <w:r w:rsidRPr="008365D6">
        <w:rPr>
          <w:bCs/>
        </w:rPr>
        <w:t>, dans la première colonne, remplacer « Forme de l’ogive » par « </w:t>
      </w:r>
      <w:r w:rsidRPr="008365D6">
        <w:rPr>
          <w:b/>
          <w:bCs/>
        </w:rPr>
        <w:t>Conception</w:t>
      </w:r>
      <w:r w:rsidRPr="008365D6">
        <w:rPr>
          <w:bCs/>
        </w:rPr>
        <w:t xml:space="preserve"> de l’ogive » et dans la huitième colonne, insérer le chiffre « </w:t>
      </w:r>
      <w:r w:rsidRPr="008365D6">
        <w:rPr>
          <w:b/>
          <w:bCs/>
        </w:rPr>
        <w:t>X**</w:t>
      </w:r>
      <w:r w:rsidRPr="008365D6">
        <w:rPr>
          <w:bCs/>
        </w:rPr>
        <w:t> » y compris une nouvelle note ** ainsi conçue : « </w:t>
      </w:r>
      <w:r w:rsidRPr="008365D6">
        <w:rPr>
          <w:b/>
          <w:bCs/>
        </w:rPr>
        <w:t>** Essai de chute A.20 requis uniquement pour les bouteilles GNC-3 et GNC-4.</w:t>
      </w:r>
      <w:r w:rsidRPr="008365D6">
        <w:rPr>
          <w:bCs/>
        </w:rPr>
        <w:t> »</w:t>
      </w:r>
    </w:p>
    <w:p w14:paraId="095D6636" w14:textId="77777777" w:rsidR="008365D6" w:rsidRPr="008365D6" w:rsidRDefault="008365D6" w:rsidP="004B2F5D">
      <w:pPr>
        <w:pStyle w:val="SingleTxtG"/>
        <w:keepNext/>
        <w:keepLines/>
        <w:rPr>
          <w:bCs/>
          <w:i/>
        </w:rPr>
      </w:pPr>
      <w:r w:rsidRPr="008365D6">
        <w:rPr>
          <w:i/>
        </w:rPr>
        <w:t>Annexe</w:t>
      </w:r>
      <w:r w:rsidR="004B2F5D">
        <w:rPr>
          <w:i/>
        </w:rPr>
        <w:t> </w:t>
      </w:r>
      <w:r w:rsidRPr="008365D6">
        <w:rPr>
          <w:i/>
        </w:rPr>
        <w:t xml:space="preserve">3A, appendice A, </w:t>
      </w:r>
      <w:r w:rsidRPr="008365D6">
        <w:rPr>
          <w:bCs/>
          <w:i/>
        </w:rPr>
        <w:t>paragraphe</w:t>
      </w:r>
      <w:r w:rsidR="004B2F5D">
        <w:rPr>
          <w:bCs/>
          <w:i/>
        </w:rPr>
        <w:t> </w:t>
      </w:r>
      <w:r w:rsidRPr="008365D6">
        <w:rPr>
          <w:bCs/>
          <w:i/>
        </w:rPr>
        <w:t>A.17</w:t>
      </w:r>
      <w:r w:rsidRPr="004B2F5D">
        <w:t>,</w:t>
      </w:r>
      <w:r w:rsidRPr="008365D6">
        <w:rPr>
          <w:bCs/>
        </w:rPr>
        <w:t xml:space="preserve"> modifier comme suit :</w:t>
      </w:r>
    </w:p>
    <w:p w14:paraId="5F26EA2D" w14:textId="77777777" w:rsidR="008365D6" w:rsidRPr="008365D6" w:rsidRDefault="008365D6" w:rsidP="004B2F5D">
      <w:pPr>
        <w:pStyle w:val="SingleTxtG"/>
        <w:keepNext/>
        <w:keepLines/>
        <w:ind w:left="2268" w:hanging="1134"/>
      </w:pPr>
      <w:r w:rsidRPr="004B2F5D">
        <w:t>«</w:t>
      </w:r>
      <w:r w:rsidRPr="008365D6">
        <w:rPr>
          <w:bCs/>
          <w:i/>
        </w:rPr>
        <w:t> </w:t>
      </w:r>
      <w:r w:rsidRPr="008365D6">
        <w:rPr>
          <w:bCs/>
        </w:rPr>
        <w:t>A.17</w:t>
      </w:r>
      <w:r w:rsidRPr="008365D6">
        <w:rPr>
          <w:bCs/>
        </w:rPr>
        <w:tab/>
      </w:r>
      <w:r w:rsidRPr="008365D6">
        <w:t>Essai de résistance aux entailles dans le composite</w:t>
      </w:r>
    </w:p>
    <w:p w14:paraId="72F2A1E7" w14:textId="77777777" w:rsidR="008365D6" w:rsidRPr="008365D6" w:rsidRDefault="008365D6" w:rsidP="00F1285D">
      <w:pPr>
        <w:pStyle w:val="SingleTxtG"/>
        <w:ind w:left="2268" w:hanging="1134"/>
      </w:pPr>
      <w:r w:rsidRPr="008365D6">
        <w:tab/>
        <w:t xml:space="preserve">Pour les bouteilles de type GNC-2, GNC-3 et GNC-4 uniquement, </w:t>
      </w:r>
      <w:r w:rsidRPr="008365D6">
        <w:rPr>
          <w:b/>
        </w:rPr>
        <w:t>un essai de résistance aux entailles doit être effectué sur la paroi cylindrique d’une bouteille finie équipée d’un revêtement de protection ainsi que sur les zones les plus minces de la paroi composite de la ou des parties les plus faibles du réservoir, telles que déterminées par une analyse appropriée des contraintes, conformément à l’annexe</w:t>
      </w:r>
      <w:r w:rsidR="004B2F5D">
        <w:rPr>
          <w:b/>
        </w:rPr>
        <w:t> </w:t>
      </w:r>
      <w:r w:rsidRPr="008365D6">
        <w:rPr>
          <w:b/>
        </w:rPr>
        <w:t>3A, appendice</w:t>
      </w:r>
      <w:r w:rsidR="004B2F5D">
        <w:rPr>
          <w:b/>
        </w:rPr>
        <w:t> </w:t>
      </w:r>
      <w:r w:rsidRPr="008365D6">
        <w:rPr>
          <w:b/>
        </w:rPr>
        <w:t xml:space="preserve">F, paragraphe F.1, ou par des essais physiques sur des bouteilles finies. </w:t>
      </w:r>
      <w:r w:rsidRPr="008365D6">
        <w:t>Les entailles doivent être pratiquées dans la direction longitudinale du matériau composite. Les entailles doivent dépasser les limites de l’inspection visuelle telles qu’elles sont spécifiées par le fabricant.</w:t>
      </w:r>
    </w:p>
    <w:p w14:paraId="613A07C9" w14:textId="77777777" w:rsidR="008365D6" w:rsidRPr="008365D6" w:rsidRDefault="008365D6" w:rsidP="00F1285D">
      <w:pPr>
        <w:pStyle w:val="SingleTxtG"/>
        <w:ind w:left="2268" w:hanging="1134"/>
        <w:rPr>
          <w:bCs/>
        </w:rPr>
      </w:pPr>
      <w:r w:rsidRPr="008365D6">
        <w:tab/>
        <w:t>La bouteille entaillée doit alors … doivent être détruites.</w:t>
      </w:r>
      <w:r w:rsidRPr="008365D6">
        <w:rPr>
          <w:bCs/>
        </w:rPr>
        <w:t> »</w:t>
      </w:r>
    </w:p>
    <w:p w14:paraId="0A49A761" w14:textId="77777777" w:rsidR="008365D6" w:rsidRPr="008365D6" w:rsidRDefault="008365D6" w:rsidP="004B2F5D">
      <w:pPr>
        <w:pStyle w:val="SingleTxtG"/>
        <w:keepNext/>
        <w:keepLines/>
        <w:rPr>
          <w:bCs/>
        </w:rPr>
      </w:pPr>
      <w:r w:rsidRPr="008365D6">
        <w:rPr>
          <w:bCs/>
          <w:i/>
        </w:rPr>
        <w:lastRenderedPageBreak/>
        <w:t>Annexe</w:t>
      </w:r>
      <w:r w:rsidR="004B2F5D">
        <w:rPr>
          <w:bCs/>
          <w:i/>
        </w:rPr>
        <w:t> </w:t>
      </w:r>
      <w:r w:rsidRPr="008365D6">
        <w:rPr>
          <w:bCs/>
          <w:i/>
        </w:rPr>
        <w:t>3B, paragraphe 2.1.3</w:t>
      </w:r>
      <w:r w:rsidRPr="008365D6">
        <w:rPr>
          <w:bCs/>
        </w:rPr>
        <w:t>, modifier comme suit :</w:t>
      </w:r>
    </w:p>
    <w:p w14:paraId="46A6E34B" w14:textId="77777777" w:rsidR="008365D6" w:rsidRPr="008365D6" w:rsidRDefault="008365D6" w:rsidP="004B2F5D">
      <w:pPr>
        <w:pStyle w:val="SingleTxtG"/>
        <w:keepNext/>
        <w:keepLines/>
        <w:ind w:left="2268" w:hanging="1134"/>
        <w:rPr>
          <w:bCs/>
        </w:rPr>
      </w:pPr>
      <w:r w:rsidRPr="008365D6">
        <w:rPr>
          <w:bCs/>
        </w:rPr>
        <w:t>« 2.1.3</w:t>
      </w:r>
      <w:r w:rsidRPr="008365D6">
        <w:rPr>
          <w:bCs/>
        </w:rPr>
        <w:tab/>
      </w:r>
      <w:r w:rsidRPr="008365D6">
        <w:t>Requalification périodique</w:t>
      </w:r>
    </w:p>
    <w:p w14:paraId="0B6A90C9" w14:textId="77777777" w:rsidR="008365D6" w:rsidRPr="008365D6" w:rsidRDefault="008365D6" w:rsidP="00F1285D">
      <w:pPr>
        <w:pStyle w:val="SingleTxtG"/>
        <w:ind w:left="2268" w:hanging="1134"/>
      </w:pPr>
      <w:r w:rsidRPr="008365D6">
        <w:tab/>
        <w:t xml:space="preserve">Des recommandations pour la requalification périodique par inspection visuelle ou par essai au cours de la durée de service doivent être fournies par le fabricant du réservoir en fonction de l’utilisation dans les conditions d’utilisation spécifiées ici. Chaque réservoir doit être contrôlé visuellement au moins tous les 120 mois après la date de sa mise en service sur le véhicule (immatriculation du véhicule), et à chaque nouvelle installation, pour vérifier l’absence de dommages ou détériorations. </w:t>
      </w:r>
      <w:r w:rsidRPr="008365D6">
        <w:rPr>
          <w:b/>
        </w:rPr>
        <w:t xml:space="preserve">Il est suggéré de contrôler visuellement également sous les supports. </w:t>
      </w:r>
      <w:r w:rsidRPr="008365D6">
        <w:t xml:space="preserve">Le contrôle visuel doit être effectué par un service technique désigné ou reconnu par l’autorité d’homologation de type, </w:t>
      </w:r>
      <w:r w:rsidRPr="008365D6">
        <w:rPr>
          <w:b/>
        </w:rPr>
        <w:t xml:space="preserve">compte tenu des </w:t>
      </w:r>
      <w:r w:rsidRPr="008365D6">
        <w:t xml:space="preserve">spécifications du fabricant. Les réservoirs ne portant pas d’étiquette mentionnant les informations obligatoires, ou sur lesquels les informations obligatoires sont illisibles pour quelque raison que ce soit, doivent être retirés du service. S’il est possible d’identifier le réservoir de façon certaine par le fabricant et le numéro de série, une nouvelle étiquette peut remplacer l’ancienne, le réservoir restant ainsi en service. </w:t>
      </w:r>
      <w:r w:rsidRPr="008365D6">
        <w:rPr>
          <w:b/>
        </w:rPr>
        <w:t>Les Parties contractantes qui exigent une requalification périodique des réservoirs plus fréquente (que tous les 120</w:t>
      </w:r>
      <w:r w:rsidR="004B2F5D">
        <w:rPr>
          <w:b/>
        </w:rPr>
        <w:t> </w:t>
      </w:r>
      <w:r w:rsidRPr="008365D6">
        <w:rPr>
          <w:b/>
        </w:rPr>
        <w:t>mois) ou plus rigoureuse peuvent le faire conformément aux prescriptions nationales ou régionales.</w:t>
      </w:r>
      <w:r w:rsidRPr="008365D6">
        <w:rPr>
          <w:bCs/>
        </w:rPr>
        <w:t> »</w:t>
      </w:r>
    </w:p>
    <w:p w14:paraId="12412F03" w14:textId="77777777" w:rsidR="008365D6" w:rsidRPr="008365D6" w:rsidRDefault="008365D6" w:rsidP="008365D6">
      <w:pPr>
        <w:pStyle w:val="SingleTxtG"/>
        <w:rPr>
          <w:bCs/>
        </w:rPr>
      </w:pPr>
    </w:p>
    <w:p w14:paraId="69B53E35" w14:textId="77777777" w:rsidR="008365D6" w:rsidRPr="008365D6" w:rsidRDefault="008365D6" w:rsidP="004B2F5D">
      <w:pPr>
        <w:pStyle w:val="HChG"/>
      </w:pPr>
      <w:r w:rsidRPr="008365D6">
        <w:br w:type="page"/>
      </w:r>
      <w:r w:rsidRPr="008365D6">
        <w:lastRenderedPageBreak/>
        <w:t>Annexe</w:t>
      </w:r>
      <w:r w:rsidR="004B2F5D">
        <w:t> </w:t>
      </w:r>
      <w:r w:rsidRPr="008365D6">
        <w:t>IV</w:t>
      </w:r>
    </w:p>
    <w:p w14:paraId="69207954" w14:textId="77777777" w:rsidR="008365D6" w:rsidRPr="008365D6" w:rsidRDefault="004B2F5D" w:rsidP="004B2F5D">
      <w:pPr>
        <w:pStyle w:val="HChG"/>
      </w:pPr>
      <w:r>
        <w:tab/>
      </w:r>
      <w:r>
        <w:tab/>
      </w:r>
      <w:r w:rsidR="008365D6" w:rsidRPr="008365D6">
        <w:t>Projet de complément</w:t>
      </w:r>
      <w:r>
        <w:t> </w:t>
      </w:r>
      <w:r w:rsidR="008365D6" w:rsidRPr="008365D6">
        <w:t>5 au Règlement ONU n</w:t>
      </w:r>
      <w:r w:rsidR="008365D6" w:rsidRPr="008365D6">
        <w:rPr>
          <w:vertAlign w:val="superscript"/>
        </w:rPr>
        <w:t>o</w:t>
      </w:r>
      <w:r w:rsidR="008365D6" w:rsidRPr="008365D6">
        <w:t xml:space="preserve"> 122 </w:t>
      </w:r>
      <w:r w:rsidR="008365D6" w:rsidRPr="008365D6">
        <w:br/>
        <w:t>(Systèmes de chauffage) (par.</w:t>
      </w:r>
      <w:r>
        <w:t> </w:t>
      </w:r>
      <w:r w:rsidR="008365D6" w:rsidRPr="008365D6">
        <w:t>54)</w:t>
      </w:r>
    </w:p>
    <w:p w14:paraId="1DDB71F2" w14:textId="77777777" w:rsidR="008365D6" w:rsidRPr="008365D6" w:rsidRDefault="008365D6" w:rsidP="004B2F5D">
      <w:pPr>
        <w:pStyle w:val="SingleTxtG"/>
        <w:keepNext/>
        <w:keepLines/>
        <w:rPr>
          <w:bCs/>
        </w:rPr>
      </w:pPr>
      <w:r w:rsidRPr="008365D6">
        <w:rPr>
          <w:i/>
          <w:iCs/>
        </w:rPr>
        <w:t>Paragraphe</w:t>
      </w:r>
      <w:r w:rsidR="004B2F5D">
        <w:rPr>
          <w:i/>
          <w:iCs/>
        </w:rPr>
        <w:t> </w:t>
      </w:r>
      <w:r w:rsidRPr="008365D6">
        <w:rPr>
          <w:i/>
          <w:iCs/>
        </w:rPr>
        <w:t>5.3</w:t>
      </w:r>
      <w:r w:rsidRPr="004B2F5D">
        <w:t xml:space="preserve">, </w:t>
      </w:r>
      <w:r w:rsidRPr="008365D6">
        <w:t>modifier comme suit :</w:t>
      </w:r>
    </w:p>
    <w:p w14:paraId="06AF1002" w14:textId="77777777" w:rsidR="008365D6" w:rsidRPr="008365D6" w:rsidRDefault="008365D6" w:rsidP="004B2F5D">
      <w:pPr>
        <w:pStyle w:val="SingleTxtG"/>
        <w:ind w:left="2268" w:hanging="1134"/>
      </w:pPr>
      <w:r w:rsidRPr="008365D6">
        <w:rPr>
          <w:bCs/>
        </w:rPr>
        <w:t>« </w:t>
      </w:r>
      <w:r w:rsidRPr="008365D6">
        <w:t>5.3</w:t>
      </w:r>
      <w:r w:rsidRPr="008365D6">
        <w:tab/>
      </w:r>
      <w:r w:rsidR="004B2F5D">
        <w:tab/>
      </w:r>
      <w:r w:rsidRPr="008365D6">
        <w:t>Prescriptions relatives au montage des chauffages à combustion</w:t>
      </w:r>
      <w:r w:rsidRPr="008365D6">
        <w:rPr>
          <w:b/>
        </w:rPr>
        <w:t xml:space="preserve">, des chauffages électriques et des systèmes de chauffage par pompe à chaleur </w:t>
      </w:r>
      <w:r w:rsidRPr="008365D6">
        <w:t>dans les véhicules</w:t>
      </w:r>
      <w:r w:rsidR="004B2F5D">
        <w:t>.</w:t>
      </w:r>
      <w:r w:rsidRPr="008365D6">
        <w:t> »</w:t>
      </w:r>
    </w:p>
    <w:p w14:paraId="0505CDF5" w14:textId="77777777" w:rsidR="008365D6" w:rsidRPr="008365D6" w:rsidRDefault="008365D6" w:rsidP="004B2F5D">
      <w:pPr>
        <w:pStyle w:val="SingleTxtG"/>
        <w:keepNext/>
        <w:keepLines/>
      </w:pPr>
      <w:r w:rsidRPr="008365D6">
        <w:rPr>
          <w:i/>
          <w:iCs/>
        </w:rPr>
        <w:t>Paragraphe 6.1.5</w:t>
      </w:r>
      <w:r w:rsidRPr="004B2F5D">
        <w:t xml:space="preserve">, </w:t>
      </w:r>
      <w:r w:rsidRPr="008365D6">
        <w:t>modifier comme suit :</w:t>
      </w:r>
    </w:p>
    <w:p w14:paraId="4ABAF071" w14:textId="77777777" w:rsidR="008365D6" w:rsidRPr="008365D6" w:rsidRDefault="008365D6" w:rsidP="004B2F5D">
      <w:pPr>
        <w:pStyle w:val="SingleTxtG"/>
        <w:ind w:left="2268" w:hanging="1134"/>
      </w:pPr>
      <w:r w:rsidRPr="008365D6">
        <w:t>« 6.1.5</w:t>
      </w:r>
      <w:r w:rsidRPr="008365D6">
        <w:tab/>
      </w:r>
      <w:r w:rsidR="004B2F5D">
        <w:tab/>
      </w:r>
      <w:r w:rsidR="004B2F5D" w:rsidRPr="004B2F5D">
        <w:t>“</w:t>
      </w:r>
      <w:r w:rsidRPr="008365D6">
        <w:rPr>
          <w:i/>
        </w:rPr>
        <w:t>Chauffage électrique</w:t>
      </w:r>
      <w:r w:rsidR="004B2F5D" w:rsidRPr="004B2F5D">
        <w:t>”</w:t>
      </w:r>
      <w:r w:rsidRPr="004B2F5D">
        <w:t>,</w:t>
      </w:r>
      <w:r w:rsidRPr="008365D6">
        <w:t xml:space="preserve"> un dispositif utilisant l’énergie électrique d’une source embarquée ou externe pour augmenter la température à l’intérieur du véhicule. Les dispositifs électriques qui sont installés en plus du système de chauffage principal </w:t>
      </w:r>
      <w:r w:rsidRPr="008365D6">
        <w:rPr>
          <w:b/>
        </w:rPr>
        <w:t xml:space="preserve">et dont la fonction principale n’est pas de chauffer l’habitacle du véhicule </w:t>
      </w:r>
      <w:r w:rsidRPr="008365D6">
        <w:t xml:space="preserve">ne sont pas considérés comme des chauffages électriques au titre du présent Règlement. </w:t>
      </w:r>
      <w:r w:rsidRPr="008365D6">
        <w:rPr>
          <w:b/>
        </w:rPr>
        <w:t>Par exemple</w:t>
      </w:r>
      <w:r w:rsidRPr="008365D6">
        <w:t>, les dispositifs électriques installés dans un élément aux seules fins de chauffage de cet élément ne sont pas considérés comme étant des chauffages électriques au titre du présent Règlement. »</w:t>
      </w:r>
    </w:p>
    <w:p w14:paraId="00A700FC" w14:textId="77777777" w:rsidR="008365D6" w:rsidRPr="008365D6" w:rsidRDefault="008365D6" w:rsidP="004B2F5D">
      <w:pPr>
        <w:pStyle w:val="SingleTxtG"/>
        <w:keepNext/>
        <w:keepLines/>
      </w:pPr>
      <w:r w:rsidRPr="008365D6">
        <w:rPr>
          <w:i/>
          <w:iCs/>
        </w:rPr>
        <w:t>Ajouter un nouveau paragraphe</w:t>
      </w:r>
      <w:r w:rsidR="004B2F5D">
        <w:rPr>
          <w:i/>
          <w:iCs/>
        </w:rPr>
        <w:t> </w:t>
      </w:r>
      <w:r w:rsidRPr="008365D6">
        <w:rPr>
          <w:i/>
          <w:iCs/>
        </w:rPr>
        <w:t>6.1.6</w:t>
      </w:r>
      <w:r w:rsidRPr="004B2F5D">
        <w:t xml:space="preserve">, </w:t>
      </w:r>
      <w:r w:rsidRPr="008365D6">
        <w:t>libellé comme suit :</w:t>
      </w:r>
    </w:p>
    <w:p w14:paraId="21DD8689" w14:textId="77777777" w:rsidR="008365D6" w:rsidRPr="008365D6" w:rsidRDefault="008365D6" w:rsidP="004B2F5D">
      <w:pPr>
        <w:pStyle w:val="SingleTxtG"/>
        <w:ind w:left="2268" w:hanging="1134"/>
        <w:rPr>
          <w:bCs/>
        </w:rPr>
      </w:pPr>
      <w:r w:rsidRPr="008365D6">
        <w:t>« </w:t>
      </w:r>
      <w:r w:rsidRPr="008365D6">
        <w:rPr>
          <w:b/>
          <w:bCs/>
        </w:rPr>
        <w:t>6.1.6</w:t>
      </w:r>
      <w:r w:rsidRPr="008365D6">
        <w:rPr>
          <w:b/>
          <w:bCs/>
        </w:rPr>
        <w:tab/>
      </w:r>
      <w:r w:rsidR="004B2F5D">
        <w:tab/>
      </w:r>
      <w:r w:rsidR="004B2F5D" w:rsidRPr="004B2F5D">
        <w:t>“</w:t>
      </w:r>
      <w:r w:rsidRPr="008365D6">
        <w:rPr>
          <w:b/>
          <w:bCs/>
          <w:i/>
        </w:rPr>
        <w:t>Système de chauffage par pompe à chaleur</w:t>
      </w:r>
      <w:r w:rsidR="004B2F5D" w:rsidRPr="004B2F5D">
        <w:t>”</w:t>
      </w:r>
      <w:r w:rsidRPr="008365D6">
        <w:rPr>
          <w:b/>
          <w:bCs/>
          <w:i/>
        </w:rPr>
        <w:t>,</w:t>
      </w:r>
      <w:r w:rsidRPr="008365D6">
        <w:rPr>
          <w:b/>
          <w:bCs/>
        </w:rPr>
        <w:t xml:space="preserve"> tout type de dispositif de chauffage thermodynamique conçu pour utiliser une énergie renouvelable en prélevant des calories dans un environnement donné (air ou eau) pour les transférer dans un autre afin d’augmenter la température de l’habitacle du véhicule. Les systèmes de chauffage par pompe à chaleur qui sont installés en plus du système de chauffage principal et dont la fonction principale n’est pas de chauffer l’habitacle du véhicule ne sont pas considérés comme des systèmes de chauffage par pompe à chaleur au sens du présent Règlement.</w:t>
      </w:r>
      <w:r w:rsidRPr="008365D6">
        <w:rPr>
          <w:bCs/>
        </w:rPr>
        <w:t> »</w:t>
      </w:r>
    </w:p>
    <w:p w14:paraId="4A7EF815" w14:textId="77777777" w:rsidR="008365D6" w:rsidRPr="008365D6" w:rsidRDefault="008365D6" w:rsidP="004B2F5D">
      <w:pPr>
        <w:pStyle w:val="SingleTxtG"/>
        <w:keepNext/>
        <w:keepLines/>
        <w:rPr>
          <w:i/>
          <w:iCs/>
        </w:rPr>
      </w:pPr>
      <w:r w:rsidRPr="008365D6">
        <w:rPr>
          <w:i/>
          <w:iCs/>
        </w:rPr>
        <w:t>Paragraphe 6.2.1, tableau</w:t>
      </w:r>
      <w:r w:rsidRPr="008365D6">
        <w:t>, ajouter une nouvelle ligne, ainsi conçue :</w:t>
      </w:r>
    </w:p>
    <w:p w14:paraId="04001975" w14:textId="77777777" w:rsidR="008365D6" w:rsidRPr="004B2F5D" w:rsidRDefault="008365D6" w:rsidP="008365D6">
      <w:pPr>
        <w:pStyle w:val="SingleTxtG"/>
        <w:rPr>
          <w:iCs/>
        </w:rPr>
      </w:pPr>
      <w:r w:rsidRPr="004B2F5D">
        <w:rPr>
          <w:iCs/>
        </w:rPr>
        <w:t>« </w:t>
      </w:r>
    </w:p>
    <w:tbl>
      <w:tblPr>
        <w:tblStyle w:val="TableGrid1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8"/>
        <w:gridCol w:w="1228"/>
        <w:gridCol w:w="1229"/>
        <w:gridCol w:w="1228"/>
        <w:gridCol w:w="1228"/>
        <w:gridCol w:w="1229"/>
      </w:tblGrid>
      <w:tr w:rsidR="008365D6" w:rsidRPr="008365D6" w14:paraId="70C528A2" w14:textId="77777777" w:rsidTr="004B2F5D">
        <w:trPr>
          <w:tblHeader/>
        </w:trPr>
        <w:tc>
          <w:tcPr>
            <w:tcW w:w="1228" w:type="dxa"/>
            <w:tcBorders>
              <w:top w:val="single" w:sz="4" w:space="0" w:color="auto"/>
              <w:bottom w:val="single" w:sz="12" w:space="0" w:color="auto"/>
            </w:tcBorders>
            <w:shd w:val="clear" w:color="auto" w:fill="auto"/>
            <w:tcMar>
              <w:left w:w="0" w:type="dxa"/>
            </w:tcMar>
            <w:vAlign w:val="bottom"/>
          </w:tcPr>
          <w:p w14:paraId="12DD54CE" w14:textId="77777777" w:rsidR="008365D6" w:rsidRPr="008365D6" w:rsidRDefault="008365D6" w:rsidP="008365D6">
            <w:pPr>
              <w:spacing w:before="80" w:after="80" w:line="200" w:lineRule="exact"/>
              <w:ind w:right="113"/>
              <w:rPr>
                <w:i/>
                <w:iCs/>
                <w:sz w:val="16"/>
                <w:lang w:val="en-GB"/>
              </w:rPr>
            </w:pPr>
            <w:r w:rsidRPr="008365D6">
              <w:rPr>
                <w:i/>
                <w:sz w:val="16"/>
                <w:lang w:val="en-GB"/>
              </w:rPr>
              <w:t>Système de chauffage</w:t>
            </w:r>
          </w:p>
        </w:tc>
        <w:tc>
          <w:tcPr>
            <w:tcW w:w="1228" w:type="dxa"/>
            <w:tcBorders>
              <w:top w:val="single" w:sz="4" w:space="0" w:color="auto"/>
              <w:bottom w:val="single" w:sz="12" w:space="0" w:color="auto"/>
            </w:tcBorders>
            <w:shd w:val="clear" w:color="auto" w:fill="auto"/>
            <w:tcMar>
              <w:left w:w="0" w:type="dxa"/>
            </w:tcMar>
            <w:vAlign w:val="bottom"/>
          </w:tcPr>
          <w:p w14:paraId="500B1842" w14:textId="77777777" w:rsidR="008365D6" w:rsidRPr="008365D6" w:rsidRDefault="008365D6" w:rsidP="008365D6">
            <w:pPr>
              <w:spacing w:before="80" w:after="80" w:line="200" w:lineRule="exact"/>
              <w:ind w:right="113"/>
              <w:rPr>
                <w:i/>
                <w:iCs/>
                <w:sz w:val="16"/>
                <w:lang w:val="en-GB"/>
              </w:rPr>
            </w:pPr>
            <w:r w:rsidRPr="008365D6">
              <w:rPr>
                <w:i/>
                <w:sz w:val="16"/>
                <w:lang w:val="en-GB"/>
              </w:rPr>
              <w:t>Catégorie de véhicule</w:t>
            </w:r>
          </w:p>
        </w:tc>
        <w:tc>
          <w:tcPr>
            <w:tcW w:w="1229" w:type="dxa"/>
            <w:tcBorders>
              <w:top w:val="single" w:sz="4" w:space="0" w:color="auto"/>
              <w:bottom w:val="single" w:sz="12" w:space="0" w:color="auto"/>
            </w:tcBorders>
            <w:shd w:val="clear" w:color="auto" w:fill="auto"/>
            <w:tcMar>
              <w:left w:w="0" w:type="dxa"/>
            </w:tcMar>
            <w:vAlign w:val="bottom"/>
          </w:tcPr>
          <w:p w14:paraId="54AE895F" w14:textId="77777777" w:rsidR="008365D6" w:rsidRPr="008365D6" w:rsidRDefault="008365D6" w:rsidP="008365D6">
            <w:pPr>
              <w:spacing w:before="80" w:after="80" w:line="200" w:lineRule="exact"/>
              <w:ind w:right="113"/>
              <w:rPr>
                <w:i/>
                <w:iCs/>
                <w:sz w:val="16"/>
                <w:lang w:val="en-GB"/>
              </w:rPr>
            </w:pPr>
            <w:r w:rsidRPr="008365D6">
              <w:rPr>
                <w:i/>
                <w:sz w:val="16"/>
                <w:lang w:val="en-GB"/>
              </w:rPr>
              <w:t xml:space="preserve">Annexe 4 </w:t>
            </w:r>
            <w:r w:rsidR="00FA69E7">
              <w:rPr>
                <w:i/>
                <w:sz w:val="16"/>
                <w:lang w:val="en-GB"/>
              </w:rPr>
              <w:br/>
            </w:r>
            <w:r w:rsidRPr="008365D6">
              <w:rPr>
                <w:i/>
                <w:sz w:val="16"/>
                <w:lang w:val="en-GB"/>
              </w:rPr>
              <w:t>Qualité de l’air</w:t>
            </w:r>
          </w:p>
        </w:tc>
        <w:tc>
          <w:tcPr>
            <w:tcW w:w="1228" w:type="dxa"/>
            <w:tcBorders>
              <w:top w:val="single" w:sz="4" w:space="0" w:color="auto"/>
              <w:bottom w:val="single" w:sz="12" w:space="0" w:color="auto"/>
            </w:tcBorders>
            <w:shd w:val="clear" w:color="auto" w:fill="auto"/>
            <w:tcMar>
              <w:left w:w="0" w:type="dxa"/>
            </w:tcMar>
            <w:vAlign w:val="bottom"/>
          </w:tcPr>
          <w:p w14:paraId="46D8E2D8" w14:textId="77777777" w:rsidR="008365D6" w:rsidRPr="008365D6" w:rsidRDefault="008365D6" w:rsidP="008365D6">
            <w:pPr>
              <w:spacing w:before="80" w:after="80" w:line="200" w:lineRule="exact"/>
              <w:ind w:right="113"/>
              <w:rPr>
                <w:i/>
                <w:iCs/>
                <w:sz w:val="16"/>
                <w:lang w:val="en-GB"/>
              </w:rPr>
            </w:pPr>
            <w:r w:rsidRPr="008365D6">
              <w:rPr>
                <w:i/>
                <w:sz w:val="16"/>
                <w:lang w:val="en-GB"/>
              </w:rPr>
              <w:t>Annexe 5 Température</w:t>
            </w:r>
          </w:p>
        </w:tc>
        <w:tc>
          <w:tcPr>
            <w:tcW w:w="1228" w:type="dxa"/>
            <w:tcBorders>
              <w:top w:val="single" w:sz="4" w:space="0" w:color="auto"/>
              <w:bottom w:val="single" w:sz="12" w:space="0" w:color="auto"/>
            </w:tcBorders>
            <w:shd w:val="clear" w:color="auto" w:fill="auto"/>
            <w:tcMar>
              <w:left w:w="0" w:type="dxa"/>
            </w:tcMar>
            <w:vAlign w:val="bottom"/>
          </w:tcPr>
          <w:p w14:paraId="09835070" w14:textId="77777777" w:rsidR="008365D6" w:rsidRPr="008365D6" w:rsidRDefault="008365D6" w:rsidP="008365D6">
            <w:pPr>
              <w:spacing w:before="80" w:after="80" w:line="200" w:lineRule="exact"/>
              <w:ind w:right="113"/>
              <w:rPr>
                <w:i/>
                <w:iCs/>
                <w:sz w:val="16"/>
                <w:lang w:val="en-GB"/>
              </w:rPr>
            </w:pPr>
            <w:r w:rsidRPr="008365D6">
              <w:rPr>
                <w:i/>
                <w:sz w:val="16"/>
                <w:lang w:val="en-GB"/>
              </w:rPr>
              <w:t>Annexe 6</w:t>
            </w:r>
            <w:r w:rsidRPr="008365D6">
              <w:rPr>
                <w:i/>
                <w:sz w:val="16"/>
                <w:lang w:val="en-GB"/>
              </w:rPr>
              <w:br/>
              <w:t>Échappement</w:t>
            </w:r>
          </w:p>
        </w:tc>
        <w:tc>
          <w:tcPr>
            <w:tcW w:w="1229" w:type="dxa"/>
            <w:tcBorders>
              <w:top w:val="single" w:sz="4" w:space="0" w:color="auto"/>
              <w:bottom w:val="single" w:sz="12" w:space="0" w:color="auto"/>
            </w:tcBorders>
            <w:shd w:val="clear" w:color="auto" w:fill="auto"/>
            <w:tcMar>
              <w:left w:w="0" w:type="dxa"/>
            </w:tcMar>
            <w:vAlign w:val="bottom"/>
          </w:tcPr>
          <w:p w14:paraId="0DB1959C" w14:textId="77777777" w:rsidR="008365D6" w:rsidRPr="008365D6" w:rsidRDefault="008365D6" w:rsidP="008365D6">
            <w:pPr>
              <w:spacing w:before="80" w:after="80" w:line="200" w:lineRule="exact"/>
              <w:ind w:right="113"/>
              <w:rPr>
                <w:i/>
                <w:iCs/>
                <w:sz w:val="16"/>
                <w:lang w:val="en-GB"/>
              </w:rPr>
            </w:pPr>
            <w:r w:rsidRPr="008365D6">
              <w:rPr>
                <w:i/>
                <w:sz w:val="16"/>
                <w:lang w:val="en-GB"/>
              </w:rPr>
              <w:t>Annexe 8</w:t>
            </w:r>
            <w:r w:rsidRPr="008365D6">
              <w:rPr>
                <w:i/>
                <w:sz w:val="16"/>
                <w:lang w:val="en-GB"/>
              </w:rPr>
              <w:br/>
              <w:t>Sécurité GPL</w:t>
            </w:r>
          </w:p>
        </w:tc>
      </w:tr>
      <w:tr w:rsidR="008365D6" w:rsidRPr="008365D6" w14:paraId="764F186A" w14:textId="77777777" w:rsidTr="004B2F5D">
        <w:trPr>
          <w:trHeight w:hRule="exact" w:val="113"/>
          <w:tblHeader/>
        </w:trPr>
        <w:tc>
          <w:tcPr>
            <w:tcW w:w="1228" w:type="dxa"/>
            <w:tcBorders>
              <w:top w:val="single" w:sz="12" w:space="0" w:color="auto"/>
            </w:tcBorders>
            <w:shd w:val="clear" w:color="auto" w:fill="auto"/>
            <w:tcMar>
              <w:left w:w="0" w:type="dxa"/>
            </w:tcMar>
          </w:tcPr>
          <w:p w14:paraId="56B4BA13" w14:textId="77777777" w:rsidR="008365D6" w:rsidRPr="008365D6" w:rsidRDefault="008365D6" w:rsidP="008365D6">
            <w:pPr>
              <w:spacing w:before="40" w:after="120"/>
              <w:ind w:right="113"/>
              <w:rPr>
                <w:lang w:val="en-GB"/>
              </w:rPr>
            </w:pPr>
          </w:p>
        </w:tc>
        <w:tc>
          <w:tcPr>
            <w:tcW w:w="1228" w:type="dxa"/>
            <w:tcBorders>
              <w:top w:val="single" w:sz="12" w:space="0" w:color="auto"/>
            </w:tcBorders>
            <w:shd w:val="clear" w:color="auto" w:fill="auto"/>
            <w:tcMar>
              <w:left w:w="0" w:type="dxa"/>
            </w:tcMar>
          </w:tcPr>
          <w:p w14:paraId="6E53420B" w14:textId="77777777" w:rsidR="008365D6" w:rsidRPr="008365D6" w:rsidRDefault="008365D6" w:rsidP="008365D6">
            <w:pPr>
              <w:spacing w:before="40" w:after="120"/>
              <w:ind w:right="113"/>
              <w:rPr>
                <w:lang w:val="en-GB"/>
              </w:rPr>
            </w:pPr>
          </w:p>
        </w:tc>
        <w:tc>
          <w:tcPr>
            <w:tcW w:w="1229" w:type="dxa"/>
            <w:tcBorders>
              <w:top w:val="single" w:sz="12" w:space="0" w:color="auto"/>
            </w:tcBorders>
            <w:shd w:val="clear" w:color="auto" w:fill="auto"/>
            <w:tcMar>
              <w:left w:w="0" w:type="dxa"/>
            </w:tcMar>
          </w:tcPr>
          <w:p w14:paraId="0B19835B" w14:textId="77777777" w:rsidR="008365D6" w:rsidRPr="008365D6" w:rsidRDefault="008365D6" w:rsidP="008365D6">
            <w:pPr>
              <w:spacing w:before="40" w:after="120"/>
              <w:ind w:right="113"/>
              <w:rPr>
                <w:lang w:val="en-GB"/>
              </w:rPr>
            </w:pPr>
          </w:p>
        </w:tc>
        <w:tc>
          <w:tcPr>
            <w:tcW w:w="1228" w:type="dxa"/>
            <w:tcBorders>
              <w:top w:val="single" w:sz="12" w:space="0" w:color="auto"/>
            </w:tcBorders>
            <w:shd w:val="clear" w:color="auto" w:fill="auto"/>
            <w:tcMar>
              <w:left w:w="0" w:type="dxa"/>
            </w:tcMar>
          </w:tcPr>
          <w:p w14:paraId="6CD0E823" w14:textId="77777777" w:rsidR="008365D6" w:rsidRPr="008365D6" w:rsidRDefault="008365D6" w:rsidP="008365D6">
            <w:pPr>
              <w:spacing w:before="40" w:after="120"/>
              <w:ind w:right="113"/>
              <w:rPr>
                <w:lang w:val="en-GB"/>
              </w:rPr>
            </w:pPr>
          </w:p>
        </w:tc>
        <w:tc>
          <w:tcPr>
            <w:tcW w:w="1228" w:type="dxa"/>
            <w:tcBorders>
              <w:top w:val="single" w:sz="12" w:space="0" w:color="auto"/>
            </w:tcBorders>
            <w:shd w:val="clear" w:color="auto" w:fill="auto"/>
            <w:tcMar>
              <w:left w:w="0" w:type="dxa"/>
            </w:tcMar>
          </w:tcPr>
          <w:p w14:paraId="25667BC1" w14:textId="77777777" w:rsidR="008365D6" w:rsidRPr="008365D6" w:rsidRDefault="008365D6" w:rsidP="008365D6">
            <w:pPr>
              <w:spacing w:before="40" w:after="120"/>
              <w:ind w:right="113"/>
              <w:rPr>
                <w:lang w:val="en-GB"/>
              </w:rPr>
            </w:pPr>
          </w:p>
        </w:tc>
        <w:tc>
          <w:tcPr>
            <w:tcW w:w="1229" w:type="dxa"/>
            <w:tcBorders>
              <w:top w:val="single" w:sz="12" w:space="0" w:color="auto"/>
            </w:tcBorders>
            <w:shd w:val="clear" w:color="auto" w:fill="auto"/>
            <w:tcMar>
              <w:left w:w="0" w:type="dxa"/>
            </w:tcMar>
          </w:tcPr>
          <w:p w14:paraId="67A66A76" w14:textId="77777777" w:rsidR="008365D6" w:rsidRPr="008365D6" w:rsidRDefault="008365D6" w:rsidP="008365D6">
            <w:pPr>
              <w:spacing w:before="40" w:after="120"/>
              <w:ind w:right="113"/>
              <w:rPr>
                <w:lang w:val="en-GB"/>
              </w:rPr>
            </w:pPr>
          </w:p>
        </w:tc>
      </w:tr>
      <w:tr w:rsidR="008365D6" w:rsidRPr="004B2F5D" w14:paraId="3AD4C92A" w14:textId="77777777" w:rsidTr="004B2F5D">
        <w:tc>
          <w:tcPr>
            <w:tcW w:w="1228" w:type="dxa"/>
            <w:shd w:val="clear" w:color="auto" w:fill="auto"/>
            <w:tcMar>
              <w:left w:w="0" w:type="dxa"/>
            </w:tcMar>
          </w:tcPr>
          <w:p w14:paraId="53689BC2" w14:textId="77777777" w:rsidR="008365D6" w:rsidRPr="004B2F5D" w:rsidRDefault="008365D6" w:rsidP="008365D6">
            <w:pPr>
              <w:spacing w:before="40" w:after="120"/>
              <w:ind w:right="113"/>
              <w:rPr>
                <w:iCs/>
                <w:sz w:val="18"/>
                <w:szCs w:val="18"/>
                <w:lang w:val="en-GB"/>
              </w:rPr>
            </w:pPr>
            <w:r w:rsidRPr="004B2F5D">
              <w:rPr>
                <w:sz w:val="18"/>
                <w:szCs w:val="18"/>
                <w:lang w:val="en-GB"/>
              </w:rPr>
              <w:t>…</w:t>
            </w:r>
          </w:p>
        </w:tc>
        <w:tc>
          <w:tcPr>
            <w:tcW w:w="1228" w:type="dxa"/>
            <w:shd w:val="clear" w:color="auto" w:fill="auto"/>
            <w:tcMar>
              <w:left w:w="0" w:type="dxa"/>
            </w:tcMar>
          </w:tcPr>
          <w:p w14:paraId="6F2C480D" w14:textId="77777777" w:rsidR="008365D6" w:rsidRPr="004B2F5D" w:rsidRDefault="008365D6" w:rsidP="008365D6">
            <w:pPr>
              <w:spacing w:before="40" w:after="120"/>
              <w:ind w:right="113"/>
              <w:rPr>
                <w:iCs/>
                <w:sz w:val="18"/>
                <w:szCs w:val="18"/>
                <w:lang w:val="en-GB"/>
              </w:rPr>
            </w:pPr>
            <w:r w:rsidRPr="004B2F5D">
              <w:rPr>
                <w:sz w:val="18"/>
                <w:szCs w:val="18"/>
                <w:lang w:val="en-GB"/>
              </w:rPr>
              <w:t>…</w:t>
            </w:r>
          </w:p>
        </w:tc>
        <w:tc>
          <w:tcPr>
            <w:tcW w:w="1229" w:type="dxa"/>
            <w:shd w:val="clear" w:color="auto" w:fill="auto"/>
            <w:tcMar>
              <w:left w:w="0" w:type="dxa"/>
            </w:tcMar>
          </w:tcPr>
          <w:p w14:paraId="10D50E1E" w14:textId="77777777" w:rsidR="008365D6" w:rsidRPr="004B2F5D" w:rsidRDefault="008365D6" w:rsidP="008365D6">
            <w:pPr>
              <w:spacing w:before="40" w:after="120"/>
              <w:ind w:right="113"/>
              <w:rPr>
                <w:iCs/>
                <w:sz w:val="18"/>
                <w:szCs w:val="18"/>
                <w:lang w:val="en-GB"/>
              </w:rPr>
            </w:pPr>
            <w:r w:rsidRPr="004B2F5D">
              <w:rPr>
                <w:sz w:val="18"/>
                <w:szCs w:val="18"/>
                <w:lang w:val="en-GB"/>
              </w:rPr>
              <w:t>…</w:t>
            </w:r>
          </w:p>
        </w:tc>
        <w:tc>
          <w:tcPr>
            <w:tcW w:w="1228" w:type="dxa"/>
            <w:shd w:val="clear" w:color="auto" w:fill="auto"/>
            <w:tcMar>
              <w:left w:w="0" w:type="dxa"/>
            </w:tcMar>
          </w:tcPr>
          <w:p w14:paraId="588B3DE2" w14:textId="77777777" w:rsidR="008365D6" w:rsidRPr="004B2F5D" w:rsidRDefault="008365D6" w:rsidP="008365D6">
            <w:pPr>
              <w:spacing w:before="40" w:after="120"/>
              <w:ind w:right="113"/>
              <w:rPr>
                <w:iCs/>
                <w:sz w:val="18"/>
                <w:szCs w:val="18"/>
                <w:lang w:val="en-GB"/>
              </w:rPr>
            </w:pPr>
            <w:r w:rsidRPr="004B2F5D">
              <w:rPr>
                <w:sz w:val="18"/>
                <w:szCs w:val="18"/>
                <w:lang w:val="en-GB"/>
              </w:rPr>
              <w:t>…</w:t>
            </w:r>
          </w:p>
        </w:tc>
        <w:tc>
          <w:tcPr>
            <w:tcW w:w="1228" w:type="dxa"/>
            <w:shd w:val="clear" w:color="auto" w:fill="auto"/>
            <w:tcMar>
              <w:left w:w="0" w:type="dxa"/>
            </w:tcMar>
          </w:tcPr>
          <w:p w14:paraId="70D1EEA6" w14:textId="77777777" w:rsidR="008365D6" w:rsidRPr="004B2F5D" w:rsidRDefault="008365D6" w:rsidP="008365D6">
            <w:pPr>
              <w:spacing w:before="40" w:after="120"/>
              <w:ind w:right="113"/>
              <w:rPr>
                <w:iCs/>
                <w:sz w:val="18"/>
                <w:szCs w:val="18"/>
                <w:lang w:val="en-GB"/>
              </w:rPr>
            </w:pPr>
            <w:r w:rsidRPr="004B2F5D">
              <w:rPr>
                <w:sz w:val="18"/>
                <w:szCs w:val="18"/>
                <w:lang w:val="en-GB"/>
              </w:rPr>
              <w:t>…</w:t>
            </w:r>
          </w:p>
        </w:tc>
        <w:tc>
          <w:tcPr>
            <w:tcW w:w="1229" w:type="dxa"/>
            <w:shd w:val="clear" w:color="auto" w:fill="auto"/>
            <w:tcMar>
              <w:left w:w="0" w:type="dxa"/>
            </w:tcMar>
          </w:tcPr>
          <w:p w14:paraId="40BD578E" w14:textId="77777777" w:rsidR="008365D6" w:rsidRPr="004B2F5D" w:rsidRDefault="008365D6" w:rsidP="008365D6">
            <w:pPr>
              <w:spacing w:before="40" w:after="120"/>
              <w:ind w:right="113"/>
              <w:rPr>
                <w:iCs/>
                <w:sz w:val="18"/>
                <w:szCs w:val="18"/>
                <w:lang w:val="en-GB"/>
              </w:rPr>
            </w:pPr>
            <w:r w:rsidRPr="004B2F5D">
              <w:rPr>
                <w:sz w:val="18"/>
                <w:szCs w:val="18"/>
                <w:lang w:val="en-GB"/>
              </w:rPr>
              <w:t>…</w:t>
            </w:r>
          </w:p>
        </w:tc>
      </w:tr>
      <w:tr w:rsidR="008365D6" w:rsidRPr="004B2F5D" w14:paraId="57721A46" w14:textId="77777777" w:rsidTr="004B2F5D">
        <w:tc>
          <w:tcPr>
            <w:tcW w:w="1228" w:type="dxa"/>
            <w:vMerge w:val="restart"/>
            <w:shd w:val="clear" w:color="auto" w:fill="auto"/>
            <w:tcMar>
              <w:left w:w="0" w:type="dxa"/>
            </w:tcMar>
          </w:tcPr>
          <w:p w14:paraId="10361D4A" w14:textId="77777777" w:rsidR="008365D6" w:rsidRPr="004B2F5D" w:rsidRDefault="008365D6" w:rsidP="008365D6">
            <w:pPr>
              <w:spacing w:before="40" w:after="120"/>
              <w:ind w:right="113"/>
              <w:rPr>
                <w:b/>
                <w:bCs/>
                <w:iCs/>
                <w:sz w:val="18"/>
                <w:szCs w:val="18"/>
                <w:lang w:val="en-GB"/>
              </w:rPr>
            </w:pPr>
            <w:r w:rsidRPr="004B2F5D">
              <w:rPr>
                <w:b/>
                <w:bCs/>
                <w:sz w:val="18"/>
                <w:szCs w:val="18"/>
                <w:lang w:val="en-GB"/>
              </w:rPr>
              <w:t>Pompe à chaleur</w:t>
            </w:r>
          </w:p>
        </w:tc>
        <w:tc>
          <w:tcPr>
            <w:tcW w:w="1228" w:type="dxa"/>
            <w:shd w:val="clear" w:color="auto" w:fill="auto"/>
            <w:tcMar>
              <w:left w:w="0" w:type="dxa"/>
            </w:tcMar>
          </w:tcPr>
          <w:p w14:paraId="070E48DF" w14:textId="77777777" w:rsidR="008365D6" w:rsidRPr="004B2F5D" w:rsidRDefault="008365D6" w:rsidP="008365D6">
            <w:pPr>
              <w:spacing w:before="40" w:after="120"/>
              <w:ind w:right="113"/>
              <w:rPr>
                <w:b/>
                <w:bCs/>
                <w:iCs/>
                <w:sz w:val="18"/>
                <w:szCs w:val="18"/>
                <w:lang w:val="en-GB"/>
              </w:rPr>
            </w:pPr>
            <w:r w:rsidRPr="004B2F5D">
              <w:rPr>
                <w:b/>
                <w:bCs/>
                <w:sz w:val="18"/>
                <w:szCs w:val="18"/>
                <w:lang w:val="en-GB"/>
              </w:rPr>
              <w:t>M</w:t>
            </w:r>
          </w:p>
        </w:tc>
        <w:tc>
          <w:tcPr>
            <w:tcW w:w="1229" w:type="dxa"/>
            <w:shd w:val="clear" w:color="auto" w:fill="auto"/>
            <w:tcMar>
              <w:left w:w="0" w:type="dxa"/>
            </w:tcMar>
          </w:tcPr>
          <w:p w14:paraId="4A0E5433" w14:textId="77777777" w:rsidR="008365D6" w:rsidRPr="004B2F5D" w:rsidRDefault="008365D6" w:rsidP="008365D6">
            <w:pPr>
              <w:spacing w:before="40" w:after="120"/>
              <w:ind w:right="113"/>
              <w:rPr>
                <w:b/>
                <w:bCs/>
                <w:iCs/>
                <w:sz w:val="18"/>
                <w:szCs w:val="18"/>
                <w:lang w:val="en-GB"/>
              </w:rPr>
            </w:pPr>
            <w:r w:rsidRPr="004B2F5D">
              <w:rPr>
                <w:b/>
                <w:bCs/>
                <w:sz w:val="18"/>
                <w:szCs w:val="18"/>
                <w:lang w:val="en-GB"/>
              </w:rPr>
              <w:t>Oui</w:t>
            </w:r>
          </w:p>
        </w:tc>
        <w:tc>
          <w:tcPr>
            <w:tcW w:w="1228" w:type="dxa"/>
            <w:shd w:val="clear" w:color="auto" w:fill="auto"/>
            <w:tcMar>
              <w:left w:w="0" w:type="dxa"/>
            </w:tcMar>
          </w:tcPr>
          <w:p w14:paraId="22C1036B" w14:textId="77777777" w:rsidR="008365D6" w:rsidRPr="004B2F5D" w:rsidRDefault="008365D6" w:rsidP="008365D6">
            <w:pPr>
              <w:spacing w:before="40" w:after="120"/>
              <w:ind w:right="113"/>
              <w:rPr>
                <w:b/>
                <w:bCs/>
                <w:sz w:val="18"/>
                <w:szCs w:val="18"/>
                <w:lang w:val="en-GB"/>
              </w:rPr>
            </w:pPr>
            <w:r w:rsidRPr="004B2F5D">
              <w:rPr>
                <w:b/>
                <w:bCs/>
                <w:sz w:val="18"/>
                <w:szCs w:val="18"/>
                <w:lang w:val="en-GB"/>
              </w:rPr>
              <w:t>Oui</w:t>
            </w:r>
          </w:p>
        </w:tc>
        <w:tc>
          <w:tcPr>
            <w:tcW w:w="1228" w:type="dxa"/>
            <w:shd w:val="clear" w:color="auto" w:fill="auto"/>
            <w:tcMar>
              <w:left w:w="0" w:type="dxa"/>
            </w:tcMar>
          </w:tcPr>
          <w:p w14:paraId="61ACE002" w14:textId="77777777" w:rsidR="008365D6" w:rsidRPr="004B2F5D" w:rsidRDefault="008365D6" w:rsidP="008365D6">
            <w:pPr>
              <w:spacing w:before="40" w:after="120"/>
              <w:ind w:right="113"/>
              <w:rPr>
                <w:iCs/>
                <w:sz w:val="18"/>
                <w:szCs w:val="18"/>
                <w:lang w:val="en-GB"/>
              </w:rPr>
            </w:pPr>
          </w:p>
        </w:tc>
        <w:tc>
          <w:tcPr>
            <w:tcW w:w="1229" w:type="dxa"/>
            <w:shd w:val="clear" w:color="auto" w:fill="auto"/>
            <w:tcMar>
              <w:left w:w="0" w:type="dxa"/>
            </w:tcMar>
          </w:tcPr>
          <w:p w14:paraId="401A9926" w14:textId="77777777" w:rsidR="008365D6" w:rsidRPr="004B2F5D" w:rsidRDefault="008365D6" w:rsidP="008365D6">
            <w:pPr>
              <w:spacing w:before="40" w:after="120"/>
              <w:ind w:right="113"/>
              <w:rPr>
                <w:iCs/>
                <w:sz w:val="18"/>
                <w:szCs w:val="18"/>
                <w:lang w:val="en-GB"/>
              </w:rPr>
            </w:pPr>
          </w:p>
        </w:tc>
      </w:tr>
      <w:tr w:rsidR="008365D6" w:rsidRPr="004B2F5D" w14:paraId="11AB5B7B" w14:textId="77777777" w:rsidTr="004B2F5D">
        <w:tc>
          <w:tcPr>
            <w:tcW w:w="1228" w:type="dxa"/>
            <w:vMerge/>
            <w:shd w:val="clear" w:color="auto" w:fill="auto"/>
            <w:tcMar>
              <w:left w:w="0" w:type="dxa"/>
            </w:tcMar>
          </w:tcPr>
          <w:p w14:paraId="4F66D69B" w14:textId="77777777" w:rsidR="008365D6" w:rsidRPr="004B2F5D" w:rsidRDefault="008365D6" w:rsidP="008365D6">
            <w:pPr>
              <w:spacing w:before="40" w:after="120"/>
              <w:ind w:right="113"/>
              <w:rPr>
                <w:b/>
                <w:bCs/>
                <w:iCs/>
                <w:sz w:val="18"/>
                <w:szCs w:val="18"/>
                <w:lang w:val="en-GB"/>
              </w:rPr>
            </w:pPr>
          </w:p>
        </w:tc>
        <w:tc>
          <w:tcPr>
            <w:tcW w:w="1228" w:type="dxa"/>
            <w:shd w:val="clear" w:color="auto" w:fill="auto"/>
            <w:tcMar>
              <w:left w:w="0" w:type="dxa"/>
            </w:tcMar>
          </w:tcPr>
          <w:p w14:paraId="3743D6B8" w14:textId="77777777" w:rsidR="008365D6" w:rsidRPr="004B2F5D" w:rsidRDefault="008365D6" w:rsidP="008365D6">
            <w:pPr>
              <w:spacing w:before="40" w:after="120"/>
              <w:ind w:right="113"/>
              <w:rPr>
                <w:b/>
                <w:bCs/>
                <w:iCs/>
                <w:sz w:val="18"/>
                <w:szCs w:val="18"/>
                <w:lang w:val="en-GB"/>
              </w:rPr>
            </w:pPr>
            <w:r w:rsidRPr="004B2F5D">
              <w:rPr>
                <w:b/>
                <w:bCs/>
                <w:sz w:val="18"/>
                <w:szCs w:val="18"/>
                <w:lang w:val="en-GB"/>
              </w:rPr>
              <w:t>N</w:t>
            </w:r>
          </w:p>
        </w:tc>
        <w:tc>
          <w:tcPr>
            <w:tcW w:w="1229" w:type="dxa"/>
            <w:shd w:val="clear" w:color="auto" w:fill="auto"/>
            <w:tcMar>
              <w:left w:w="0" w:type="dxa"/>
            </w:tcMar>
          </w:tcPr>
          <w:p w14:paraId="40912597" w14:textId="77777777" w:rsidR="008365D6" w:rsidRPr="004B2F5D" w:rsidRDefault="008365D6" w:rsidP="008365D6">
            <w:pPr>
              <w:spacing w:before="40" w:after="120"/>
              <w:ind w:right="113"/>
              <w:rPr>
                <w:b/>
                <w:bCs/>
                <w:sz w:val="18"/>
                <w:szCs w:val="18"/>
                <w:lang w:val="en-GB"/>
              </w:rPr>
            </w:pPr>
            <w:r w:rsidRPr="004B2F5D">
              <w:rPr>
                <w:b/>
                <w:bCs/>
                <w:sz w:val="18"/>
                <w:szCs w:val="18"/>
                <w:lang w:val="en-GB"/>
              </w:rPr>
              <w:t>Oui</w:t>
            </w:r>
          </w:p>
        </w:tc>
        <w:tc>
          <w:tcPr>
            <w:tcW w:w="1228" w:type="dxa"/>
            <w:shd w:val="clear" w:color="auto" w:fill="auto"/>
            <w:tcMar>
              <w:left w:w="0" w:type="dxa"/>
            </w:tcMar>
          </w:tcPr>
          <w:p w14:paraId="1B5BD60B" w14:textId="77777777" w:rsidR="008365D6" w:rsidRPr="004B2F5D" w:rsidRDefault="008365D6" w:rsidP="008365D6">
            <w:pPr>
              <w:spacing w:before="40" w:after="120"/>
              <w:ind w:right="113"/>
              <w:rPr>
                <w:b/>
                <w:bCs/>
                <w:sz w:val="18"/>
                <w:szCs w:val="18"/>
                <w:lang w:val="en-GB"/>
              </w:rPr>
            </w:pPr>
            <w:r w:rsidRPr="004B2F5D">
              <w:rPr>
                <w:b/>
                <w:bCs/>
                <w:sz w:val="18"/>
                <w:szCs w:val="18"/>
                <w:lang w:val="en-GB"/>
              </w:rPr>
              <w:t>Oui</w:t>
            </w:r>
          </w:p>
        </w:tc>
        <w:tc>
          <w:tcPr>
            <w:tcW w:w="1228" w:type="dxa"/>
            <w:shd w:val="clear" w:color="auto" w:fill="auto"/>
            <w:tcMar>
              <w:left w:w="0" w:type="dxa"/>
            </w:tcMar>
          </w:tcPr>
          <w:p w14:paraId="2D2F22B6" w14:textId="77777777" w:rsidR="008365D6" w:rsidRPr="004B2F5D" w:rsidRDefault="008365D6" w:rsidP="008365D6">
            <w:pPr>
              <w:spacing w:before="40" w:after="120"/>
              <w:ind w:right="113"/>
              <w:rPr>
                <w:iCs/>
                <w:sz w:val="18"/>
                <w:szCs w:val="18"/>
                <w:lang w:val="en-GB"/>
              </w:rPr>
            </w:pPr>
          </w:p>
        </w:tc>
        <w:tc>
          <w:tcPr>
            <w:tcW w:w="1229" w:type="dxa"/>
            <w:shd w:val="clear" w:color="auto" w:fill="auto"/>
            <w:tcMar>
              <w:left w:w="0" w:type="dxa"/>
            </w:tcMar>
          </w:tcPr>
          <w:p w14:paraId="04537B3C" w14:textId="77777777" w:rsidR="008365D6" w:rsidRPr="004B2F5D" w:rsidRDefault="008365D6" w:rsidP="008365D6">
            <w:pPr>
              <w:spacing w:before="40" w:after="120"/>
              <w:ind w:right="113"/>
              <w:rPr>
                <w:iCs/>
                <w:sz w:val="18"/>
                <w:szCs w:val="18"/>
                <w:lang w:val="en-GB"/>
              </w:rPr>
            </w:pPr>
          </w:p>
        </w:tc>
      </w:tr>
      <w:tr w:rsidR="008365D6" w:rsidRPr="004B2F5D" w14:paraId="4B6A4970" w14:textId="77777777" w:rsidTr="004B2F5D">
        <w:tc>
          <w:tcPr>
            <w:tcW w:w="1228" w:type="dxa"/>
            <w:vMerge/>
            <w:tcBorders>
              <w:bottom w:val="single" w:sz="12" w:space="0" w:color="auto"/>
            </w:tcBorders>
            <w:shd w:val="clear" w:color="auto" w:fill="auto"/>
            <w:tcMar>
              <w:left w:w="0" w:type="dxa"/>
            </w:tcMar>
          </w:tcPr>
          <w:p w14:paraId="75E13760" w14:textId="77777777" w:rsidR="008365D6" w:rsidRPr="004B2F5D" w:rsidRDefault="008365D6" w:rsidP="008365D6">
            <w:pPr>
              <w:spacing w:before="40" w:after="120"/>
              <w:ind w:right="113"/>
              <w:rPr>
                <w:b/>
                <w:bCs/>
                <w:iCs/>
                <w:sz w:val="18"/>
                <w:szCs w:val="18"/>
                <w:lang w:val="en-GB"/>
              </w:rPr>
            </w:pPr>
          </w:p>
        </w:tc>
        <w:tc>
          <w:tcPr>
            <w:tcW w:w="1228" w:type="dxa"/>
            <w:tcBorders>
              <w:bottom w:val="single" w:sz="12" w:space="0" w:color="auto"/>
            </w:tcBorders>
            <w:shd w:val="clear" w:color="auto" w:fill="auto"/>
            <w:tcMar>
              <w:left w:w="0" w:type="dxa"/>
            </w:tcMar>
          </w:tcPr>
          <w:p w14:paraId="5C1658D5" w14:textId="77777777" w:rsidR="008365D6" w:rsidRPr="004B2F5D" w:rsidRDefault="008365D6" w:rsidP="008365D6">
            <w:pPr>
              <w:spacing w:before="40" w:after="120"/>
              <w:ind w:right="113"/>
              <w:rPr>
                <w:b/>
                <w:bCs/>
                <w:iCs/>
                <w:sz w:val="18"/>
                <w:szCs w:val="18"/>
                <w:lang w:val="en-GB"/>
              </w:rPr>
            </w:pPr>
            <w:r w:rsidRPr="004B2F5D">
              <w:rPr>
                <w:b/>
                <w:bCs/>
                <w:sz w:val="18"/>
                <w:szCs w:val="18"/>
                <w:lang w:val="en-GB"/>
              </w:rPr>
              <w:t>O</w:t>
            </w:r>
          </w:p>
        </w:tc>
        <w:tc>
          <w:tcPr>
            <w:tcW w:w="1229" w:type="dxa"/>
            <w:tcBorders>
              <w:bottom w:val="single" w:sz="12" w:space="0" w:color="auto"/>
            </w:tcBorders>
            <w:shd w:val="clear" w:color="auto" w:fill="auto"/>
            <w:tcMar>
              <w:left w:w="0" w:type="dxa"/>
            </w:tcMar>
          </w:tcPr>
          <w:p w14:paraId="605AC010" w14:textId="77777777" w:rsidR="008365D6" w:rsidRPr="004B2F5D" w:rsidRDefault="008365D6" w:rsidP="008365D6">
            <w:pPr>
              <w:spacing w:before="40" w:after="120"/>
              <w:ind w:right="113"/>
              <w:rPr>
                <w:b/>
                <w:bCs/>
                <w:sz w:val="18"/>
                <w:szCs w:val="18"/>
                <w:lang w:val="en-GB"/>
              </w:rPr>
            </w:pPr>
            <w:r w:rsidRPr="004B2F5D">
              <w:rPr>
                <w:b/>
                <w:bCs/>
                <w:sz w:val="18"/>
                <w:szCs w:val="18"/>
                <w:lang w:val="en-GB"/>
              </w:rPr>
              <w:t>Oui</w:t>
            </w:r>
          </w:p>
        </w:tc>
        <w:tc>
          <w:tcPr>
            <w:tcW w:w="1228" w:type="dxa"/>
            <w:tcBorders>
              <w:bottom w:val="single" w:sz="12" w:space="0" w:color="auto"/>
            </w:tcBorders>
            <w:shd w:val="clear" w:color="auto" w:fill="auto"/>
            <w:tcMar>
              <w:left w:w="0" w:type="dxa"/>
            </w:tcMar>
          </w:tcPr>
          <w:p w14:paraId="14871A1B" w14:textId="77777777" w:rsidR="008365D6" w:rsidRPr="004B2F5D" w:rsidRDefault="008365D6" w:rsidP="008365D6">
            <w:pPr>
              <w:spacing w:before="40" w:after="120"/>
              <w:ind w:right="113"/>
              <w:rPr>
                <w:b/>
                <w:bCs/>
                <w:sz w:val="18"/>
                <w:szCs w:val="18"/>
                <w:lang w:val="en-GB"/>
              </w:rPr>
            </w:pPr>
            <w:r w:rsidRPr="004B2F5D">
              <w:rPr>
                <w:b/>
                <w:bCs/>
                <w:sz w:val="18"/>
                <w:szCs w:val="18"/>
                <w:lang w:val="en-GB"/>
              </w:rPr>
              <w:t>Oui</w:t>
            </w:r>
          </w:p>
        </w:tc>
        <w:tc>
          <w:tcPr>
            <w:tcW w:w="1228" w:type="dxa"/>
            <w:tcBorders>
              <w:bottom w:val="single" w:sz="12" w:space="0" w:color="auto"/>
            </w:tcBorders>
            <w:shd w:val="clear" w:color="auto" w:fill="auto"/>
            <w:tcMar>
              <w:left w:w="0" w:type="dxa"/>
            </w:tcMar>
          </w:tcPr>
          <w:p w14:paraId="1E012DB1" w14:textId="77777777" w:rsidR="008365D6" w:rsidRPr="004B2F5D" w:rsidRDefault="008365D6" w:rsidP="008365D6">
            <w:pPr>
              <w:spacing w:before="40" w:after="120"/>
              <w:ind w:right="113"/>
              <w:rPr>
                <w:iCs/>
                <w:sz w:val="18"/>
                <w:szCs w:val="18"/>
                <w:lang w:val="en-GB"/>
              </w:rPr>
            </w:pPr>
          </w:p>
        </w:tc>
        <w:tc>
          <w:tcPr>
            <w:tcW w:w="1229" w:type="dxa"/>
            <w:tcBorders>
              <w:bottom w:val="single" w:sz="12" w:space="0" w:color="auto"/>
            </w:tcBorders>
            <w:shd w:val="clear" w:color="auto" w:fill="auto"/>
            <w:tcMar>
              <w:left w:w="0" w:type="dxa"/>
            </w:tcMar>
          </w:tcPr>
          <w:p w14:paraId="2E429567" w14:textId="77777777" w:rsidR="008365D6" w:rsidRPr="004B2F5D" w:rsidRDefault="008365D6" w:rsidP="008365D6">
            <w:pPr>
              <w:spacing w:before="40" w:after="120"/>
              <w:ind w:right="113"/>
              <w:rPr>
                <w:iCs/>
                <w:sz w:val="18"/>
                <w:szCs w:val="18"/>
                <w:lang w:val="en-GB"/>
              </w:rPr>
            </w:pPr>
          </w:p>
        </w:tc>
      </w:tr>
    </w:tbl>
    <w:p w14:paraId="4790304B" w14:textId="77777777" w:rsidR="008365D6" w:rsidRPr="008365D6" w:rsidRDefault="008365D6" w:rsidP="004B2F5D">
      <w:pPr>
        <w:pStyle w:val="SingleTxtG"/>
        <w:spacing w:before="240"/>
        <w:jc w:val="right"/>
      </w:pPr>
      <w:r w:rsidRPr="008365D6">
        <w:t> ».</w:t>
      </w:r>
    </w:p>
    <w:p w14:paraId="01998896" w14:textId="77777777" w:rsidR="008365D6" w:rsidRPr="008365D6" w:rsidRDefault="008365D6" w:rsidP="004B2F5D">
      <w:pPr>
        <w:pStyle w:val="SingleTxtG"/>
        <w:keepNext/>
        <w:keepLines/>
      </w:pPr>
      <w:r w:rsidRPr="008365D6">
        <w:rPr>
          <w:i/>
        </w:rPr>
        <w:t>Ajouter les nouveaux paragraphes 12 et 12.1</w:t>
      </w:r>
      <w:r w:rsidRPr="004B2F5D">
        <w:t xml:space="preserve">, </w:t>
      </w:r>
      <w:r w:rsidRPr="008365D6">
        <w:t>libellés comme suit :</w:t>
      </w:r>
    </w:p>
    <w:p w14:paraId="7A19A613" w14:textId="77777777" w:rsidR="008365D6" w:rsidRPr="008365D6" w:rsidRDefault="008365D6" w:rsidP="004B2F5D">
      <w:pPr>
        <w:pStyle w:val="SingleTxtG"/>
        <w:keepNext/>
        <w:keepLines/>
        <w:rPr>
          <w:b/>
        </w:rPr>
      </w:pPr>
      <w:r w:rsidRPr="008365D6">
        <w:t>«</w:t>
      </w:r>
      <w:r w:rsidRPr="008365D6">
        <w:rPr>
          <w:b/>
        </w:rPr>
        <w:t> 12.</w:t>
      </w:r>
      <w:r w:rsidRPr="008365D6">
        <w:rPr>
          <w:b/>
        </w:rPr>
        <w:tab/>
      </w:r>
      <w:r w:rsidR="004B2F5D">
        <w:rPr>
          <w:b/>
        </w:rPr>
        <w:tab/>
      </w:r>
      <w:r w:rsidRPr="008365D6">
        <w:rPr>
          <w:b/>
          <w:bCs/>
        </w:rPr>
        <w:t>DISPOSITIONS TRANSITOIRES</w:t>
      </w:r>
    </w:p>
    <w:p w14:paraId="450520F6" w14:textId="77777777" w:rsidR="008365D6" w:rsidRPr="008365D6" w:rsidRDefault="008365D6" w:rsidP="004B2F5D">
      <w:pPr>
        <w:pStyle w:val="SingleTxtG"/>
        <w:ind w:left="2268" w:hanging="1134"/>
      </w:pPr>
      <w:r w:rsidRPr="008365D6">
        <w:rPr>
          <w:b/>
        </w:rPr>
        <w:t>12.1</w:t>
      </w:r>
      <w:r w:rsidRPr="008365D6">
        <w:rPr>
          <w:b/>
        </w:rPr>
        <w:tab/>
      </w:r>
      <w:r w:rsidR="004B2F5D">
        <w:rPr>
          <w:b/>
        </w:rPr>
        <w:tab/>
      </w:r>
      <w:r w:rsidRPr="008365D6">
        <w:rPr>
          <w:b/>
        </w:rPr>
        <w:t>Jusqu’au 31</w:t>
      </w:r>
      <w:r w:rsidR="004B2F5D">
        <w:rPr>
          <w:b/>
        </w:rPr>
        <w:t> </w:t>
      </w:r>
      <w:r w:rsidRPr="008365D6">
        <w:rPr>
          <w:b/>
        </w:rPr>
        <w:t>décembre 2019, le complément</w:t>
      </w:r>
      <w:r w:rsidR="004B2F5D">
        <w:rPr>
          <w:b/>
        </w:rPr>
        <w:t> </w:t>
      </w:r>
      <w:r w:rsidRPr="008365D6">
        <w:rPr>
          <w:b/>
        </w:rPr>
        <w:t>5 au présent Règlement ne s’applique pas aux extensions d’homologation qui ont été initialement accordées avant l’entrée en vigueur dudit complément 5.</w:t>
      </w:r>
      <w:r w:rsidRPr="008365D6">
        <w:t> »</w:t>
      </w:r>
    </w:p>
    <w:p w14:paraId="70CE5EB2" w14:textId="77777777" w:rsidR="008365D6" w:rsidRPr="008365D6" w:rsidRDefault="008365D6" w:rsidP="004B2F5D">
      <w:pPr>
        <w:pStyle w:val="HChG"/>
      </w:pPr>
      <w:r w:rsidRPr="008365D6">
        <w:br w:type="page"/>
      </w:r>
      <w:r w:rsidRPr="008365D6">
        <w:lastRenderedPageBreak/>
        <w:t>Annexe</w:t>
      </w:r>
      <w:r w:rsidR="004B2F5D">
        <w:t> </w:t>
      </w:r>
      <w:r w:rsidRPr="008365D6">
        <w:t>V</w:t>
      </w:r>
    </w:p>
    <w:p w14:paraId="3813D0FE" w14:textId="77777777" w:rsidR="008365D6" w:rsidRPr="008365D6" w:rsidRDefault="008365D6" w:rsidP="004B2F5D">
      <w:pPr>
        <w:pStyle w:val="HChG"/>
      </w:pPr>
      <w:r w:rsidRPr="008365D6">
        <w:tab/>
      </w:r>
      <w:r w:rsidRPr="008365D6">
        <w:tab/>
        <w:t>Rectificatif</w:t>
      </w:r>
      <w:r w:rsidR="004B2F5D">
        <w:t> </w:t>
      </w:r>
      <w:r w:rsidRPr="008365D6">
        <w:t>1 à la Révision</w:t>
      </w:r>
      <w:r w:rsidR="004B2F5D">
        <w:t> </w:t>
      </w:r>
      <w:r w:rsidRPr="008365D6">
        <w:t>3 du Règlement ONU n</w:t>
      </w:r>
      <w:r w:rsidRPr="008365D6">
        <w:rPr>
          <w:vertAlign w:val="superscript"/>
        </w:rPr>
        <w:t>o</w:t>
      </w:r>
      <w:r w:rsidR="004B2F5D">
        <w:t> </w:t>
      </w:r>
      <w:r w:rsidRPr="008365D6">
        <w:t>58 (Protection contre l’encastrement à l’arrière) (par.</w:t>
      </w:r>
      <w:r w:rsidR="004B2F5D">
        <w:t> </w:t>
      </w:r>
      <w:r w:rsidRPr="008365D6">
        <w:t>64)</w:t>
      </w:r>
    </w:p>
    <w:p w14:paraId="6B4583B3" w14:textId="77777777" w:rsidR="008365D6" w:rsidRPr="008365D6" w:rsidRDefault="008365D6" w:rsidP="004B2F5D">
      <w:pPr>
        <w:pStyle w:val="SingleTxtG"/>
        <w:keepNext/>
        <w:keepLines/>
        <w:rPr>
          <w:i/>
        </w:rPr>
      </w:pPr>
      <w:r w:rsidRPr="008365D6">
        <w:rPr>
          <w:i/>
        </w:rPr>
        <w:t>Annexe</w:t>
      </w:r>
      <w:r w:rsidR="004B2F5D">
        <w:rPr>
          <w:i/>
        </w:rPr>
        <w:t> </w:t>
      </w:r>
      <w:r w:rsidRPr="008365D6">
        <w:rPr>
          <w:i/>
        </w:rPr>
        <w:t>1 (Fiche de communication)</w:t>
      </w:r>
    </w:p>
    <w:p w14:paraId="64DA6BA7" w14:textId="77777777" w:rsidR="008365D6" w:rsidRPr="008365D6" w:rsidRDefault="008365D6" w:rsidP="004B2F5D">
      <w:pPr>
        <w:pStyle w:val="SingleTxtG"/>
        <w:keepNext/>
        <w:keepLines/>
        <w:rPr>
          <w:i/>
        </w:rPr>
      </w:pPr>
      <w:r w:rsidRPr="008365D6">
        <w:rPr>
          <w:i/>
        </w:rPr>
        <w:t>Points</w:t>
      </w:r>
      <w:r w:rsidR="004B2F5D">
        <w:rPr>
          <w:i/>
        </w:rPr>
        <w:t> </w:t>
      </w:r>
      <w:r w:rsidRPr="008365D6">
        <w:rPr>
          <w:i/>
        </w:rPr>
        <w:t>1 et 2</w:t>
      </w:r>
      <w:r w:rsidRPr="008365D6">
        <w:t>, modifier comme suit :</w:t>
      </w:r>
    </w:p>
    <w:p w14:paraId="2A60C8CD" w14:textId="77777777" w:rsidR="008365D6" w:rsidRPr="008365D6" w:rsidRDefault="008365D6" w:rsidP="008365D6">
      <w:pPr>
        <w:pStyle w:val="SingleTxtG"/>
      </w:pPr>
      <w:r w:rsidRPr="008365D6">
        <w:rPr>
          <w:i/>
        </w:rPr>
        <w:t>« </w:t>
      </w:r>
      <w:r w:rsidRPr="008365D6">
        <w:t>1.</w:t>
      </w:r>
      <w:r w:rsidRPr="008365D6">
        <w:tab/>
      </w:r>
      <w:r w:rsidR="004B2F5D">
        <w:tab/>
      </w:r>
      <w:r w:rsidRPr="008365D6">
        <w:t xml:space="preserve">Nom et marque commerciale du </w:t>
      </w:r>
      <w:bookmarkStart w:id="19" w:name="_Hlk534135368"/>
      <w:r w:rsidRPr="008365D6">
        <w:rPr>
          <w:b/>
        </w:rPr>
        <w:t>dispositif</w:t>
      </w:r>
      <w:bookmarkEnd w:id="19"/>
    </w:p>
    <w:p w14:paraId="5E041FDC" w14:textId="77777777" w:rsidR="008365D6" w:rsidRPr="008365D6" w:rsidRDefault="008365D6" w:rsidP="008365D6">
      <w:pPr>
        <w:pStyle w:val="SingleTxtG"/>
      </w:pPr>
      <w:r w:rsidRPr="008365D6">
        <w:t>2.</w:t>
      </w:r>
      <w:r w:rsidRPr="008365D6">
        <w:tab/>
      </w:r>
      <w:r w:rsidR="004B2F5D">
        <w:tab/>
      </w:r>
      <w:r w:rsidRPr="008365D6">
        <w:t xml:space="preserve">Type de </w:t>
      </w:r>
      <w:r w:rsidRPr="008365D6">
        <w:rPr>
          <w:b/>
        </w:rPr>
        <w:t>dispositif</w:t>
      </w:r>
      <w:r w:rsidR="004B2F5D">
        <w:rPr>
          <w:b/>
        </w:rPr>
        <w:t>.</w:t>
      </w:r>
      <w:r w:rsidRPr="008365D6">
        <w:t> »</w:t>
      </w:r>
    </w:p>
    <w:p w14:paraId="5F472E63" w14:textId="77777777" w:rsidR="008365D6" w:rsidRPr="008365D6" w:rsidRDefault="008365D6" w:rsidP="004B2F5D">
      <w:pPr>
        <w:pStyle w:val="SingleTxtG"/>
        <w:ind w:left="2268" w:hanging="1134"/>
        <w:rPr>
          <w:i/>
        </w:rPr>
      </w:pPr>
      <w:r w:rsidRPr="008365D6">
        <w:rPr>
          <w:i/>
        </w:rPr>
        <w:t>Point</w:t>
      </w:r>
      <w:r w:rsidR="004B2F5D">
        <w:rPr>
          <w:i/>
        </w:rPr>
        <w:t> </w:t>
      </w:r>
      <w:r w:rsidRPr="008365D6">
        <w:rPr>
          <w:i/>
        </w:rPr>
        <w:t>6</w:t>
      </w:r>
      <w:r w:rsidRPr="004B2F5D">
        <w:t>,</w:t>
      </w:r>
      <w:r w:rsidRPr="008365D6">
        <w:rPr>
          <w:i/>
        </w:rPr>
        <w:t xml:space="preserve"> </w:t>
      </w:r>
      <w:r w:rsidRPr="008365D6">
        <w:t>corriger comme suit (version française seulement) :</w:t>
      </w:r>
    </w:p>
    <w:p w14:paraId="48CB6248" w14:textId="77777777" w:rsidR="008365D6" w:rsidRPr="008365D6" w:rsidRDefault="008365D6" w:rsidP="004B2F5D">
      <w:pPr>
        <w:pStyle w:val="SingleTxtG"/>
        <w:ind w:left="2268" w:hanging="1134"/>
      </w:pPr>
      <w:r w:rsidRPr="008365D6">
        <w:rPr>
          <w:i/>
        </w:rPr>
        <w:t>« </w:t>
      </w:r>
      <w:r w:rsidRPr="008365D6">
        <w:t>6.</w:t>
      </w:r>
      <w:r w:rsidRPr="008365D6">
        <w:tab/>
      </w:r>
      <w:r w:rsidR="004B2F5D">
        <w:tab/>
      </w:r>
      <w:r w:rsidRPr="008365D6">
        <w:t>Essai effectué sur un véhicule/sur des parties représentatives du châssis d’un véhicule</w:t>
      </w:r>
      <w:r w:rsidRPr="008365D6">
        <w:rPr>
          <w:vertAlign w:val="superscript"/>
        </w:rPr>
        <w:t>2</w:t>
      </w:r>
      <w:r w:rsidR="004B2F5D">
        <w:t>.</w:t>
      </w:r>
      <w:r w:rsidRPr="008365D6">
        <w:t> »</w:t>
      </w:r>
    </w:p>
    <w:p w14:paraId="3D864796" w14:textId="77777777" w:rsidR="008365D6" w:rsidRPr="008365D6" w:rsidRDefault="008365D6" w:rsidP="004B2F5D">
      <w:pPr>
        <w:pStyle w:val="SingleTxtG"/>
        <w:keepNext/>
        <w:keepLines/>
        <w:rPr>
          <w:i/>
        </w:rPr>
      </w:pPr>
      <w:r w:rsidRPr="008365D6">
        <w:rPr>
          <w:i/>
        </w:rPr>
        <w:t>Annexe</w:t>
      </w:r>
      <w:r w:rsidR="004B2F5D">
        <w:rPr>
          <w:i/>
        </w:rPr>
        <w:t> </w:t>
      </w:r>
      <w:r w:rsidRPr="008365D6">
        <w:rPr>
          <w:i/>
        </w:rPr>
        <w:t>4 (Exemples de marques d’homologation), modèle B</w:t>
      </w:r>
      <w:r w:rsidRPr="008365D6">
        <w:t>, modifier le texte comme suit :</w:t>
      </w:r>
    </w:p>
    <w:p w14:paraId="637520C1" w14:textId="77777777" w:rsidR="008365D6" w:rsidRPr="008365D6" w:rsidRDefault="008365D6" w:rsidP="008365D6">
      <w:pPr>
        <w:pStyle w:val="SingleTxtG"/>
      </w:pPr>
      <w:r w:rsidRPr="008365D6">
        <w:rPr>
          <w:i/>
        </w:rPr>
        <w:t>« </w:t>
      </w:r>
      <w:r w:rsidRPr="008365D6">
        <w:t xml:space="preserve">La marque d’homologation ci-dessus … et que le Règlement ONU </w:t>
      </w:r>
      <w:r w:rsidR="004B2F5D" w:rsidRPr="002D76F4">
        <w:rPr>
          <w:rFonts w:eastAsia="MS Mincho"/>
          <w:szCs w:val="22"/>
        </w:rPr>
        <w:t>n</w:t>
      </w:r>
      <w:r w:rsidR="004B2F5D" w:rsidRPr="002D76F4">
        <w:rPr>
          <w:rFonts w:eastAsia="MS Mincho"/>
          <w:szCs w:val="22"/>
          <w:vertAlign w:val="superscript"/>
        </w:rPr>
        <w:t>o</w:t>
      </w:r>
      <w:r w:rsidR="004B2F5D">
        <w:t> </w:t>
      </w:r>
      <w:r w:rsidRPr="008365D6">
        <w:t xml:space="preserve">31 </w:t>
      </w:r>
      <w:r w:rsidRPr="008365D6">
        <w:rPr>
          <w:b/>
        </w:rPr>
        <w:t>comprenait également la série</w:t>
      </w:r>
      <w:r w:rsidR="004B2F5D">
        <w:rPr>
          <w:b/>
        </w:rPr>
        <w:t> </w:t>
      </w:r>
      <w:r w:rsidRPr="008365D6">
        <w:rPr>
          <w:b/>
        </w:rPr>
        <w:t>03 d’amendements</w:t>
      </w:r>
      <w:r w:rsidRPr="008365D6">
        <w:t>. »</w:t>
      </w:r>
    </w:p>
    <w:p w14:paraId="1F766F19" w14:textId="77777777" w:rsidR="008365D6" w:rsidRPr="008365D6" w:rsidRDefault="008365D6" w:rsidP="008365D6">
      <w:pPr>
        <w:pStyle w:val="HChG"/>
      </w:pPr>
      <w:r w:rsidRPr="008365D6">
        <w:br w:type="page"/>
      </w:r>
      <w:r w:rsidRPr="008365D6">
        <w:lastRenderedPageBreak/>
        <w:t>Annexe</w:t>
      </w:r>
      <w:r>
        <w:t> </w:t>
      </w:r>
      <w:r w:rsidRPr="008365D6">
        <w:t>VI</w:t>
      </w:r>
    </w:p>
    <w:p w14:paraId="1D90C38A" w14:textId="77777777" w:rsidR="008365D6" w:rsidRPr="008365D6" w:rsidRDefault="008365D6" w:rsidP="008365D6">
      <w:pPr>
        <w:pStyle w:val="H1G"/>
      </w:pPr>
      <w:r w:rsidRPr="008365D6">
        <w:tab/>
      </w:r>
      <w:r w:rsidRPr="008365D6">
        <w:tab/>
        <w:t>Groupes informels relevant du GRSG</w:t>
      </w:r>
    </w:p>
    <w:tbl>
      <w:tblPr>
        <w:tblW w:w="8504" w:type="dxa"/>
        <w:tblInd w:w="1134" w:type="dxa"/>
        <w:tblLayout w:type="fixed"/>
        <w:tblCellMar>
          <w:left w:w="0" w:type="dxa"/>
          <w:right w:w="0" w:type="dxa"/>
        </w:tblCellMar>
        <w:tblLook w:val="01E0" w:firstRow="1" w:lastRow="1" w:firstColumn="1" w:lastColumn="1" w:noHBand="0" w:noVBand="0"/>
      </w:tblPr>
      <w:tblGrid>
        <w:gridCol w:w="2268"/>
        <w:gridCol w:w="3118"/>
        <w:gridCol w:w="3118"/>
      </w:tblGrid>
      <w:tr w:rsidR="008365D6" w:rsidRPr="008365D6" w14:paraId="316B6A8F" w14:textId="77777777" w:rsidTr="004B2F5D">
        <w:trPr>
          <w:tblHeader/>
        </w:trPr>
        <w:tc>
          <w:tcPr>
            <w:tcW w:w="2268" w:type="dxa"/>
            <w:tcBorders>
              <w:top w:val="single" w:sz="4" w:space="0" w:color="auto"/>
              <w:bottom w:val="single" w:sz="12" w:space="0" w:color="auto"/>
            </w:tcBorders>
            <w:shd w:val="clear" w:color="auto" w:fill="auto"/>
            <w:vAlign w:val="bottom"/>
          </w:tcPr>
          <w:p w14:paraId="55AA341D" w14:textId="77777777" w:rsidR="008365D6" w:rsidRPr="008365D6" w:rsidRDefault="008365D6" w:rsidP="008365D6">
            <w:pPr>
              <w:spacing w:before="80" w:after="80" w:line="200" w:lineRule="exact"/>
              <w:ind w:right="113"/>
              <w:rPr>
                <w:i/>
                <w:sz w:val="16"/>
              </w:rPr>
            </w:pPr>
            <w:r w:rsidRPr="008365D6">
              <w:rPr>
                <w:i/>
                <w:sz w:val="16"/>
              </w:rPr>
              <w:t>Groupe informel</w:t>
            </w:r>
          </w:p>
        </w:tc>
        <w:tc>
          <w:tcPr>
            <w:tcW w:w="3118" w:type="dxa"/>
            <w:tcBorders>
              <w:top w:val="single" w:sz="4" w:space="0" w:color="auto"/>
              <w:bottom w:val="single" w:sz="12" w:space="0" w:color="auto"/>
            </w:tcBorders>
            <w:shd w:val="clear" w:color="auto" w:fill="auto"/>
            <w:tcMar>
              <w:left w:w="113" w:type="dxa"/>
            </w:tcMar>
            <w:vAlign w:val="bottom"/>
          </w:tcPr>
          <w:p w14:paraId="7D9E121A" w14:textId="77777777" w:rsidR="008365D6" w:rsidRPr="008365D6" w:rsidRDefault="008365D6" w:rsidP="008365D6">
            <w:pPr>
              <w:spacing w:before="80" w:after="80" w:line="200" w:lineRule="exact"/>
              <w:ind w:right="113"/>
              <w:rPr>
                <w:i/>
                <w:sz w:val="16"/>
              </w:rPr>
            </w:pPr>
            <w:r w:rsidRPr="008365D6">
              <w:rPr>
                <w:i/>
                <w:sz w:val="16"/>
              </w:rPr>
              <w:t>Président</w:t>
            </w:r>
          </w:p>
        </w:tc>
        <w:tc>
          <w:tcPr>
            <w:tcW w:w="3118" w:type="dxa"/>
            <w:tcBorders>
              <w:top w:val="single" w:sz="4" w:space="0" w:color="auto"/>
              <w:bottom w:val="single" w:sz="12" w:space="0" w:color="auto"/>
            </w:tcBorders>
            <w:shd w:val="clear" w:color="auto" w:fill="auto"/>
            <w:tcMar>
              <w:left w:w="113" w:type="dxa"/>
            </w:tcMar>
            <w:vAlign w:val="bottom"/>
          </w:tcPr>
          <w:p w14:paraId="342959EB" w14:textId="77777777" w:rsidR="008365D6" w:rsidRPr="008365D6" w:rsidRDefault="008365D6" w:rsidP="008365D6">
            <w:pPr>
              <w:spacing w:before="80" w:after="80" w:line="200" w:lineRule="exact"/>
              <w:ind w:right="113"/>
              <w:rPr>
                <w:i/>
                <w:sz w:val="16"/>
              </w:rPr>
            </w:pPr>
            <w:r w:rsidRPr="008365D6">
              <w:rPr>
                <w:i/>
                <w:sz w:val="16"/>
              </w:rPr>
              <w:t>Secrétaire</w:t>
            </w:r>
          </w:p>
        </w:tc>
      </w:tr>
      <w:tr w:rsidR="008365D6" w:rsidRPr="008365D6" w14:paraId="215351A7" w14:textId="77777777" w:rsidTr="004B2F5D">
        <w:trPr>
          <w:trHeight w:hRule="exact" w:val="113"/>
        </w:trPr>
        <w:tc>
          <w:tcPr>
            <w:tcW w:w="2268" w:type="dxa"/>
            <w:tcBorders>
              <w:top w:val="single" w:sz="12" w:space="0" w:color="auto"/>
            </w:tcBorders>
            <w:shd w:val="clear" w:color="auto" w:fill="auto"/>
          </w:tcPr>
          <w:p w14:paraId="00E3AFCB" w14:textId="77777777" w:rsidR="008365D6" w:rsidRPr="008365D6" w:rsidRDefault="008365D6" w:rsidP="008365D6">
            <w:pPr>
              <w:spacing w:before="40" w:after="120"/>
              <w:ind w:right="113"/>
            </w:pPr>
          </w:p>
        </w:tc>
        <w:tc>
          <w:tcPr>
            <w:tcW w:w="3118" w:type="dxa"/>
            <w:tcBorders>
              <w:top w:val="single" w:sz="12" w:space="0" w:color="auto"/>
            </w:tcBorders>
            <w:shd w:val="clear" w:color="auto" w:fill="auto"/>
            <w:tcMar>
              <w:left w:w="113" w:type="dxa"/>
            </w:tcMar>
          </w:tcPr>
          <w:p w14:paraId="39DBA8EE" w14:textId="77777777" w:rsidR="008365D6" w:rsidRPr="008365D6" w:rsidRDefault="008365D6" w:rsidP="008365D6">
            <w:pPr>
              <w:spacing w:before="40" w:after="120"/>
              <w:ind w:right="113"/>
            </w:pPr>
          </w:p>
        </w:tc>
        <w:tc>
          <w:tcPr>
            <w:tcW w:w="3118" w:type="dxa"/>
            <w:tcBorders>
              <w:top w:val="single" w:sz="12" w:space="0" w:color="auto"/>
            </w:tcBorders>
            <w:shd w:val="clear" w:color="auto" w:fill="auto"/>
            <w:tcMar>
              <w:left w:w="113" w:type="dxa"/>
            </w:tcMar>
          </w:tcPr>
          <w:p w14:paraId="3AEC966B" w14:textId="77777777" w:rsidR="008365D6" w:rsidRPr="008365D6" w:rsidRDefault="008365D6" w:rsidP="008365D6">
            <w:pPr>
              <w:spacing w:before="40" w:after="120"/>
              <w:ind w:right="113"/>
            </w:pPr>
          </w:p>
        </w:tc>
      </w:tr>
      <w:tr w:rsidR="008365D6" w:rsidRPr="004D6F47" w14:paraId="2EC6641E" w14:textId="77777777" w:rsidTr="004B2F5D">
        <w:tc>
          <w:tcPr>
            <w:tcW w:w="2268" w:type="dxa"/>
            <w:shd w:val="clear" w:color="auto" w:fill="auto"/>
          </w:tcPr>
          <w:p w14:paraId="147031C9" w14:textId="77777777" w:rsidR="008365D6" w:rsidRPr="004D6F47" w:rsidRDefault="008365D6" w:rsidP="008365D6">
            <w:pPr>
              <w:spacing w:before="40" w:after="120"/>
              <w:ind w:right="113"/>
              <w:rPr>
                <w:sz w:val="18"/>
                <w:szCs w:val="18"/>
              </w:rPr>
            </w:pPr>
            <w:r w:rsidRPr="004D6F47">
              <w:rPr>
                <w:sz w:val="18"/>
                <w:szCs w:val="18"/>
              </w:rPr>
              <w:t>Vitrages de toit panoramique</w:t>
            </w:r>
          </w:p>
        </w:tc>
        <w:tc>
          <w:tcPr>
            <w:tcW w:w="3118" w:type="dxa"/>
            <w:shd w:val="clear" w:color="auto" w:fill="auto"/>
            <w:tcMar>
              <w:top w:w="113" w:type="dxa"/>
              <w:left w:w="113" w:type="dxa"/>
              <w:bottom w:w="113" w:type="dxa"/>
            </w:tcMar>
          </w:tcPr>
          <w:p w14:paraId="2F32B5C0" w14:textId="77777777" w:rsidR="008365D6" w:rsidRPr="004D6F47" w:rsidRDefault="008365D6" w:rsidP="00D93E40">
            <w:pPr>
              <w:spacing w:before="40" w:after="120"/>
              <w:ind w:right="113"/>
              <w:rPr>
                <w:sz w:val="18"/>
                <w:szCs w:val="18"/>
              </w:rPr>
            </w:pPr>
            <w:r w:rsidRPr="004D6F47">
              <w:rPr>
                <w:sz w:val="18"/>
                <w:szCs w:val="18"/>
              </w:rPr>
              <w:t>M.</w:t>
            </w:r>
            <w:r w:rsidR="004D6F47">
              <w:rPr>
                <w:sz w:val="18"/>
                <w:szCs w:val="18"/>
              </w:rPr>
              <w:t> </w:t>
            </w:r>
            <w:r w:rsidRPr="004D6F47">
              <w:rPr>
                <w:sz w:val="18"/>
                <w:szCs w:val="18"/>
              </w:rPr>
              <w:t>S.</w:t>
            </w:r>
            <w:r w:rsidR="004D6F47">
              <w:rPr>
                <w:sz w:val="18"/>
                <w:szCs w:val="18"/>
              </w:rPr>
              <w:t> </w:t>
            </w:r>
            <w:r w:rsidRPr="004D6F47">
              <w:rPr>
                <w:sz w:val="18"/>
                <w:szCs w:val="18"/>
              </w:rPr>
              <w:t>B.</w:t>
            </w:r>
            <w:r w:rsidR="004D6F47">
              <w:rPr>
                <w:sz w:val="18"/>
                <w:szCs w:val="18"/>
              </w:rPr>
              <w:t> </w:t>
            </w:r>
            <w:r w:rsidRPr="004D6F47">
              <w:rPr>
                <w:sz w:val="18"/>
                <w:szCs w:val="18"/>
              </w:rPr>
              <w:t>Eom (République de Corée) (coprésidé par M.</w:t>
            </w:r>
            <w:r w:rsidR="004B2F5D" w:rsidRPr="004D6F47">
              <w:rPr>
                <w:sz w:val="18"/>
                <w:szCs w:val="18"/>
              </w:rPr>
              <w:t> </w:t>
            </w:r>
            <w:r w:rsidRPr="004D6F47">
              <w:rPr>
                <w:sz w:val="18"/>
                <w:szCs w:val="18"/>
              </w:rPr>
              <w:t>Th.</w:t>
            </w:r>
            <w:r w:rsidR="004B2F5D" w:rsidRPr="004D6F47">
              <w:rPr>
                <w:sz w:val="18"/>
                <w:szCs w:val="18"/>
              </w:rPr>
              <w:t> </w:t>
            </w:r>
            <w:r w:rsidRPr="004D6F47">
              <w:rPr>
                <w:sz w:val="18"/>
                <w:szCs w:val="18"/>
              </w:rPr>
              <w:t>Fuhrmann (Allemagne))</w:t>
            </w:r>
            <w:r w:rsidR="00D93E40">
              <w:rPr>
                <w:sz w:val="18"/>
                <w:szCs w:val="18"/>
              </w:rPr>
              <w:t xml:space="preserve"> </w:t>
            </w:r>
            <w:r w:rsidR="00D93E40">
              <w:rPr>
                <w:sz w:val="18"/>
                <w:szCs w:val="18"/>
              </w:rPr>
              <w:br/>
            </w:r>
            <w:r w:rsidRPr="004D6F47">
              <w:rPr>
                <w:sz w:val="18"/>
                <w:szCs w:val="18"/>
              </w:rPr>
              <w:t>Tél. : +82 31 3690217</w:t>
            </w:r>
            <w:r w:rsidR="004B2F5D" w:rsidRPr="004D6F47">
              <w:rPr>
                <w:sz w:val="18"/>
                <w:szCs w:val="18"/>
              </w:rPr>
              <w:t xml:space="preserve"> </w:t>
            </w:r>
            <w:r w:rsidR="004B2F5D" w:rsidRPr="004D6F47">
              <w:rPr>
                <w:sz w:val="18"/>
                <w:szCs w:val="18"/>
              </w:rPr>
              <w:br/>
            </w:r>
            <w:r w:rsidRPr="004D6F47">
              <w:rPr>
                <w:sz w:val="18"/>
                <w:szCs w:val="18"/>
              </w:rPr>
              <w:t>Courriel : sbeom@ts2020.kr</w:t>
            </w:r>
          </w:p>
        </w:tc>
        <w:tc>
          <w:tcPr>
            <w:tcW w:w="3118" w:type="dxa"/>
            <w:shd w:val="clear" w:color="auto" w:fill="auto"/>
            <w:tcMar>
              <w:top w:w="113" w:type="dxa"/>
              <w:bottom w:w="113" w:type="dxa"/>
            </w:tcMar>
          </w:tcPr>
          <w:p w14:paraId="47735666" w14:textId="77777777" w:rsidR="008365D6" w:rsidRPr="004D6F47" w:rsidRDefault="008365D6" w:rsidP="004D6F47">
            <w:pPr>
              <w:spacing w:before="40" w:after="120"/>
              <w:ind w:right="113"/>
              <w:rPr>
                <w:bCs/>
                <w:sz w:val="18"/>
                <w:szCs w:val="18"/>
              </w:rPr>
            </w:pPr>
            <w:r w:rsidRPr="004D6F47">
              <w:rPr>
                <w:sz w:val="18"/>
                <w:szCs w:val="18"/>
              </w:rPr>
              <w:t>M.</w:t>
            </w:r>
            <w:r w:rsidR="004D6F47" w:rsidRPr="004D6F47">
              <w:rPr>
                <w:sz w:val="18"/>
                <w:szCs w:val="18"/>
              </w:rPr>
              <w:t> </w:t>
            </w:r>
            <w:r w:rsidRPr="004D6F47">
              <w:rPr>
                <w:sz w:val="18"/>
                <w:szCs w:val="18"/>
              </w:rPr>
              <w:t>S.</w:t>
            </w:r>
            <w:r w:rsidR="004D6F47" w:rsidRPr="004D6F47">
              <w:rPr>
                <w:sz w:val="18"/>
                <w:szCs w:val="18"/>
              </w:rPr>
              <w:t> </w:t>
            </w:r>
            <w:r w:rsidRPr="004D6F47">
              <w:rPr>
                <w:sz w:val="18"/>
                <w:szCs w:val="18"/>
              </w:rPr>
              <w:t>Müller von Kralik (CLEPA)</w:t>
            </w:r>
            <w:r w:rsidR="004D6F47" w:rsidRPr="004D6F47">
              <w:rPr>
                <w:sz w:val="18"/>
                <w:szCs w:val="18"/>
              </w:rPr>
              <w:t xml:space="preserve"> </w:t>
            </w:r>
            <w:r w:rsidR="004D6F47" w:rsidRPr="004D6F47">
              <w:rPr>
                <w:sz w:val="18"/>
                <w:szCs w:val="18"/>
              </w:rPr>
              <w:br/>
            </w:r>
            <w:r w:rsidRPr="004D6F47">
              <w:rPr>
                <w:sz w:val="18"/>
                <w:szCs w:val="18"/>
              </w:rPr>
              <w:t>Tél. : +49 89 85794 1625</w:t>
            </w:r>
            <w:r w:rsidR="004D6F47" w:rsidRPr="004D6F47">
              <w:rPr>
                <w:sz w:val="18"/>
                <w:szCs w:val="18"/>
              </w:rPr>
              <w:t xml:space="preserve"> </w:t>
            </w:r>
            <w:r w:rsidR="004D6F47" w:rsidRPr="004D6F47">
              <w:rPr>
                <w:sz w:val="18"/>
                <w:szCs w:val="18"/>
              </w:rPr>
              <w:br/>
            </w:r>
            <w:r w:rsidRPr="004D6F47">
              <w:rPr>
                <w:bCs/>
                <w:sz w:val="18"/>
                <w:szCs w:val="18"/>
              </w:rPr>
              <w:t>Courriel : Bianca.Retr@webasto.com</w:t>
            </w:r>
          </w:p>
        </w:tc>
      </w:tr>
      <w:tr w:rsidR="008365D6" w:rsidRPr="008D5B60" w14:paraId="4569B986" w14:textId="77777777" w:rsidTr="004B2F5D">
        <w:tc>
          <w:tcPr>
            <w:tcW w:w="2268" w:type="dxa"/>
            <w:shd w:val="clear" w:color="auto" w:fill="auto"/>
          </w:tcPr>
          <w:p w14:paraId="0BFB9D4E" w14:textId="77777777" w:rsidR="008365D6" w:rsidRPr="004D6F47" w:rsidRDefault="008365D6" w:rsidP="008365D6">
            <w:pPr>
              <w:spacing w:before="40" w:after="120"/>
              <w:ind w:right="113"/>
              <w:rPr>
                <w:sz w:val="18"/>
                <w:szCs w:val="18"/>
              </w:rPr>
            </w:pPr>
            <w:r w:rsidRPr="004D6F47">
              <w:rPr>
                <w:sz w:val="18"/>
                <w:szCs w:val="18"/>
              </w:rPr>
              <w:t>Sensibilisation à la proximité d’usagers de</w:t>
            </w:r>
            <w:r w:rsidR="004D6F47">
              <w:rPr>
                <w:sz w:val="18"/>
                <w:szCs w:val="18"/>
              </w:rPr>
              <w:t xml:space="preserve"> </w:t>
            </w:r>
            <w:r w:rsidRPr="004D6F47">
              <w:rPr>
                <w:sz w:val="18"/>
                <w:szCs w:val="18"/>
              </w:rPr>
              <w:t xml:space="preserve">la route vulnérables </w:t>
            </w:r>
          </w:p>
        </w:tc>
        <w:tc>
          <w:tcPr>
            <w:tcW w:w="3118" w:type="dxa"/>
            <w:shd w:val="clear" w:color="auto" w:fill="auto"/>
            <w:tcMar>
              <w:top w:w="113" w:type="dxa"/>
              <w:left w:w="113" w:type="dxa"/>
              <w:bottom w:w="113" w:type="dxa"/>
            </w:tcMar>
          </w:tcPr>
          <w:p w14:paraId="4ECE7AF9" w14:textId="77777777" w:rsidR="008365D6" w:rsidRPr="004D6F47" w:rsidRDefault="008365D6" w:rsidP="004D6F47">
            <w:pPr>
              <w:spacing w:before="40" w:after="120"/>
              <w:ind w:right="113"/>
              <w:rPr>
                <w:sz w:val="18"/>
                <w:szCs w:val="18"/>
              </w:rPr>
            </w:pPr>
            <w:r w:rsidRPr="004D6F47">
              <w:rPr>
                <w:sz w:val="18"/>
                <w:szCs w:val="18"/>
              </w:rPr>
              <w:t>M.</w:t>
            </w:r>
            <w:r w:rsidR="004D6F47">
              <w:rPr>
                <w:sz w:val="18"/>
                <w:szCs w:val="18"/>
              </w:rPr>
              <w:t> </w:t>
            </w:r>
            <w:r w:rsidRPr="004D6F47">
              <w:rPr>
                <w:sz w:val="18"/>
                <w:szCs w:val="18"/>
              </w:rPr>
              <w:t>Y.</w:t>
            </w:r>
            <w:r w:rsidR="004D6F47">
              <w:rPr>
                <w:sz w:val="18"/>
                <w:szCs w:val="18"/>
              </w:rPr>
              <w:t> </w:t>
            </w:r>
            <w:r w:rsidRPr="004D6F47">
              <w:rPr>
                <w:sz w:val="18"/>
                <w:szCs w:val="18"/>
              </w:rPr>
              <w:t>Matsui (Japon) (Président)</w:t>
            </w:r>
            <w:r w:rsidR="004D6F47" w:rsidRPr="004D6F47">
              <w:rPr>
                <w:sz w:val="18"/>
                <w:szCs w:val="18"/>
              </w:rPr>
              <w:t xml:space="preserve"> </w:t>
            </w:r>
            <w:r w:rsidR="004D6F47" w:rsidRPr="004D6F47">
              <w:rPr>
                <w:sz w:val="18"/>
                <w:szCs w:val="18"/>
              </w:rPr>
              <w:br/>
            </w:r>
            <w:r w:rsidRPr="004D6F47">
              <w:rPr>
                <w:sz w:val="18"/>
                <w:szCs w:val="18"/>
              </w:rPr>
              <w:t>M.</w:t>
            </w:r>
            <w:r w:rsidR="004D6F47">
              <w:rPr>
                <w:sz w:val="18"/>
                <w:szCs w:val="18"/>
              </w:rPr>
              <w:t> </w:t>
            </w:r>
            <w:r w:rsidRPr="004D6F47">
              <w:rPr>
                <w:sz w:val="18"/>
                <w:szCs w:val="18"/>
              </w:rPr>
              <w:t>P.</w:t>
            </w:r>
            <w:r w:rsidR="004D6F47">
              <w:rPr>
                <w:sz w:val="18"/>
                <w:szCs w:val="18"/>
              </w:rPr>
              <w:t> </w:t>
            </w:r>
            <w:r w:rsidRPr="004D6F47">
              <w:rPr>
                <w:sz w:val="18"/>
                <w:szCs w:val="18"/>
              </w:rPr>
              <w:t>Broertjes (CE) (Vice-président)</w:t>
            </w:r>
            <w:r w:rsidR="004D6F47">
              <w:rPr>
                <w:sz w:val="18"/>
                <w:szCs w:val="18"/>
              </w:rPr>
              <w:t xml:space="preserve"> </w:t>
            </w:r>
            <w:r w:rsidR="004D6F47">
              <w:rPr>
                <w:sz w:val="18"/>
                <w:szCs w:val="18"/>
              </w:rPr>
              <w:br/>
            </w:r>
            <w:r w:rsidRPr="004D6F47">
              <w:rPr>
                <w:sz w:val="18"/>
                <w:szCs w:val="18"/>
              </w:rPr>
              <w:t>Tél. : +81 422 41 3371</w:t>
            </w:r>
            <w:r w:rsidR="004D6F47" w:rsidRPr="004D6F47">
              <w:rPr>
                <w:sz w:val="18"/>
                <w:szCs w:val="18"/>
              </w:rPr>
              <w:t xml:space="preserve"> </w:t>
            </w:r>
            <w:r w:rsidR="004D6F47" w:rsidRPr="004D6F47">
              <w:rPr>
                <w:sz w:val="18"/>
                <w:szCs w:val="18"/>
              </w:rPr>
              <w:br/>
            </w:r>
            <w:r w:rsidRPr="004D6F47">
              <w:rPr>
                <w:sz w:val="18"/>
                <w:szCs w:val="18"/>
              </w:rPr>
              <w:t>Courriel : ymatsui@ntsel.go.jp</w:t>
            </w:r>
            <w:r w:rsidR="004D6F47" w:rsidRPr="004D6F47">
              <w:rPr>
                <w:sz w:val="18"/>
                <w:szCs w:val="18"/>
              </w:rPr>
              <w:t xml:space="preserve"> </w:t>
            </w:r>
            <w:r w:rsidR="004D6F47" w:rsidRPr="004D6F47">
              <w:rPr>
                <w:sz w:val="18"/>
                <w:szCs w:val="18"/>
              </w:rPr>
              <w:br/>
            </w:r>
            <w:r w:rsidRPr="004D6F47">
              <w:rPr>
                <w:sz w:val="18"/>
                <w:szCs w:val="18"/>
              </w:rPr>
              <w:t>Tél. : +32 2 299 49 33</w:t>
            </w:r>
            <w:r w:rsidR="004D6F47" w:rsidRPr="004D6F47">
              <w:rPr>
                <w:sz w:val="18"/>
                <w:szCs w:val="18"/>
              </w:rPr>
              <w:t xml:space="preserve"> </w:t>
            </w:r>
            <w:r w:rsidR="004D6F47" w:rsidRPr="004D6F47">
              <w:rPr>
                <w:sz w:val="18"/>
                <w:szCs w:val="18"/>
              </w:rPr>
              <w:br/>
            </w:r>
            <w:r w:rsidRPr="004D6F47">
              <w:rPr>
                <w:sz w:val="18"/>
                <w:szCs w:val="18"/>
              </w:rPr>
              <w:t>Courriel : peter.broertjes@ec.europa.eu</w:t>
            </w:r>
          </w:p>
        </w:tc>
        <w:tc>
          <w:tcPr>
            <w:tcW w:w="3118" w:type="dxa"/>
            <w:shd w:val="clear" w:color="auto" w:fill="auto"/>
            <w:tcMar>
              <w:top w:w="113" w:type="dxa"/>
              <w:bottom w:w="113" w:type="dxa"/>
            </w:tcMar>
          </w:tcPr>
          <w:p w14:paraId="625080CA" w14:textId="77777777" w:rsidR="008365D6" w:rsidRPr="00B9393E" w:rsidRDefault="008365D6" w:rsidP="004D6F47">
            <w:pPr>
              <w:spacing w:before="40" w:after="120"/>
              <w:ind w:right="113"/>
              <w:rPr>
                <w:sz w:val="18"/>
                <w:szCs w:val="18"/>
                <w:lang w:val="en-US"/>
              </w:rPr>
            </w:pPr>
            <w:r w:rsidRPr="004D6F47">
              <w:rPr>
                <w:sz w:val="18"/>
                <w:szCs w:val="18"/>
                <w:lang w:val="en-US"/>
              </w:rPr>
              <w:t>M.</w:t>
            </w:r>
            <w:r w:rsidR="004D6F47" w:rsidRPr="004D6F47">
              <w:rPr>
                <w:sz w:val="18"/>
                <w:szCs w:val="18"/>
                <w:lang w:val="en-US"/>
              </w:rPr>
              <w:t> </w:t>
            </w:r>
            <w:r w:rsidRPr="004D6F47">
              <w:rPr>
                <w:sz w:val="18"/>
                <w:szCs w:val="18"/>
                <w:lang w:val="en-US"/>
              </w:rPr>
              <w:t>Johan Broeders (OICA)</w:t>
            </w:r>
            <w:r w:rsidR="004D6F47">
              <w:rPr>
                <w:sz w:val="18"/>
                <w:szCs w:val="18"/>
                <w:lang w:val="en-US"/>
              </w:rPr>
              <w:t xml:space="preserve"> </w:t>
            </w:r>
            <w:r w:rsidR="004D6F47">
              <w:rPr>
                <w:sz w:val="18"/>
                <w:szCs w:val="18"/>
                <w:lang w:val="en-US"/>
              </w:rPr>
              <w:br/>
            </w:r>
            <w:r w:rsidRPr="004D6F47">
              <w:rPr>
                <w:sz w:val="18"/>
                <w:szCs w:val="18"/>
                <w:lang w:val="en-US"/>
              </w:rPr>
              <w:t>Tél. : ++31 40 214 5033</w:t>
            </w:r>
            <w:r w:rsidR="004D6F47" w:rsidRPr="004D6F47">
              <w:rPr>
                <w:sz w:val="18"/>
                <w:szCs w:val="18"/>
                <w:lang w:val="en-US"/>
              </w:rPr>
              <w:t xml:space="preserve"> </w:t>
            </w:r>
            <w:r w:rsidR="004D6F47" w:rsidRPr="004D6F47">
              <w:rPr>
                <w:sz w:val="18"/>
                <w:szCs w:val="18"/>
                <w:lang w:val="en-US"/>
              </w:rPr>
              <w:br/>
            </w:r>
            <w:proofErr w:type="spellStart"/>
            <w:r w:rsidRPr="00B9393E">
              <w:rPr>
                <w:bCs/>
                <w:sz w:val="18"/>
                <w:szCs w:val="18"/>
                <w:lang w:val="en-US"/>
              </w:rPr>
              <w:t>Courriel</w:t>
            </w:r>
            <w:proofErr w:type="spellEnd"/>
            <w:r w:rsidRPr="00B9393E">
              <w:rPr>
                <w:bCs/>
                <w:sz w:val="18"/>
                <w:szCs w:val="18"/>
                <w:lang w:val="en-US"/>
              </w:rPr>
              <w:t xml:space="preserve"> : </w:t>
            </w:r>
            <w:r w:rsidRPr="00B9393E">
              <w:rPr>
                <w:sz w:val="18"/>
                <w:szCs w:val="18"/>
                <w:lang w:val="en-US"/>
              </w:rPr>
              <w:t>johan.broeders@daftrucks.com</w:t>
            </w:r>
          </w:p>
        </w:tc>
      </w:tr>
      <w:tr w:rsidR="008365D6" w:rsidRPr="004D6F47" w14:paraId="3CC685D3" w14:textId="77777777" w:rsidTr="004B2F5D">
        <w:tc>
          <w:tcPr>
            <w:tcW w:w="2268" w:type="dxa"/>
            <w:tcBorders>
              <w:bottom w:val="single" w:sz="12" w:space="0" w:color="auto"/>
            </w:tcBorders>
            <w:shd w:val="clear" w:color="auto" w:fill="auto"/>
          </w:tcPr>
          <w:p w14:paraId="03FF11FD" w14:textId="77777777" w:rsidR="008365D6" w:rsidRPr="004D6F47" w:rsidRDefault="008365D6" w:rsidP="008365D6">
            <w:pPr>
              <w:spacing w:before="40" w:after="120"/>
              <w:ind w:right="113"/>
              <w:rPr>
                <w:sz w:val="18"/>
                <w:szCs w:val="18"/>
              </w:rPr>
            </w:pPr>
            <w:r w:rsidRPr="004D6F47">
              <w:rPr>
                <w:sz w:val="18"/>
                <w:szCs w:val="18"/>
              </w:rPr>
              <w:t>Comportement de la structure générale des véhicules des</w:t>
            </w:r>
            <w:r w:rsidR="004D6F47">
              <w:rPr>
                <w:sz w:val="18"/>
                <w:szCs w:val="18"/>
              </w:rPr>
              <w:t> </w:t>
            </w:r>
            <w:r w:rsidRPr="004D6F47">
              <w:rPr>
                <w:sz w:val="18"/>
                <w:szCs w:val="18"/>
              </w:rPr>
              <w:t>catégories</w:t>
            </w:r>
            <w:r w:rsidR="004D6F47">
              <w:rPr>
                <w:sz w:val="18"/>
                <w:szCs w:val="18"/>
              </w:rPr>
              <w:t> </w:t>
            </w:r>
            <w:r w:rsidRPr="004D6F47">
              <w:rPr>
                <w:sz w:val="18"/>
                <w:szCs w:val="18"/>
              </w:rPr>
              <w:t>M</w:t>
            </w:r>
            <w:r w:rsidRPr="004D6F47">
              <w:rPr>
                <w:sz w:val="18"/>
                <w:szCs w:val="18"/>
                <w:vertAlign w:val="subscript"/>
              </w:rPr>
              <w:t>2</w:t>
            </w:r>
            <w:r w:rsidRPr="004D6F47">
              <w:rPr>
                <w:sz w:val="18"/>
                <w:szCs w:val="18"/>
              </w:rPr>
              <w:t xml:space="preserve"> et</w:t>
            </w:r>
            <w:r w:rsidR="004D6F47">
              <w:rPr>
                <w:sz w:val="18"/>
                <w:szCs w:val="18"/>
              </w:rPr>
              <w:t> </w:t>
            </w:r>
            <w:r w:rsidRPr="004D6F47">
              <w:rPr>
                <w:sz w:val="18"/>
                <w:szCs w:val="18"/>
              </w:rPr>
              <w:t>M</w:t>
            </w:r>
            <w:r w:rsidRPr="004D6F47">
              <w:rPr>
                <w:sz w:val="18"/>
                <w:szCs w:val="18"/>
                <w:vertAlign w:val="subscript"/>
              </w:rPr>
              <w:t>3</w:t>
            </w:r>
            <w:r w:rsidRPr="004D6F47">
              <w:rPr>
                <w:sz w:val="18"/>
                <w:szCs w:val="18"/>
              </w:rPr>
              <w:t xml:space="preserve"> en cas d’incendie </w:t>
            </w:r>
          </w:p>
        </w:tc>
        <w:tc>
          <w:tcPr>
            <w:tcW w:w="3118" w:type="dxa"/>
            <w:tcBorders>
              <w:bottom w:val="single" w:sz="12" w:space="0" w:color="auto"/>
            </w:tcBorders>
            <w:shd w:val="clear" w:color="auto" w:fill="auto"/>
            <w:tcMar>
              <w:top w:w="113" w:type="dxa"/>
              <w:left w:w="113" w:type="dxa"/>
              <w:bottom w:w="113" w:type="dxa"/>
            </w:tcMar>
          </w:tcPr>
          <w:p w14:paraId="6B61D540" w14:textId="77777777" w:rsidR="008365D6" w:rsidRPr="004D6F47" w:rsidRDefault="008365D6" w:rsidP="004D6F47">
            <w:pPr>
              <w:spacing w:before="40" w:after="120"/>
              <w:ind w:right="113"/>
              <w:rPr>
                <w:sz w:val="18"/>
                <w:szCs w:val="18"/>
              </w:rPr>
            </w:pPr>
            <w:r w:rsidRPr="004D6F47">
              <w:rPr>
                <w:sz w:val="18"/>
                <w:szCs w:val="18"/>
              </w:rPr>
              <w:t>M.</w:t>
            </w:r>
            <w:r w:rsidR="004D6F47">
              <w:rPr>
                <w:sz w:val="18"/>
                <w:szCs w:val="18"/>
              </w:rPr>
              <w:t> </w:t>
            </w:r>
            <w:r w:rsidRPr="004D6F47">
              <w:rPr>
                <w:sz w:val="18"/>
                <w:szCs w:val="18"/>
              </w:rPr>
              <w:t>F.</w:t>
            </w:r>
            <w:r w:rsidR="004D6F47">
              <w:rPr>
                <w:sz w:val="18"/>
                <w:szCs w:val="18"/>
              </w:rPr>
              <w:t> </w:t>
            </w:r>
            <w:r w:rsidRPr="004D6F47">
              <w:rPr>
                <w:sz w:val="18"/>
                <w:szCs w:val="18"/>
              </w:rPr>
              <w:t>Herveleu (France) (Président)</w:t>
            </w:r>
            <w:r w:rsidR="004D6F47">
              <w:rPr>
                <w:sz w:val="18"/>
                <w:szCs w:val="18"/>
              </w:rPr>
              <w:t xml:space="preserve"> </w:t>
            </w:r>
            <w:r w:rsidR="004D6F47">
              <w:rPr>
                <w:sz w:val="18"/>
                <w:szCs w:val="18"/>
              </w:rPr>
              <w:br/>
            </w:r>
            <w:r w:rsidRPr="004D6F47">
              <w:rPr>
                <w:sz w:val="18"/>
                <w:szCs w:val="18"/>
              </w:rPr>
              <w:t>Tél. : +33 1 69 803407</w:t>
            </w:r>
            <w:r w:rsidR="004D6F47" w:rsidRPr="004D6F47">
              <w:rPr>
                <w:sz w:val="18"/>
                <w:szCs w:val="18"/>
              </w:rPr>
              <w:t xml:space="preserve"> </w:t>
            </w:r>
            <w:r w:rsidR="004D6F47" w:rsidRPr="004D6F47">
              <w:rPr>
                <w:sz w:val="18"/>
                <w:szCs w:val="18"/>
              </w:rPr>
              <w:br/>
            </w:r>
            <w:r w:rsidRPr="004D6F47">
              <w:rPr>
                <w:sz w:val="18"/>
                <w:szCs w:val="18"/>
              </w:rPr>
              <w:t>Courriel : fabrice.herveleu@utacceram.com</w:t>
            </w:r>
          </w:p>
        </w:tc>
        <w:tc>
          <w:tcPr>
            <w:tcW w:w="3118" w:type="dxa"/>
            <w:tcBorders>
              <w:bottom w:val="single" w:sz="12" w:space="0" w:color="auto"/>
            </w:tcBorders>
            <w:shd w:val="clear" w:color="auto" w:fill="auto"/>
            <w:tcMar>
              <w:top w:w="113" w:type="dxa"/>
              <w:bottom w:w="113" w:type="dxa"/>
            </w:tcMar>
          </w:tcPr>
          <w:p w14:paraId="233ED6E3" w14:textId="77777777" w:rsidR="008365D6" w:rsidRPr="004D6F47" w:rsidRDefault="008365D6" w:rsidP="004D6F47">
            <w:pPr>
              <w:spacing w:before="40" w:after="120"/>
              <w:ind w:right="113"/>
              <w:rPr>
                <w:sz w:val="18"/>
                <w:szCs w:val="18"/>
              </w:rPr>
            </w:pPr>
            <w:r w:rsidRPr="004D6F47">
              <w:rPr>
                <w:sz w:val="18"/>
                <w:szCs w:val="18"/>
              </w:rPr>
              <w:t>M.</w:t>
            </w:r>
            <w:r w:rsidR="004D6F47">
              <w:rPr>
                <w:sz w:val="18"/>
                <w:szCs w:val="18"/>
              </w:rPr>
              <w:t> </w:t>
            </w:r>
            <w:r w:rsidRPr="004D6F47">
              <w:rPr>
                <w:sz w:val="18"/>
                <w:szCs w:val="18"/>
              </w:rPr>
              <w:t>O.</w:t>
            </w:r>
            <w:r w:rsidR="004D6F47">
              <w:rPr>
                <w:sz w:val="18"/>
                <w:szCs w:val="18"/>
              </w:rPr>
              <w:t> </w:t>
            </w:r>
            <w:r w:rsidRPr="004D6F47">
              <w:rPr>
                <w:sz w:val="18"/>
                <w:szCs w:val="18"/>
              </w:rPr>
              <w:t>Fontaine (OICA)</w:t>
            </w:r>
            <w:r w:rsidR="004D6F47">
              <w:rPr>
                <w:sz w:val="18"/>
                <w:szCs w:val="18"/>
              </w:rPr>
              <w:t xml:space="preserve"> </w:t>
            </w:r>
            <w:r w:rsidR="004D6F47">
              <w:rPr>
                <w:sz w:val="18"/>
                <w:szCs w:val="18"/>
              </w:rPr>
              <w:br/>
            </w:r>
            <w:r w:rsidRPr="004D6F47">
              <w:rPr>
                <w:sz w:val="18"/>
                <w:szCs w:val="18"/>
              </w:rPr>
              <w:t>Tél. : +33 1 43590013</w:t>
            </w:r>
            <w:r w:rsidR="004D6F47" w:rsidRPr="004D6F47">
              <w:rPr>
                <w:sz w:val="18"/>
                <w:szCs w:val="18"/>
              </w:rPr>
              <w:t xml:space="preserve"> </w:t>
            </w:r>
            <w:r w:rsidR="004D6F47" w:rsidRPr="004D6F47">
              <w:rPr>
                <w:sz w:val="18"/>
                <w:szCs w:val="18"/>
              </w:rPr>
              <w:br/>
            </w:r>
            <w:r w:rsidRPr="004D6F47">
              <w:rPr>
                <w:sz w:val="18"/>
                <w:szCs w:val="18"/>
              </w:rPr>
              <w:t>Courriel : ofontaine@oica.net</w:t>
            </w:r>
          </w:p>
        </w:tc>
      </w:tr>
    </w:tbl>
    <w:p w14:paraId="2708D4CF" w14:textId="77777777" w:rsidR="008365D6" w:rsidRPr="004D6F47" w:rsidRDefault="004D6F47" w:rsidP="004D6F47">
      <w:pPr>
        <w:pStyle w:val="SingleTxtG"/>
        <w:spacing w:before="240" w:after="0"/>
        <w:jc w:val="center"/>
        <w:rPr>
          <w:u w:val="single"/>
        </w:rPr>
      </w:pPr>
      <w:r>
        <w:rPr>
          <w:u w:val="single"/>
        </w:rPr>
        <w:tab/>
      </w:r>
      <w:r>
        <w:rPr>
          <w:u w:val="single"/>
        </w:rPr>
        <w:tab/>
      </w:r>
      <w:r>
        <w:rPr>
          <w:u w:val="single"/>
        </w:rPr>
        <w:tab/>
      </w:r>
    </w:p>
    <w:sectPr w:rsidR="008365D6" w:rsidRPr="004D6F47" w:rsidSect="008365D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001AA" w14:textId="77777777" w:rsidR="00B9393E" w:rsidRDefault="00B9393E" w:rsidP="00F95C08">
      <w:pPr>
        <w:spacing w:line="240" w:lineRule="auto"/>
      </w:pPr>
    </w:p>
  </w:endnote>
  <w:endnote w:type="continuationSeparator" w:id="0">
    <w:p w14:paraId="3DC065DF" w14:textId="77777777" w:rsidR="00B9393E" w:rsidRPr="00AC3823" w:rsidRDefault="00B9393E" w:rsidP="00AC3823">
      <w:pPr>
        <w:pStyle w:val="Footer"/>
      </w:pPr>
    </w:p>
  </w:endnote>
  <w:endnote w:type="continuationNotice" w:id="1">
    <w:p w14:paraId="3B9793A7" w14:textId="77777777" w:rsidR="00B9393E" w:rsidRDefault="00B939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CF00" w14:textId="77777777" w:rsidR="00B9393E" w:rsidRPr="008365D6" w:rsidRDefault="00B9393E" w:rsidP="008365D6">
    <w:pPr>
      <w:pStyle w:val="Footer"/>
      <w:tabs>
        <w:tab w:val="right" w:pos="9638"/>
      </w:tabs>
    </w:pPr>
    <w:r w:rsidRPr="008365D6">
      <w:rPr>
        <w:b/>
        <w:sz w:val="18"/>
      </w:rPr>
      <w:fldChar w:fldCharType="begin"/>
    </w:r>
    <w:r w:rsidRPr="008365D6">
      <w:rPr>
        <w:b/>
        <w:sz w:val="18"/>
      </w:rPr>
      <w:instrText xml:space="preserve"> PAGE  \* MERGEFORMAT </w:instrText>
    </w:r>
    <w:r w:rsidRPr="008365D6">
      <w:rPr>
        <w:b/>
        <w:sz w:val="18"/>
      </w:rPr>
      <w:fldChar w:fldCharType="separate"/>
    </w:r>
    <w:r w:rsidRPr="008365D6">
      <w:rPr>
        <w:b/>
        <w:noProof/>
        <w:sz w:val="18"/>
      </w:rPr>
      <w:t>2</w:t>
    </w:r>
    <w:r w:rsidRPr="008365D6">
      <w:rPr>
        <w:b/>
        <w:sz w:val="18"/>
      </w:rPr>
      <w:fldChar w:fldCharType="end"/>
    </w:r>
    <w:r>
      <w:rPr>
        <w:b/>
        <w:sz w:val="18"/>
      </w:rPr>
      <w:tab/>
    </w:r>
    <w:r>
      <w:t>GE.18-20208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986C" w14:textId="77777777" w:rsidR="00B9393E" w:rsidRPr="008365D6" w:rsidRDefault="00B9393E" w:rsidP="008365D6">
    <w:pPr>
      <w:pStyle w:val="Footer"/>
      <w:tabs>
        <w:tab w:val="right" w:pos="9638"/>
      </w:tabs>
      <w:rPr>
        <w:b/>
        <w:sz w:val="18"/>
      </w:rPr>
    </w:pPr>
    <w:r>
      <w:t>GE.18-20208</w:t>
    </w:r>
    <w:r>
      <w:tab/>
    </w:r>
    <w:r w:rsidRPr="008365D6">
      <w:rPr>
        <w:b/>
        <w:sz w:val="18"/>
      </w:rPr>
      <w:fldChar w:fldCharType="begin"/>
    </w:r>
    <w:r w:rsidRPr="008365D6">
      <w:rPr>
        <w:b/>
        <w:sz w:val="18"/>
      </w:rPr>
      <w:instrText xml:space="preserve"> PAGE  \* MERGEFORMAT </w:instrText>
    </w:r>
    <w:r w:rsidRPr="008365D6">
      <w:rPr>
        <w:b/>
        <w:sz w:val="18"/>
      </w:rPr>
      <w:fldChar w:fldCharType="separate"/>
    </w:r>
    <w:r w:rsidRPr="008365D6">
      <w:rPr>
        <w:b/>
        <w:noProof/>
        <w:sz w:val="18"/>
      </w:rPr>
      <w:t>3</w:t>
    </w:r>
    <w:r w:rsidRPr="008365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CE30" w14:textId="77777777" w:rsidR="00B9393E" w:rsidRPr="008365D6" w:rsidRDefault="00B9393E" w:rsidP="008365D6">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6887BCBC" wp14:editId="3A6074A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18-20208  (F)    </w:t>
    </w:r>
    <w:r w:rsidRPr="00DC0724">
      <w:rPr>
        <w:sz w:val="20"/>
      </w:rPr>
      <w:t>070119    270219</w:t>
    </w:r>
    <w:r>
      <w:rPr>
        <w:sz w:val="20"/>
      </w:rPr>
      <w:br/>
    </w:r>
    <w:r w:rsidRPr="008365D6">
      <w:rPr>
        <w:rFonts w:ascii="C39T30Lfz" w:hAnsi="C39T30Lfz"/>
        <w:sz w:val="56"/>
      </w:rPr>
      <w:t></w:t>
    </w:r>
    <w:r w:rsidRPr="008365D6">
      <w:rPr>
        <w:rFonts w:ascii="C39T30Lfz" w:hAnsi="C39T30Lfz"/>
        <w:sz w:val="56"/>
      </w:rPr>
      <w:t></w:t>
    </w:r>
    <w:r w:rsidRPr="008365D6">
      <w:rPr>
        <w:rFonts w:ascii="C39T30Lfz" w:hAnsi="C39T30Lfz"/>
        <w:sz w:val="56"/>
      </w:rPr>
      <w:t></w:t>
    </w:r>
    <w:r w:rsidRPr="008365D6">
      <w:rPr>
        <w:rFonts w:ascii="C39T30Lfz" w:hAnsi="C39T30Lfz"/>
        <w:sz w:val="56"/>
      </w:rPr>
      <w:t></w:t>
    </w:r>
    <w:r w:rsidRPr="008365D6">
      <w:rPr>
        <w:rFonts w:ascii="C39T30Lfz" w:hAnsi="C39T30Lfz"/>
        <w:sz w:val="56"/>
      </w:rPr>
      <w:t></w:t>
    </w:r>
    <w:r w:rsidRPr="008365D6">
      <w:rPr>
        <w:rFonts w:ascii="C39T30Lfz" w:hAnsi="C39T30Lfz"/>
        <w:sz w:val="56"/>
      </w:rPr>
      <w:t></w:t>
    </w:r>
    <w:r w:rsidRPr="008365D6">
      <w:rPr>
        <w:rFonts w:ascii="C39T30Lfz" w:hAnsi="C39T30Lfz"/>
        <w:sz w:val="56"/>
      </w:rPr>
      <w:t></w:t>
    </w:r>
    <w:r w:rsidRPr="008365D6">
      <w:rPr>
        <w:rFonts w:ascii="C39T30Lfz" w:hAnsi="C39T30Lfz"/>
        <w:sz w:val="56"/>
      </w:rPr>
      <w:t></w:t>
    </w:r>
    <w:r w:rsidRPr="008365D6">
      <w:rPr>
        <w:rFonts w:ascii="C39T30Lfz" w:hAnsi="C39T30Lfz"/>
        <w:sz w:val="56"/>
      </w:rPr>
      <w:t></w:t>
    </w:r>
    <w:r>
      <w:rPr>
        <w:noProof/>
        <w:sz w:val="20"/>
      </w:rPr>
      <w:drawing>
        <wp:anchor distT="0" distB="0" distL="114300" distR="114300" simplePos="0" relativeHeight="251661312" behindDoc="0" locked="0" layoutInCell="1" allowOverlap="1" wp14:anchorId="2168FEC5" wp14:editId="540290F3">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5824" w14:textId="77777777" w:rsidR="00B9393E" w:rsidRPr="00AC3823" w:rsidRDefault="00B9393E" w:rsidP="00AC3823">
      <w:pPr>
        <w:pStyle w:val="Footer"/>
        <w:tabs>
          <w:tab w:val="right" w:pos="2155"/>
        </w:tabs>
        <w:spacing w:after="80" w:line="240" w:lineRule="atLeast"/>
        <w:ind w:left="680"/>
        <w:rPr>
          <w:u w:val="single"/>
        </w:rPr>
      </w:pPr>
      <w:r>
        <w:rPr>
          <w:u w:val="single"/>
        </w:rPr>
        <w:tab/>
      </w:r>
    </w:p>
  </w:footnote>
  <w:footnote w:type="continuationSeparator" w:id="0">
    <w:p w14:paraId="0A9FC930" w14:textId="77777777" w:rsidR="00B9393E" w:rsidRPr="00AC3823" w:rsidRDefault="00B9393E" w:rsidP="00AC3823">
      <w:pPr>
        <w:pStyle w:val="Footer"/>
        <w:tabs>
          <w:tab w:val="right" w:pos="2155"/>
        </w:tabs>
        <w:spacing w:after="80" w:line="240" w:lineRule="atLeast"/>
        <w:ind w:left="680"/>
        <w:rPr>
          <w:u w:val="single"/>
        </w:rPr>
      </w:pPr>
      <w:r>
        <w:rPr>
          <w:u w:val="single"/>
        </w:rPr>
        <w:tab/>
      </w:r>
    </w:p>
  </w:footnote>
  <w:footnote w:type="continuationNotice" w:id="1">
    <w:p w14:paraId="2D20F067" w14:textId="77777777" w:rsidR="00B9393E" w:rsidRPr="00AC3823" w:rsidRDefault="00B9393E">
      <w:pPr>
        <w:spacing w:line="240" w:lineRule="auto"/>
        <w:rPr>
          <w:sz w:val="2"/>
          <w:szCs w:val="2"/>
        </w:rPr>
      </w:pPr>
    </w:p>
  </w:footnote>
  <w:footnote w:id="2">
    <w:p w14:paraId="017F9BC3" w14:textId="77777777" w:rsidR="008D5B60" w:rsidRPr="008D5B60" w:rsidRDefault="008D5B60">
      <w:pPr>
        <w:pStyle w:val="FootnoteText"/>
      </w:pPr>
      <w:r>
        <w:rPr>
          <w:rStyle w:val="FootnoteReference"/>
        </w:rPr>
        <w:tab/>
      </w:r>
      <w:r w:rsidRPr="008D5B60">
        <w:rPr>
          <w:rStyle w:val="FootnoteReference"/>
          <w:sz w:val="20"/>
          <w:vertAlign w:val="baseline"/>
        </w:rPr>
        <w:t>*</w:t>
      </w:r>
      <w:r>
        <w:rPr>
          <w:rStyle w:val="FootnoteReference"/>
          <w:sz w:val="20"/>
          <w:vertAlign w:val="baseline"/>
        </w:rPr>
        <w:tab/>
      </w:r>
      <w:bookmarkStart w:id="0" w:name="_GoBack"/>
      <w:r>
        <w:t>Nouveau tirage pour raisons techniques (5 mars 2019).</w:t>
      </w:r>
      <w:bookmarkEnd w:id="0"/>
    </w:p>
  </w:footnote>
  <w:footnote w:id="3">
    <w:p w14:paraId="17874762" w14:textId="77777777" w:rsidR="00B9393E" w:rsidRPr="00BB58C9" w:rsidRDefault="00B9393E" w:rsidP="008365D6">
      <w:pPr>
        <w:pStyle w:val="FootnoteText"/>
      </w:pPr>
      <w:r>
        <w:tab/>
      </w:r>
      <w:r w:rsidRPr="00BB58C9">
        <w:rPr>
          <w:rStyle w:val="FootnoteReference"/>
        </w:rPr>
        <w:footnoteRef/>
      </w:r>
      <w:r w:rsidRPr="00BB58C9">
        <w:t xml:space="preserve"> </w:t>
      </w:r>
      <w:r w:rsidRPr="00BB58C9">
        <w:tab/>
        <w:t>Le Groupe de travail a noté que la date limite de soumission des documents officiels au secrétariat de la CEE était fixée au 7</w:t>
      </w:r>
      <w:r>
        <w:t> </w:t>
      </w:r>
      <w:r w:rsidRPr="00BB58C9">
        <w:t>janvier 2019, douze semaines avant la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F18E0" w14:textId="5674B70E" w:rsidR="00B9393E" w:rsidRPr="008365D6" w:rsidRDefault="00486145">
    <w:pPr>
      <w:pStyle w:val="Header"/>
    </w:pPr>
    <w:r>
      <w:fldChar w:fldCharType="begin"/>
    </w:r>
    <w:r>
      <w:instrText xml:space="preserve"> TITLE  \* MERGEFORMAT </w:instrText>
    </w:r>
    <w:r>
      <w:fldChar w:fldCharType="separate"/>
    </w:r>
    <w:r w:rsidR="00924841">
      <w:t>ECE/TRANS/WP.29/GRSG/94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4D95" w14:textId="3E2C048E" w:rsidR="00B9393E" w:rsidRPr="008365D6" w:rsidRDefault="00486145" w:rsidP="008365D6">
    <w:pPr>
      <w:pStyle w:val="Header"/>
      <w:jc w:val="right"/>
    </w:pPr>
    <w:r>
      <w:fldChar w:fldCharType="begin"/>
    </w:r>
    <w:r>
      <w:instrText xml:space="preserve"> TITLE  \* MERGEFORMAT </w:instrText>
    </w:r>
    <w:r>
      <w:fldChar w:fldCharType="separate"/>
    </w:r>
    <w:r w:rsidR="00924841">
      <w:t>ECE/TRANS/WP.29/GRSG/94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B125F61"/>
    <w:multiLevelType w:val="hybridMultilevel"/>
    <w:tmpl w:val="56DEE948"/>
    <w:lvl w:ilvl="0" w:tplc="19B82DCC">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5" w15:restartNumberingAfterBreak="0">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0" w15:restartNumberingAfterBreak="0">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3" w15:restartNumberingAfterBreak="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4" w15:restartNumberingAfterBreak="0">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15:restartNumberingAfterBreak="0">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30" w15:restartNumberingAfterBreak="0">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1" w15:restartNumberingAfterBreak="0">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2" w15:restartNumberingAfterBreak="0">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3" w15:restartNumberingAfterBreak="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8" w15:restartNumberingAfterBreak="0">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6"/>
  </w:num>
  <w:num w:numId="2">
    <w:abstractNumId w:val="26"/>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6"/>
  </w:num>
  <w:num w:numId="16">
    <w:abstractNumId w:val="13"/>
  </w:num>
  <w:num w:numId="17">
    <w:abstractNumId w:val="34"/>
  </w:num>
  <w:num w:numId="18">
    <w:abstractNumId w:val="18"/>
  </w:num>
  <w:num w:numId="19">
    <w:abstractNumId w:val="11"/>
  </w:num>
  <w:num w:numId="20">
    <w:abstractNumId w:val="35"/>
  </w:num>
  <w:num w:numId="21">
    <w:abstractNumId w:val="40"/>
  </w:num>
  <w:num w:numId="22">
    <w:abstractNumId w:val="20"/>
  </w:num>
  <w:num w:numId="23">
    <w:abstractNumId w:val="17"/>
  </w:num>
  <w:num w:numId="24">
    <w:abstractNumId w:val="41"/>
  </w:num>
  <w:num w:numId="25">
    <w:abstractNumId w:val="15"/>
  </w:num>
  <w:num w:numId="26">
    <w:abstractNumId w:val="32"/>
  </w:num>
  <w:num w:numId="27">
    <w:abstractNumId w:val="10"/>
  </w:num>
  <w:num w:numId="28">
    <w:abstractNumId w:val="25"/>
  </w:num>
  <w:num w:numId="29">
    <w:abstractNumId w:val="28"/>
  </w:num>
  <w:num w:numId="30">
    <w:abstractNumId w:val="37"/>
  </w:num>
  <w:num w:numId="31">
    <w:abstractNumId w:val="16"/>
  </w:num>
  <w:num w:numId="32">
    <w:abstractNumId w:val="31"/>
  </w:num>
  <w:num w:numId="33">
    <w:abstractNumId w:val="22"/>
  </w:num>
  <w:num w:numId="34">
    <w:abstractNumId w:val="14"/>
  </w:num>
  <w:num w:numId="35">
    <w:abstractNumId w:val="39"/>
  </w:num>
  <w:num w:numId="36">
    <w:abstractNumId w:val="33"/>
  </w:num>
  <w:num w:numId="37">
    <w:abstractNumId w:val="27"/>
  </w:num>
  <w:num w:numId="38">
    <w:abstractNumId w:val="21"/>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9"/>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B3"/>
    <w:rsid w:val="00007C96"/>
    <w:rsid w:val="00017F94"/>
    <w:rsid w:val="00023842"/>
    <w:rsid w:val="000334F9"/>
    <w:rsid w:val="00045FEB"/>
    <w:rsid w:val="00054FB3"/>
    <w:rsid w:val="0007796D"/>
    <w:rsid w:val="000B1885"/>
    <w:rsid w:val="000B7790"/>
    <w:rsid w:val="00111F2F"/>
    <w:rsid w:val="0014365E"/>
    <w:rsid w:val="00143C66"/>
    <w:rsid w:val="0014714E"/>
    <w:rsid w:val="00176178"/>
    <w:rsid w:val="001A2ADE"/>
    <w:rsid w:val="001F525A"/>
    <w:rsid w:val="00223272"/>
    <w:rsid w:val="0024779E"/>
    <w:rsid w:val="00257168"/>
    <w:rsid w:val="002744B8"/>
    <w:rsid w:val="002832AC"/>
    <w:rsid w:val="002C2489"/>
    <w:rsid w:val="002D7C93"/>
    <w:rsid w:val="00305801"/>
    <w:rsid w:val="00311807"/>
    <w:rsid w:val="003916DE"/>
    <w:rsid w:val="003E0C43"/>
    <w:rsid w:val="00421996"/>
    <w:rsid w:val="00441C3B"/>
    <w:rsid w:val="00446FE5"/>
    <w:rsid w:val="00452396"/>
    <w:rsid w:val="004837D8"/>
    <w:rsid w:val="00486145"/>
    <w:rsid w:val="00492DF1"/>
    <w:rsid w:val="004A0890"/>
    <w:rsid w:val="004B2F5D"/>
    <w:rsid w:val="004D6F47"/>
    <w:rsid w:val="004E2EED"/>
    <w:rsid w:val="004E468C"/>
    <w:rsid w:val="004F213E"/>
    <w:rsid w:val="005505B7"/>
    <w:rsid w:val="00573BE5"/>
    <w:rsid w:val="00586ED3"/>
    <w:rsid w:val="00596AA9"/>
    <w:rsid w:val="0071601D"/>
    <w:rsid w:val="007570B3"/>
    <w:rsid w:val="007972EE"/>
    <w:rsid w:val="007A62E6"/>
    <w:rsid w:val="007F20FA"/>
    <w:rsid w:val="0080684C"/>
    <w:rsid w:val="008365D6"/>
    <w:rsid w:val="00871C75"/>
    <w:rsid w:val="008776DC"/>
    <w:rsid w:val="008D5B60"/>
    <w:rsid w:val="008F395D"/>
    <w:rsid w:val="00924841"/>
    <w:rsid w:val="009446C0"/>
    <w:rsid w:val="009705C8"/>
    <w:rsid w:val="009C1CF4"/>
    <w:rsid w:val="009F6B74"/>
    <w:rsid w:val="00A3029F"/>
    <w:rsid w:val="00A30353"/>
    <w:rsid w:val="00A3314E"/>
    <w:rsid w:val="00AC3823"/>
    <w:rsid w:val="00AE323C"/>
    <w:rsid w:val="00AF0CB5"/>
    <w:rsid w:val="00B00181"/>
    <w:rsid w:val="00B00B0D"/>
    <w:rsid w:val="00B45F2E"/>
    <w:rsid w:val="00B765F7"/>
    <w:rsid w:val="00B9393E"/>
    <w:rsid w:val="00BA020F"/>
    <w:rsid w:val="00BA0CA9"/>
    <w:rsid w:val="00C02897"/>
    <w:rsid w:val="00C66C50"/>
    <w:rsid w:val="00C97039"/>
    <w:rsid w:val="00D3439C"/>
    <w:rsid w:val="00D5525A"/>
    <w:rsid w:val="00D93E40"/>
    <w:rsid w:val="00DB1831"/>
    <w:rsid w:val="00DC0724"/>
    <w:rsid w:val="00DC7E1F"/>
    <w:rsid w:val="00DD3BFD"/>
    <w:rsid w:val="00DD61DD"/>
    <w:rsid w:val="00DF6678"/>
    <w:rsid w:val="00E0299A"/>
    <w:rsid w:val="00E11FF7"/>
    <w:rsid w:val="00E42214"/>
    <w:rsid w:val="00E839A2"/>
    <w:rsid w:val="00E85C74"/>
    <w:rsid w:val="00EA6547"/>
    <w:rsid w:val="00EF2E22"/>
    <w:rsid w:val="00F1285D"/>
    <w:rsid w:val="00F35BAF"/>
    <w:rsid w:val="00F660DF"/>
    <w:rsid w:val="00F94664"/>
    <w:rsid w:val="00F9573C"/>
    <w:rsid w:val="00F95C08"/>
    <w:rsid w:val="00FA69E7"/>
    <w:rsid w:val="00FD7066"/>
    <w:rsid w:val="00FE05B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CF7A49"/>
  <w15:docId w15:val="{B047CF2B-1F56-4650-A4CC-62AA2A7E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qFormat/>
    <w:rsid w:val="00E0299A"/>
    <w:pPr>
      <w:spacing w:line="240" w:lineRule="auto"/>
    </w:pPr>
    <w:rPr>
      <w:sz w:val="16"/>
    </w:rPr>
  </w:style>
  <w:style w:type="character" w:customStyle="1" w:styleId="FooterChar">
    <w:name w:val="Footer Char"/>
    <w:aliases w:val="3_G Char"/>
    <w:basedOn w:val="DefaultParagraphFont"/>
    <w:link w:val="Footer"/>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8365D6"/>
    <w:rPr>
      <w:rFonts w:ascii="Times New Roman" w:eastAsiaTheme="minorHAnsi" w:hAnsi="Times New Roman" w:cs="Times New Roman"/>
      <w:sz w:val="20"/>
      <w:szCs w:val="20"/>
      <w:lang w:eastAsia="en-US"/>
    </w:rPr>
  </w:style>
  <w:style w:type="paragraph" w:styleId="PlainText">
    <w:name w:val="Plain Text"/>
    <w:basedOn w:val="Normal"/>
    <w:link w:val="PlainTextChar"/>
    <w:semiHidden/>
    <w:rsid w:val="008365D6"/>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8365D6"/>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8365D6"/>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8365D6"/>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8365D6"/>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8365D6"/>
    <w:rPr>
      <w:rFonts w:ascii="Times New Roman" w:hAnsi="Times New Roman" w:cs="Times New Roman"/>
      <w:sz w:val="20"/>
      <w:szCs w:val="20"/>
      <w:lang w:val="en-GB" w:eastAsia="en-US"/>
    </w:rPr>
  </w:style>
  <w:style w:type="paragraph" w:styleId="BlockText">
    <w:name w:val="Block Text"/>
    <w:basedOn w:val="Normal"/>
    <w:semiHidden/>
    <w:rsid w:val="008365D6"/>
    <w:pPr>
      <w:kinsoku/>
      <w:overflowPunct/>
      <w:autoSpaceDE/>
      <w:autoSpaceDN/>
      <w:adjustRightInd/>
      <w:snapToGrid/>
      <w:ind w:left="1440" w:right="1440"/>
    </w:pPr>
    <w:rPr>
      <w:rFonts w:eastAsia="Times New Roman"/>
      <w:lang w:val="en-GB"/>
    </w:rPr>
  </w:style>
  <w:style w:type="character" w:styleId="CommentReference">
    <w:name w:val="annotation reference"/>
    <w:semiHidden/>
    <w:rsid w:val="008365D6"/>
    <w:rPr>
      <w:sz w:val="6"/>
    </w:rPr>
  </w:style>
  <w:style w:type="paragraph" w:styleId="CommentText">
    <w:name w:val="annotation text"/>
    <w:basedOn w:val="Normal"/>
    <w:link w:val="CommentTextChar"/>
    <w:semiHidden/>
    <w:rsid w:val="008365D6"/>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semiHidden/>
    <w:rsid w:val="008365D6"/>
    <w:rPr>
      <w:rFonts w:ascii="Times New Roman" w:hAnsi="Times New Roman" w:cs="Times New Roman"/>
      <w:sz w:val="20"/>
      <w:szCs w:val="20"/>
      <w:lang w:val="en-GB" w:eastAsia="en-US"/>
    </w:rPr>
  </w:style>
  <w:style w:type="character" w:styleId="LineNumber">
    <w:name w:val="line number"/>
    <w:semiHidden/>
    <w:rsid w:val="008365D6"/>
    <w:rPr>
      <w:sz w:val="14"/>
    </w:rPr>
  </w:style>
  <w:style w:type="numbering" w:styleId="111111">
    <w:name w:val="Outline List 2"/>
    <w:basedOn w:val="NoList"/>
    <w:semiHidden/>
    <w:rsid w:val="008365D6"/>
    <w:pPr>
      <w:numPr>
        <w:numId w:val="17"/>
      </w:numPr>
    </w:pPr>
  </w:style>
  <w:style w:type="numbering" w:styleId="1ai">
    <w:name w:val="Outline List 1"/>
    <w:basedOn w:val="NoList"/>
    <w:semiHidden/>
    <w:rsid w:val="008365D6"/>
    <w:pPr>
      <w:numPr>
        <w:numId w:val="18"/>
      </w:numPr>
    </w:pPr>
  </w:style>
  <w:style w:type="numbering" w:styleId="ArticleSection">
    <w:name w:val="Outline List 3"/>
    <w:basedOn w:val="NoList"/>
    <w:semiHidden/>
    <w:rsid w:val="008365D6"/>
    <w:pPr>
      <w:numPr>
        <w:numId w:val="19"/>
      </w:numPr>
    </w:pPr>
  </w:style>
  <w:style w:type="paragraph" w:styleId="BodyText2">
    <w:name w:val="Body Text 2"/>
    <w:basedOn w:val="Normal"/>
    <w:link w:val="BodyText2Char"/>
    <w:semiHidden/>
    <w:rsid w:val="008365D6"/>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8365D6"/>
    <w:rPr>
      <w:rFonts w:ascii="Times New Roman" w:hAnsi="Times New Roman" w:cs="Times New Roman"/>
      <w:sz w:val="20"/>
      <w:szCs w:val="20"/>
      <w:lang w:val="en-GB" w:eastAsia="en-US"/>
    </w:rPr>
  </w:style>
  <w:style w:type="paragraph" w:styleId="BodyText3">
    <w:name w:val="Body Text 3"/>
    <w:basedOn w:val="Normal"/>
    <w:link w:val="BodyText3Char"/>
    <w:semiHidden/>
    <w:rsid w:val="008365D6"/>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8365D6"/>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8365D6"/>
    <w:pPr>
      <w:spacing w:after="120"/>
      <w:ind w:firstLine="210"/>
    </w:pPr>
  </w:style>
  <w:style w:type="character" w:customStyle="1" w:styleId="BodyTextFirstIndentChar">
    <w:name w:val="Body Text First Indent Char"/>
    <w:basedOn w:val="BodyTextChar"/>
    <w:link w:val="BodyTextFirstIndent"/>
    <w:semiHidden/>
    <w:rsid w:val="008365D6"/>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8365D6"/>
    <w:pPr>
      <w:ind w:firstLine="210"/>
    </w:pPr>
  </w:style>
  <w:style w:type="character" w:customStyle="1" w:styleId="BodyTextFirstIndent2Char">
    <w:name w:val="Body Text First Indent 2 Char"/>
    <w:basedOn w:val="BodyTextIndentChar"/>
    <w:link w:val="BodyTextFirstIndent2"/>
    <w:semiHidden/>
    <w:rsid w:val="008365D6"/>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8365D6"/>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8365D6"/>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8365D6"/>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8365D6"/>
    <w:rPr>
      <w:rFonts w:ascii="Times New Roman" w:hAnsi="Times New Roman" w:cs="Times New Roman"/>
      <w:sz w:val="16"/>
      <w:szCs w:val="16"/>
      <w:lang w:val="en-GB" w:eastAsia="en-US"/>
    </w:rPr>
  </w:style>
  <w:style w:type="paragraph" w:styleId="Closing">
    <w:name w:val="Closing"/>
    <w:basedOn w:val="Normal"/>
    <w:link w:val="ClosingChar"/>
    <w:semiHidden/>
    <w:rsid w:val="008365D6"/>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8365D6"/>
    <w:rPr>
      <w:rFonts w:ascii="Times New Roman" w:hAnsi="Times New Roman" w:cs="Times New Roman"/>
      <w:sz w:val="20"/>
      <w:szCs w:val="20"/>
      <w:lang w:val="en-GB" w:eastAsia="en-US"/>
    </w:rPr>
  </w:style>
  <w:style w:type="paragraph" w:styleId="Date">
    <w:name w:val="Date"/>
    <w:basedOn w:val="Normal"/>
    <w:next w:val="Normal"/>
    <w:link w:val="DateChar"/>
    <w:semiHidden/>
    <w:rsid w:val="008365D6"/>
    <w:pPr>
      <w:kinsoku/>
      <w:overflowPunct/>
      <w:autoSpaceDE/>
      <w:autoSpaceDN/>
      <w:adjustRightInd/>
      <w:snapToGrid/>
    </w:pPr>
    <w:rPr>
      <w:rFonts w:eastAsia="Times New Roman"/>
      <w:lang w:val="en-GB"/>
    </w:rPr>
  </w:style>
  <w:style w:type="character" w:customStyle="1" w:styleId="DateChar">
    <w:name w:val="Date Char"/>
    <w:basedOn w:val="DefaultParagraphFont"/>
    <w:link w:val="Date"/>
    <w:semiHidden/>
    <w:rsid w:val="008365D6"/>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8365D6"/>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8365D6"/>
    <w:rPr>
      <w:rFonts w:ascii="Times New Roman" w:hAnsi="Times New Roman" w:cs="Times New Roman"/>
      <w:sz w:val="20"/>
      <w:szCs w:val="20"/>
      <w:lang w:val="en-GB" w:eastAsia="en-US"/>
    </w:rPr>
  </w:style>
  <w:style w:type="character" w:styleId="Emphasis">
    <w:name w:val="Emphasis"/>
    <w:qFormat/>
    <w:rsid w:val="008365D6"/>
    <w:rPr>
      <w:i/>
      <w:iCs/>
    </w:rPr>
  </w:style>
  <w:style w:type="paragraph" w:styleId="EnvelopeReturn">
    <w:name w:val="envelope return"/>
    <w:basedOn w:val="Normal"/>
    <w:semiHidden/>
    <w:rsid w:val="008365D6"/>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8365D6"/>
  </w:style>
  <w:style w:type="paragraph" w:styleId="HTMLAddress">
    <w:name w:val="HTML Address"/>
    <w:basedOn w:val="Normal"/>
    <w:link w:val="HTMLAddressChar"/>
    <w:semiHidden/>
    <w:rsid w:val="008365D6"/>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8365D6"/>
    <w:rPr>
      <w:rFonts w:ascii="Times New Roman" w:hAnsi="Times New Roman" w:cs="Times New Roman"/>
      <w:i/>
      <w:iCs/>
      <w:sz w:val="20"/>
      <w:szCs w:val="20"/>
      <w:lang w:val="en-GB" w:eastAsia="en-US"/>
    </w:rPr>
  </w:style>
  <w:style w:type="character" w:styleId="HTMLCite">
    <w:name w:val="HTML Cite"/>
    <w:semiHidden/>
    <w:rsid w:val="008365D6"/>
    <w:rPr>
      <w:i/>
      <w:iCs/>
    </w:rPr>
  </w:style>
  <w:style w:type="character" w:styleId="HTMLCode">
    <w:name w:val="HTML Code"/>
    <w:semiHidden/>
    <w:rsid w:val="008365D6"/>
    <w:rPr>
      <w:rFonts w:ascii="Courier New" w:hAnsi="Courier New" w:cs="Courier New"/>
      <w:sz w:val="20"/>
      <w:szCs w:val="20"/>
    </w:rPr>
  </w:style>
  <w:style w:type="character" w:styleId="HTMLDefinition">
    <w:name w:val="HTML Definition"/>
    <w:semiHidden/>
    <w:rsid w:val="008365D6"/>
    <w:rPr>
      <w:i/>
      <w:iCs/>
    </w:rPr>
  </w:style>
  <w:style w:type="character" w:styleId="HTMLKeyboard">
    <w:name w:val="HTML Keyboard"/>
    <w:semiHidden/>
    <w:rsid w:val="008365D6"/>
    <w:rPr>
      <w:rFonts w:ascii="Courier New" w:hAnsi="Courier New" w:cs="Courier New"/>
      <w:sz w:val="20"/>
      <w:szCs w:val="20"/>
    </w:rPr>
  </w:style>
  <w:style w:type="paragraph" w:styleId="HTMLPreformatted">
    <w:name w:val="HTML Preformatted"/>
    <w:basedOn w:val="Normal"/>
    <w:link w:val="HTMLPreformattedChar"/>
    <w:semiHidden/>
    <w:rsid w:val="008365D6"/>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8365D6"/>
    <w:rPr>
      <w:rFonts w:ascii="Courier New" w:hAnsi="Courier New" w:cs="Courier New"/>
      <w:sz w:val="20"/>
      <w:szCs w:val="20"/>
      <w:lang w:val="en-GB" w:eastAsia="en-US"/>
    </w:rPr>
  </w:style>
  <w:style w:type="character" w:styleId="HTMLSample">
    <w:name w:val="HTML Sample"/>
    <w:semiHidden/>
    <w:rsid w:val="008365D6"/>
    <w:rPr>
      <w:rFonts w:ascii="Courier New" w:hAnsi="Courier New" w:cs="Courier New"/>
    </w:rPr>
  </w:style>
  <w:style w:type="character" w:styleId="HTMLTypewriter">
    <w:name w:val="HTML Typewriter"/>
    <w:semiHidden/>
    <w:rsid w:val="008365D6"/>
    <w:rPr>
      <w:rFonts w:ascii="Courier New" w:hAnsi="Courier New" w:cs="Courier New"/>
      <w:sz w:val="20"/>
      <w:szCs w:val="20"/>
    </w:rPr>
  </w:style>
  <w:style w:type="character" w:styleId="HTMLVariable">
    <w:name w:val="HTML Variable"/>
    <w:semiHidden/>
    <w:rsid w:val="008365D6"/>
    <w:rPr>
      <w:i/>
      <w:iCs/>
    </w:rPr>
  </w:style>
  <w:style w:type="paragraph" w:styleId="List">
    <w:name w:val="List"/>
    <w:basedOn w:val="Normal"/>
    <w:semiHidden/>
    <w:rsid w:val="008365D6"/>
    <w:pPr>
      <w:kinsoku/>
      <w:overflowPunct/>
      <w:autoSpaceDE/>
      <w:autoSpaceDN/>
      <w:adjustRightInd/>
      <w:snapToGrid/>
      <w:ind w:left="283" w:hanging="283"/>
    </w:pPr>
    <w:rPr>
      <w:rFonts w:eastAsia="Times New Roman"/>
      <w:lang w:val="en-GB"/>
    </w:rPr>
  </w:style>
  <w:style w:type="paragraph" w:styleId="List2">
    <w:name w:val="List 2"/>
    <w:basedOn w:val="Normal"/>
    <w:semiHidden/>
    <w:rsid w:val="008365D6"/>
    <w:pPr>
      <w:kinsoku/>
      <w:overflowPunct/>
      <w:autoSpaceDE/>
      <w:autoSpaceDN/>
      <w:adjustRightInd/>
      <w:snapToGrid/>
      <w:ind w:left="566" w:hanging="283"/>
    </w:pPr>
    <w:rPr>
      <w:rFonts w:eastAsia="Times New Roman"/>
      <w:lang w:val="en-GB"/>
    </w:rPr>
  </w:style>
  <w:style w:type="paragraph" w:styleId="List3">
    <w:name w:val="List 3"/>
    <w:basedOn w:val="Normal"/>
    <w:semiHidden/>
    <w:rsid w:val="008365D6"/>
    <w:pPr>
      <w:kinsoku/>
      <w:overflowPunct/>
      <w:autoSpaceDE/>
      <w:autoSpaceDN/>
      <w:adjustRightInd/>
      <w:snapToGrid/>
      <w:ind w:left="849" w:hanging="283"/>
    </w:pPr>
    <w:rPr>
      <w:rFonts w:eastAsia="Times New Roman"/>
      <w:lang w:val="en-GB"/>
    </w:rPr>
  </w:style>
  <w:style w:type="paragraph" w:styleId="List4">
    <w:name w:val="List 4"/>
    <w:basedOn w:val="Normal"/>
    <w:semiHidden/>
    <w:rsid w:val="008365D6"/>
    <w:pPr>
      <w:kinsoku/>
      <w:overflowPunct/>
      <w:autoSpaceDE/>
      <w:autoSpaceDN/>
      <w:adjustRightInd/>
      <w:snapToGrid/>
      <w:ind w:left="1132" w:hanging="283"/>
    </w:pPr>
    <w:rPr>
      <w:rFonts w:eastAsia="Times New Roman"/>
      <w:lang w:val="en-GB"/>
    </w:rPr>
  </w:style>
  <w:style w:type="paragraph" w:styleId="List5">
    <w:name w:val="List 5"/>
    <w:basedOn w:val="Normal"/>
    <w:semiHidden/>
    <w:rsid w:val="008365D6"/>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8365D6"/>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8365D6"/>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8365D6"/>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8365D6"/>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8365D6"/>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8365D6"/>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8365D6"/>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8365D6"/>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8365D6"/>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8365D6"/>
    <w:pPr>
      <w:kinsoku/>
      <w:overflowPunct/>
      <w:autoSpaceDE/>
      <w:autoSpaceDN/>
      <w:adjustRightInd/>
      <w:snapToGrid/>
      <w:spacing w:after="120"/>
      <w:ind w:left="1415"/>
    </w:pPr>
    <w:rPr>
      <w:rFonts w:eastAsia="Times New Roman"/>
      <w:lang w:val="en-GB"/>
    </w:rPr>
  </w:style>
  <w:style w:type="paragraph" w:styleId="ListNumber">
    <w:name w:val="List Number"/>
    <w:basedOn w:val="Normal"/>
    <w:semiHidden/>
    <w:rsid w:val="008365D6"/>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8365D6"/>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8365D6"/>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8365D6"/>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8365D6"/>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8365D6"/>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8365D6"/>
    <w:rPr>
      <w:rFonts w:ascii="Arial" w:hAnsi="Arial" w:cs="Arial"/>
      <w:sz w:val="24"/>
      <w:szCs w:val="24"/>
      <w:shd w:val="pct20" w:color="auto" w:fill="auto"/>
      <w:lang w:val="en-GB" w:eastAsia="en-US"/>
    </w:rPr>
  </w:style>
  <w:style w:type="paragraph" w:styleId="NormalWeb">
    <w:name w:val="Normal (Web)"/>
    <w:basedOn w:val="Normal"/>
    <w:semiHidden/>
    <w:rsid w:val="008365D6"/>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8365D6"/>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8365D6"/>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8365D6"/>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8365D6"/>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semiHidden/>
    <w:rsid w:val="008365D6"/>
    <w:rPr>
      <w:rFonts w:ascii="Times New Roman" w:hAnsi="Times New Roman" w:cs="Times New Roman"/>
      <w:sz w:val="20"/>
      <w:szCs w:val="20"/>
      <w:lang w:val="en-GB" w:eastAsia="en-US"/>
    </w:rPr>
  </w:style>
  <w:style w:type="paragraph" w:styleId="Signature">
    <w:name w:val="Signature"/>
    <w:basedOn w:val="Normal"/>
    <w:link w:val="SignatureChar"/>
    <w:semiHidden/>
    <w:rsid w:val="008365D6"/>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8365D6"/>
    <w:rPr>
      <w:rFonts w:ascii="Times New Roman" w:hAnsi="Times New Roman" w:cs="Times New Roman"/>
      <w:sz w:val="20"/>
      <w:szCs w:val="20"/>
      <w:lang w:val="en-GB" w:eastAsia="en-US"/>
    </w:rPr>
  </w:style>
  <w:style w:type="character" w:styleId="Strong">
    <w:name w:val="Strong"/>
    <w:uiPriority w:val="22"/>
    <w:qFormat/>
    <w:rsid w:val="008365D6"/>
    <w:rPr>
      <w:b/>
      <w:bCs/>
    </w:rPr>
  </w:style>
  <w:style w:type="paragraph" w:styleId="Subtitle">
    <w:name w:val="Subtitle"/>
    <w:basedOn w:val="Normal"/>
    <w:link w:val="SubtitleChar"/>
    <w:qFormat/>
    <w:rsid w:val="008365D6"/>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8365D6"/>
    <w:rPr>
      <w:rFonts w:ascii="Arial" w:hAnsi="Arial" w:cs="Arial"/>
      <w:sz w:val="24"/>
      <w:szCs w:val="24"/>
      <w:lang w:val="en-GB" w:eastAsia="en-US"/>
    </w:rPr>
  </w:style>
  <w:style w:type="table" w:styleId="Table3Deffects1">
    <w:name w:val="Table 3D effects 1"/>
    <w:basedOn w:val="TableNormal"/>
    <w:semiHidden/>
    <w:rsid w:val="008365D6"/>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365D6"/>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365D6"/>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365D6"/>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365D6"/>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365D6"/>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365D6"/>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365D6"/>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365D6"/>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365D6"/>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365D6"/>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365D6"/>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365D6"/>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365D6"/>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365D6"/>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365D6"/>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365D6"/>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365D6"/>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365D6"/>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365D6"/>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365D6"/>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365D6"/>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365D6"/>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65D6"/>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8365D6"/>
    <w:rPr>
      <w:rFonts w:ascii="Arial" w:hAnsi="Arial" w:cs="Arial"/>
      <w:b/>
      <w:bCs/>
      <w:kern w:val="28"/>
      <w:sz w:val="32"/>
      <w:szCs w:val="32"/>
      <w:lang w:val="en-GB" w:eastAsia="en-US"/>
    </w:rPr>
  </w:style>
  <w:style w:type="paragraph" w:styleId="EnvelopeAddress">
    <w:name w:val="envelope address"/>
    <w:basedOn w:val="Normal"/>
    <w:semiHidden/>
    <w:rsid w:val="008365D6"/>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Document1">
    <w:name w:val="Document 1"/>
    <w:rsid w:val="008365D6"/>
    <w:pPr>
      <w:keepNext/>
      <w:keepLines/>
      <w:widowControl w:val="0"/>
      <w:tabs>
        <w:tab w:val="left" w:pos="-720"/>
      </w:tabs>
      <w:suppressAutoHyphens/>
      <w:spacing w:after="0" w:line="240" w:lineRule="auto"/>
    </w:pPr>
    <w:rPr>
      <w:rFonts w:ascii="Courier" w:hAnsi="Courier" w:cs="Times New Roman"/>
      <w:snapToGrid w:val="0"/>
      <w:sz w:val="20"/>
      <w:szCs w:val="20"/>
      <w:lang w:val="en-US" w:eastAsia="en-US"/>
    </w:rPr>
  </w:style>
  <w:style w:type="paragraph" w:customStyle="1" w:styleId="NormalCentered">
    <w:name w:val="Normal Centered"/>
    <w:basedOn w:val="Normal"/>
    <w:rsid w:val="008365D6"/>
    <w:pPr>
      <w:suppressAutoHyphens w:val="0"/>
      <w:kinsoku/>
      <w:overflowPunct/>
      <w:autoSpaceDE/>
      <w:autoSpaceDN/>
      <w:adjustRightInd/>
      <w:snapToGrid/>
      <w:spacing w:before="120" w:after="120" w:line="240" w:lineRule="auto"/>
      <w:jc w:val="center"/>
    </w:pPr>
    <w:rPr>
      <w:rFonts w:eastAsia="Times New Roman"/>
      <w:sz w:val="24"/>
      <w:lang w:val="en-GB" w:eastAsia="ja-JP"/>
    </w:rPr>
  </w:style>
  <w:style w:type="character" w:customStyle="1" w:styleId="H1GChar">
    <w:name w:val="_ H_1_G Char"/>
    <w:link w:val="H1G"/>
    <w:rsid w:val="008365D6"/>
    <w:rPr>
      <w:rFonts w:ascii="Times New Roman" w:eastAsiaTheme="minorHAnsi" w:hAnsi="Times New Roman" w:cs="Times New Roman"/>
      <w:b/>
      <w:sz w:val="24"/>
      <w:szCs w:val="20"/>
      <w:lang w:eastAsia="en-US"/>
    </w:rPr>
  </w:style>
  <w:style w:type="character" w:customStyle="1" w:styleId="HChGChar">
    <w:name w:val="_ H _Ch_G Char"/>
    <w:link w:val="HChG"/>
    <w:uiPriority w:val="99"/>
    <w:rsid w:val="008365D6"/>
    <w:rPr>
      <w:rFonts w:ascii="Times New Roman" w:eastAsiaTheme="minorHAnsi" w:hAnsi="Times New Roman" w:cs="Times New Roman"/>
      <w:b/>
      <w:sz w:val="28"/>
      <w:szCs w:val="20"/>
      <w:lang w:eastAsia="en-US"/>
    </w:rPr>
  </w:style>
  <w:style w:type="paragraph" w:customStyle="1" w:styleId="para">
    <w:name w:val="para"/>
    <w:basedOn w:val="SingleTxtG"/>
    <w:link w:val="paraChar"/>
    <w:qFormat/>
    <w:rsid w:val="008365D6"/>
    <w:pPr>
      <w:kinsoku/>
      <w:overflowPunct/>
      <w:autoSpaceDE/>
      <w:autoSpaceDN/>
      <w:adjustRightInd/>
      <w:snapToGrid/>
      <w:ind w:left="2268" w:hanging="1134"/>
    </w:pPr>
    <w:rPr>
      <w:rFonts w:eastAsia="Times New Roman"/>
      <w:lang w:val="en-GB"/>
    </w:rPr>
  </w:style>
  <w:style w:type="paragraph" w:customStyle="1" w:styleId="TxBrc4">
    <w:name w:val="TxBr_c4"/>
    <w:basedOn w:val="Normal"/>
    <w:rsid w:val="008365D6"/>
    <w:pPr>
      <w:suppressAutoHyphens w:val="0"/>
      <w:kinsoku/>
      <w:overflowPunct/>
      <w:snapToGrid/>
      <w:jc w:val="center"/>
    </w:pPr>
    <w:rPr>
      <w:rFonts w:eastAsia="Times New Roman"/>
      <w:szCs w:val="24"/>
      <w:lang w:val="en-GB" w:eastAsia="de-DE"/>
    </w:rPr>
  </w:style>
  <w:style w:type="character" w:customStyle="1" w:styleId="longtext">
    <w:name w:val="long_text"/>
    <w:basedOn w:val="DefaultParagraphFont"/>
    <w:rsid w:val="008365D6"/>
  </w:style>
  <w:style w:type="character" w:customStyle="1" w:styleId="5GCharChar">
    <w:name w:val="5_G Char Char"/>
    <w:semiHidden/>
    <w:locked/>
    <w:rsid w:val="008365D6"/>
    <w:rPr>
      <w:sz w:val="24"/>
      <w:lang w:val="en-GB" w:eastAsia="en-US" w:bidi="ar-SA"/>
    </w:rPr>
  </w:style>
  <w:style w:type="character" w:customStyle="1" w:styleId="WW-">
    <w:name w:val="WW-Основной шрифт абзаца"/>
    <w:rsid w:val="008365D6"/>
  </w:style>
  <w:style w:type="paragraph" w:customStyle="1" w:styleId="Para0">
    <w:name w:val="Para"/>
    <w:basedOn w:val="Normal"/>
    <w:qFormat/>
    <w:rsid w:val="008365D6"/>
    <w:pPr>
      <w:widowControl w:val="0"/>
      <w:suppressAutoHyphens w:val="0"/>
      <w:kinsoku/>
      <w:overflowPunct/>
      <w:autoSpaceDE/>
      <w:autoSpaceDN/>
      <w:adjustRightInd/>
      <w:snapToGrid/>
      <w:spacing w:after="120" w:line="240" w:lineRule="exact"/>
      <w:ind w:left="2268" w:right="1134" w:hanging="1134"/>
      <w:jc w:val="both"/>
    </w:pPr>
    <w:rPr>
      <w:rFonts w:eastAsia="Times New Roman"/>
      <w:lang w:val="en-US"/>
    </w:rPr>
  </w:style>
  <w:style w:type="paragraph" w:customStyle="1" w:styleId="Default">
    <w:name w:val="Default"/>
    <w:rsid w:val="008365D6"/>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character" w:customStyle="1" w:styleId="SingleTxtGChar1">
    <w:name w:val="_ Single Txt_G Char1"/>
    <w:uiPriority w:val="99"/>
    <w:locked/>
    <w:rsid w:val="008365D6"/>
    <w:rPr>
      <w:lang w:val="en-GB"/>
    </w:rPr>
  </w:style>
  <w:style w:type="character" w:customStyle="1" w:styleId="paraChar">
    <w:name w:val="para Char"/>
    <w:link w:val="para"/>
    <w:rsid w:val="008365D6"/>
    <w:rPr>
      <w:rFonts w:ascii="Times New Roman" w:hAnsi="Times New Roman" w:cs="Times New Roman"/>
      <w:sz w:val="20"/>
      <w:szCs w:val="20"/>
      <w:lang w:val="en-GB" w:eastAsia="en-US"/>
    </w:rPr>
  </w:style>
  <w:style w:type="paragraph" w:styleId="ListParagraph">
    <w:name w:val="List Paragraph"/>
    <w:basedOn w:val="Normal"/>
    <w:uiPriority w:val="34"/>
    <w:qFormat/>
    <w:rsid w:val="008365D6"/>
    <w:pPr>
      <w:kinsoku/>
      <w:overflowPunct/>
      <w:autoSpaceDE/>
      <w:autoSpaceDN/>
      <w:adjustRightInd/>
      <w:snapToGrid/>
      <w:ind w:left="720"/>
      <w:contextualSpacing/>
    </w:pPr>
    <w:rPr>
      <w:rFonts w:eastAsia="Times New Roman"/>
    </w:rPr>
  </w:style>
  <w:style w:type="paragraph" w:styleId="NoSpacing">
    <w:name w:val="No Spacing"/>
    <w:uiPriority w:val="1"/>
    <w:qFormat/>
    <w:rsid w:val="008365D6"/>
    <w:pPr>
      <w:spacing w:after="0" w:line="240" w:lineRule="auto"/>
    </w:pPr>
    <w:rPr>
      <w:rFonts w:ascii="Calibri" w:eastAsia="Calibri" w:hAnsi="Calibri" w:cs="Times New Roman"/>
      <w:lang w:val="de-DE" w:eastAsia="en-US"/>
    </w:rPr>
  </w:style>
  <w:style w:type="character" w:customStyle="1" w:styleId="s3">
    <w:name w:val="s3"/>
    <w:rsid w:val="008365D6"/>
  </w:style>
  <w:style w:type="character" w:customStyle="1" w:styleId="algo-summary">
    <w:name w:val="algo-summary"/>
    <w:rsid w:val="008365D6"/>
  </w:style>
  <w:style w:type="character" w:customStyle="1" w:styleId="highlight">
    <w:name w:val="highlight"/>
    <w:basedOn w:val="DefaultParagraphFont"/>
    <w:rsid w:val="008365D6"/>
  </w:style>
  <w:style w:type="character" w:customStyle="1" w:styleId="SingleTxtGR">
    <w:name w:val="_ Single Txt_GR Знак"/>
    <w:link w:val="SingleTxtGR0"/>
    <w:locked/>
    <w:rsid w:val="008365D6"/>
    <w:rPr>
      <w:spacing w:val="4"/>
      <w:w w:val="103"/>
      <w:kern w:val="14"/>
      <w:lang w:val="ru-RU" w:eastAsia="en-US"/>
    </w:rPr>
  </w:style>
  <w:style w:type="paragraph" w:customStyle="1" w:styleId="SingleTxtGR0">
    <w:name w:val="_ Single Txt_GR"/>
    <w:basedOn w:val="Normal"/>
    <w:link w:val="SingleTxtGR"/>
    <w:rsid w:val="008365D6"/>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asciiTheme="minorHAnsi" w:eastAsia="Times New Roman" w:hAnsiTheme="minorHAnsi" w:cstheme="minorBidi"/>
      <w:spacing w:val="4"/>
      <w:w w:val="103"/>
      <w:kern w:val="14"/>
      <w:sz w:val="22"/>
      <w:szCs w:val="22"/>
      <w:lang w:val="ru-RU"/>
    </w:rPr>
  </w:style>
  <w:style w:type="paragraph" w:customStyle="1" w:styleId="En-tte1">
    <w:name w:val="En-tête1"/>
    <w:basedOn w:val="Normal"/>
    <w:rsid w:val="008365D6"/>
    <w:pPr>
      <w:tabs>
        <w:tab w:val="center" w:pos="4677"/>
        <w:tab w:val="right" w:pos="9355"/>
      </w:tabs>
      <w:kinsoku/>
      <w:overflowPunct/>
      <w:autoSpaceDE/>
      <w:autoSpaceDN/>
      <w:adjustRightInd/>
      <w:snapToGrid/>
      <w:spacing w:line="240" w:lineRule="auto"/>
    </w:pPr>
    <w:rPr>
      <w:rFonts w:eastAsia="Times New Roman"/>
      <w:color w:val="00000A"/>
      <w:sz w:val="24"/>
      <w:szCs w:val="24"/>
      <w:lang w:val="fr-FR" w:eastAsia="ar-SA"/>
    </w:rPr>
  </w:style>
  <w:style w:type="paragraph" w:styleId="CommentSubject">
    <w:name w:val="annotation subject"/>
    <w:basedOn w:val="CommentText"/>
    <w:next w:val="CommentText"/>
    <w:link w:val="CommentSubjectChar"/>
    <w:semiHidden/>
    <w:unhideWhenUsed/>
    <w:rsid w:val="008365D6"/>
    <w:pPr>
      <w:spacing w:line="240" w:lineRule="auto"/>
    </w:pPr>
    <w:rPr>
      <w:b/>
      <w:bCs/>
    </w:rPr>
  </w:style>
  <w:style w:type="character" w:customStyle="1" w:styleId="CommentSubjectChar">
    <w:name w:val="Comment Subject Char"/>
    <w:basedOn w:val="CommentTextChar"/>
    <w:link w:val="CommentSubject"/>
    <w:semiHidden/>
    <w:rsid w:val="008365D6"/>
    <w:rPr>
      <w:rFonts w:ascii="Times New Roman" w:hAnsi="Times New Roman" w:cs="Times New Roman"/>
      <w:b/>
      <w:bCs/>
      <w:sz w:val="20"/>
      <w:szCs w:val="20"/>
      <w:lang w:val="en-GB" w:eastAsia="en-US"/>
    </w:rPr>
  </w:style>
  <w:style w:type="table" w:customStyle="1" w:styleId="TableGrid10">
    <w:name w:val="Table Grid1"/>
    <w:basedOn w:val="TableNormal"/>
    <w:next w:val="TableGrid"/>
    <w:rsid w:val="008365D6"/>
    <w:pPr>
      <w:spacing w:after="0" w:line="240" w:lineRule="atLeast"/>
    </w:pPr>
    <w:rPr>
      <w:rFonts w:eastAsiaTheme="minorHAns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8365D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23A0-F6CE-44B2-8484-9A230E83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12255</Words>
  <Characters>69855</Characters>
  <Application>Microsoft Office Word</Application>
  <DocSecurity>0</DocSecurity>
  <Lines>582</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ECE/TRANS/WP.29/GRSG/94</vt:lpstr>
      <vt:lpstr>ECE/TRANS/WP.29/GRSG/94</vt:lpstr>
    </vt:vector>
  </TitlesOfParts>
  <Company>DCM</Company>
  <LinksUpToDate>false</LinksUpToDate>
  <CharactersWithSpaces>81947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ECE/TRANS/WP.29/GRSG/94</dc:title>
  <dc:subject/>
  <dc:creator>Edith BOURION</dc:creator>
  <cp:keywords/>
  <cp:lastModifiedBy>Benedicte Boudol</cp:lastModifiedBy>
  <cp:revision>2</cp:revision>
  <cp:lastPrinted>2019-03-05T10:15:00Z</cp:lastPrinted>
  <dcterms:created xsi:type="dcterms:W3CDTF">2019-03-05T14:31:00Z</dcterms:created>
  <dcterms:modified xsi:type="dcterms:W3CDTF">2019-03-05T14:31:00Z</dcterms:modified>
</cp:coreProperties>
</file>