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D33CBE" w14:textId="77777777" w:rsidTr="00387CD4">
        <w:trPr>
          <w:trHeight w:hRule="exact" w:val="851"/>
        </w:trPr>
        <w:tc>
          <w:tcPr>
            <w:tcW w:w="142" w:type="dxa"/>
            <w:tcBorders>
              <w:bottom w:val="single" w:sz="4" w:space="0" w:color="auto"/>
            </w:tcBorders>
          </w:tcPr>
          <w:p w14:paraId="63FEA148" w14:textId="77777777" w:rsidR="002D5AAC" w:rsidRDefault="002D5AAC" w:rsidP="00070C2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A7E208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B36916" w14:textId="77777777" w:rsidR="002D5AAC" w:rsidRDefault="00070C24" w:rsidP="00070C24">
            <w:pPr>
              <w:jc w:val="right"/>
            </w:pPr>
            <w:r w:rsidRPr="00070C24">
              <w:rPr>
                <w:sz w:val="40"/>
              </w:rPr>
              <w:t>ECE</w:t>
            </w:r>
            <w:r>
              <w:t>/TRANS/WP.29/GRSG/2018/15</w:t>
            </w:r>
          </w:p>
        </w:tc>
      </w:tr>
      <w:tr w:rsidR="002D5AAC" w:rsidRPr="00ED72FF" w14:paraId="70297957" w14:textId="77777777" w:rsidTr="00387CD4">
        <w:trPr>
          <w:trHeight w:hRule="exact" w:val="2835"/>
        </w:trPr>
        <w:tc>
          <w:tcPr>
            <w:tcW w:w="1280" w:type="dxa"/>
            <w:gridSpan w:val="2"/>
            <w:tcBorders>
              <w:top w:val="single" w:sz="4" w:space="0" w:color="auto"/>
              <w:bottom w:val="single" w:sz="12" w:space="0" w:color="auto"/>
            </w:tcBorders>
          </w:tcPr>
          <w:p w14:paraId="16CE375E" w14:textId="77777777" w:rsidR="002D5AAC" w:rsidRDefault="002E5067" w:rsidP="00387CD4">
            <w:pPr>
              <w:spacing w:before="120"/>
              <w:jc w:val="center"/>
            </w:pPr>
            <w:r>
              <w:rPr>
                <w:noProof/>
                <w:lang w:eastAsia="ru-RU"/>
              </w:rPr>
              <w:drawing>
                <wp:inline distT="0" distB="0" distL="0" distR="0" wp14:anchorId="10318E44" wp14:editId="582B77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2ECBA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E4833A5" w14:textId="77777777" w:rsidR="002D5AAC" w:rsidRDefault="00070C24" w:rsidP="00387CD4">
            <w:pPr>
              <w:spacing w:before="240"/>
              <w:rPr>
                <w:lang w:val="en-US"/>
              </w:rPr>
            </w:pPr>
            <w:r>
              <w:rPr>
                <w:lang w:val="en-US"/>
              </w:rPr>
              <w:t>Distr.: General</w:t>
            </w:r>
          </w:p>
          <w:p w14:paraId="52F1F039" w14:textId="77777777" w:rsidR="00070C24" w:rsidRDefault="00070C24" w:rsidP="00070C24">
            <w:pPr>
              <w:spacing w:line="240" w:lineRule="exact"/>
              <w:rPr>
                <w:lang w:val="en-US"/>
              </w:rPr>
            </w:pPr>
            <w:r>
              <w:rPr>
                <w:lang w:val="en-US"/>
              </w:rPr>
              <w:t>20 July 2018</w:t>
            </w:r>
          </w:p>
          <w:p w14:paraId="2699942C" w14:textId="77777777" w:rsidR="00070C24" w:rsidRDefault="00070C24" w:rsidP="00070C24">
            <w:pPr>
              <w:spacing w:line="240" w:lineRule="exact"/>
              <w:rPr>
                <w:lang w:val="en-US"/>
              </w:rPr>
            </w:pPr>
            <w:r>
              <w:rPr>
                <w:lang w:val="en-US"/>
              </w:rPr>
              <w:t>Russian</w:t>
            </w:r>
          </w:p>
          <w:p w14:paraId="6CD6312D" w14:textId="77777777" w:rsidR="00070C24" w:rsidRPr="008D53B6" w:rsidRDefault="00070C24" w:rsidP="00070C24">
            <w:pPr>
              <w:spacing w:line="240" w:lineRule="exact"/>
              <w:rPr>
                <w:lang w:val="en-US"/>
              </w:rPr>
            </w:pPr>
            <w:r>
              <w:rPr>
                <w:lang w:val="en-US"/>
              </w:rPr>
              <w:t>Original: English</w:t>
            </w:r>
          </w:p>
        </w:tc>
      </w:tr>
    </w:tbl>
    <w:p w14:paraId="0220F15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4D6B43A" w14:textId="77777777" w:rsidR="003A000D" w:rsidRPr="003A000D" w:rsidRDefault="003A000D" w:rsidP="003A000D">
      <w:pPr>
        <w:spacing w:before="120" w:after="120"/>
        <w:rPr>
          <w:sz w:val="28"/>
        </w:rPr>
      </w:pPr>
      <w:r w:rsidRPr="003A000D">
        <w:rPr>
          <w:sz w:val="28"/>
        </w:rPr>
        <w:t>Комитет по внутреннему транспорту</w:t>
      </w:r>
    </w:p>
    <w:p w14:paraId="7BCCDBF4" w14:textId="77777777" w:rsidR="003A000D" w:rsidRPr="003A000D" w:rsidRDefault="003A000D" w:rsidP="003A000D">
      <w:pPr>
        <w:rPr>
          <w:b/>
          <w:sz w:val="24"/>
        </w:rPr>
      </w:pPr>
      <w:r w:rsidRPr="003A000D">
        <w:rPr>
          <w:b/>
          <w:sz w:val="24"/>
        </w:rPr>
        <w:t xml:space="preserve">Всемирный форум для согласования правил </w:t>
      </w:r>
      <w:r>
        <w:rPr>
          <w:b/>
          <w:sz w:val="24"/>
        </w:rPr>
        <w:br/>
      </w:r>
      <w:r w:rsidRPr="003A000D">
        <w:rPr>
          <w:b/>
          <w:sz w:val="24"/>
        </w:rPr>
        <w:t>в области транспортных средств</w:t>
      </w:r>
    </w:p>
    <w:p w14:paraId="7D1F0A09" w14:textId="5D9EF4E2" w:rsidR="003A000D" w:rsidRPr="003A000D" w:rsidRDefault="003A000D" w:rsidP="003A000D">
      <w:pPr>
        <w:spacing w:before="120"/>
        <w:rPr>
          <w:b/>
        </w:rPr>
      </w:pPr>
      <w:r w:rsidRPr="003A000D">
        <w:rPr>
          <w:b/>
        </w:rPr>
        <w:t xml:space="preserve">Рабочая группа по общим предписаниям, </w:t>
      </w:r>
      <w:r w:rsidR="00F64F7C">
        <w:rPr>
          <w:b/>
        </w:rPr>
        <w:br/>
      </w:r>
      <w:r w:rsidRPr="003A000D">
        <w:rPr>
          <w:b/>
        </w:rPr>
        <w:t>касающимся безопасности</w:t>
      </w:r>
    </w:p>
    <w:p w14:paraId="2AD0F8C7" w14:textId="77777777" w:rsidR="003A000D" w:rsidRPr="003A000D" w:rsidRDefault="003A000D" w:rsidP="003A000D">
      <w:pPr>
        <w:spacing w:before="120"/>
        <w:rPr>
          <w:b/>
        </w:rPr>
      </w:pPr>
      <w:r w:rsidRPr="003A000D">
        <w:rPr>
          <w:b/>
        </w:rPr>
        <w:t>115-я сессия</w:t>
      </w:r>
    </w:p>
    <w:p w14:paraId="2DE4A75C" w14:textId="77777777" w:rsidR="003A000D" w:rsidRPr="003A000D" w:rsidRDefault="003A000D" w:rsidP="003A000D">
      <w:r w:rsidRPr="003A000D">
        <w:t>Женева, 9–12 октября 2018 года</w:t>
      </w:r>
    </w:p>
    <w:p w14:paraId="37F54FAF" w14:textId="77777777" w:rsidR="003A000D" w:rsidRPr="003A000D" w:rsidRDefault="003A000D" w:rsidP="003A000D">
      <w:r w:rsidRPr="003A000D">
        <w:t>Пункт 8 предварительной повестки дня</w:t>
      </w:r>
    </w:p>
    <w:p w14:paraId="58FECF8E" w14:textId="77777777" w:rsidR="003A000D" w:rsidRPr="003A000D" w:rsidRDefault="003A000D" w:rsidP="003A000D">
      <w:pPr>
        <w:rPr>
          <w:b/>
        </w:rPr>
      </w:pPr>
      <w:r w:rsidRPr="003A000D">
        <w:rPr>
          <w:b/>
        </w:rPr>
        <w:t xml:space="preserve">Правила № 62 ООН (противоугонные системы </w:t>
      </w:r>
      <w:r>
        <w:rPr>
          <w:b/>
        </w:rPr>
        <w:br/>
      </w:r>
      <w:r w:rsidRPr="003A000D">
        <w:rPr>
          <w:b/>
        </w:rPr>
        <w:t>для мопедов/мотоциклов)</w:t>
      </w:r>
    </w:p>
    <w:p w14:paraId="426D5267" w14:textId="77777777" w:rsidR="003A000D" w:rsidRPr="003A000D" w:rsidRDefault="003A000D" w:rsidP="003A000D">
      <w:pPr>
        <w:pStyle w:val="HChGR"/>
      </w:pPr>
      <w:r w:rsidRPr="003A000D">
        <w:tab/>
      </w:r>
      <w:r w:rsidRPr="003A000D">
        <w:tab/>
      </w:r>
      <w:r>
        <w:t xml:space="preserve">Предложение по дополнению 3 к Правилам № </w:t>
      </w:r>
      <w:r w:rsidRPr="003A000D">
        <w:t>62 ООН (противоугонные системы для мопедов/мотоциклов)</w:t>
      </w:r>
    </w:p>
    <w:p w14:paraId="76FF0EC2" w14:textId="77777777" w:rsidR="003A000D" w:rsidRPr="003A000D" w:rsidRDefault="003A000D" w:rsidP="003A000D">
      <w:pPr>
        <w:pStyle w:val="H1GR"/>
        <w:rPr>
          <w:vertAlign w:val="superscript"/>
        </w:rPr>
      </w:pPr>
      <w:r>
        <w:tab/>
      </w:r>
      <w:r>
        <w:tab/>
      </w:r>
      <w:r w:rsidRPr="003A000D">
        <w:t>Представлено экспертом от Германии</w:t>
      </w:r>
      <w:r w:rsidRPr="00A875F3">
        <w:rPr>
          <w:rStyle w:val="FootnoteReference"/>
          <w:b w:val="0"/>
          <w:sz w:val="20"/>
          <w:vertAlign w:val="baseline"/>
        </w:rPr>
        <w:footnoteReference w:customMarkFollows="1" w:id="1"/>
        <w:t>*</w:t>
      </w:r>
    </w:p>
    <w:p w14:paraId="31E62469" w14:textId="5212040A" w:rsidR="003A000D" w:rsidRDefault="003A000D" w:rsidP="003A000D">
      <w:pPr>
        <w:pStyle w:val="SingleTxtGR"/>
      </w:pPr>
      <w:r>
        <w:tab/>
      </w:r>
      <w:r w:rsidRPr="003A000D">
        <w:t xml:space="preserve">Воспроизведенный ниже текст был подготовлен экспертом от Германии в целях включения положений, касающихся электромеханических и электронных устройств для активации или дезактивации приспособлений, служащих для предотвращения несанкционированного использования в соответствии с Правилами № 62 ООН. В его основу положен неофициальный документ GRSG-114-02, представленный на </w:t>
      </w:r>
      <w:r w:rsidR="003F39B8">
        <w:br/>
      </w:r>
      <w:r w:rsidRPr="003A000D">
        <w:t>114-й сессии Рабочей группы по общим предписаниям, касающимся безопасности (GRSG) (см. доклад ECE/TRANS/WP.29/GRSG/93, пункт</w:t>
      </w:r>
      <w:r w:rsidR="006F3BC4">
        <w:t xml:space="preserve"> </w:t>
      </w:r>
      <w:r w:rsidRPr="003A000D">
        <w:t>51). Изменения к нынешнему тексту Правил № 62 ООН выделены жирным шрифтом.</w:t>
      </w:r>
    </w:p>
    <w:p w14:paraId="1831E680" w14:textId="4656C955" w:rsidR="000B615C" w:rsidRDefault="000B615C">
      <w:pPr>
        <w:suppressAutoHyphens w:val="0"/>
        <w:spacing w:line="240" w:lineRule="auto"/>
        <w:rPr>
          <w:rFonts w:eastAsia="Times New Roman" w:cs="Times New Roman"/>
          <w:szCs w:val="20"/>
        </w:rPr>
      </w:pPr>
      <w:r>
        <w:br w:type="page"/>
      </w:r>
    </w:p>
    <w:p w14:paraId="650F9467" w14:textId="77777777" w:rsidR="003A000D" w:rsidRPr="000B615C" w:rsidRDefault="003A000D" w:rsidP="000B615C">
      <w:pPr>
        <w:pStyle w:val="HChGR"/>
      </w:pPr>
      <w:r>
        <w:lastRenderedPageBreak/>
        <w:tab/>
      </w:r>
      <w:r w:rsidRPr="000B615C">
        <w:t>I.</w:t>
      </w:r>
      <w:r w:rsidRPr="000B615C">
        <w:tab/>
        <w:t>Предложение</w:t>
      </w:r>
    </w:p>
    <w:p w14:paraId="21BD1F77" w14:textId="77777777" w:rsidR="003A000D" w:rsidRPr="003A000D" w:rsidRDefault="003A000D" w:rsidP="003A000D">
      <w:pPr>
        <w:pStyle w:val="SingleTxtGR"/>
      </w:pPr>
      <w:r w:rsidRPr="003A000D">
        <w:rPr>
          <w:i/>
          <w:iCs/>
        </w:rPr>
        <w:t>Включить новый пункт 5.11</w:t>
      </w:r>
      <w:r w:rsidRPr="003A000D">
        <w:t xml:space="preserve"> следующего содержания:</w:t>
      </w:r>
    </w:p>
    <w:p w14:paraId="6F6CEF38" w14:textId="391E6DF4" w:rsidR="003A000D" w:rsidRPr="003A000D" w:rsidRDefault="000B615C" w:rsidP="0096109C">
      <w:pPr>
        <w:tabs>
          <w:tab w:val="left" w:pos="2268"/>
        </w:tabs>
        <w:spacing w:before="120" w:after="120" w:line="240" w:lineRule="auto"/>
        <w:ind w:left="2268" w:right="1134" w:hanging="1134"/>
        <w:jc w:val="both"/>
        <w:rPr>
          <w:rFonts w:eastAsia="Times New Roman" w:cs="Times New Roman"/>
          <w:b/>
          <w:szCs w:val="20"/>
        </w:rPr>
      </w:pPr>
      <w:r w:rsidRPr="000B615C">
        <w:rPr>
          <w:rFonts w:eastAsia="Times New Roman" w:cs="Times New Roman"/>
          <w:bCs/>
          <w:szCs w:val="20"/>
        </w:rPr>
        <w:t>«</w:t>
      </w:r>
      <w:r w:rsidR="003A000D" w:rsidRPr="003A000D">
        <w:rPr>
          <w:rFonts w:eastAsia="Times New Roman" w:cs="Times New Roman"/>
          <w:b/>
          <w:bCs/>
          <w:szCs w:val="20"/>
        </w:rPr>
        <w:t>5.11</w:t>
      </w:r>
      <w:r w:rsidR="003A000D" w:rsidRPr="003A000D">
        <w:rPr>
          <w:rFonts w:eastAsia="Times New Roman" w:cs="Times New Roman"/>
          <w:szCs w:val="20"/>
        </w:rPr>
        <w:tab/>
      </w:r>
      <w:r w:rsidR="003A000D" w:rsidRPr="003A000D">
        <w:rPr>
          <w:rFonts w:eastAsia="Times New Roman" w:cs="Times New Roman"/>
          <w:b/>
          <w:bCs/>
          <w:szCs w:val="20"/>
        </w:rPr>
        <w:t>Электромеханические и электронные устройства для предотвращения несанкционированного использования</w:t>
      </w:r>
    </w:p>
    <w:p w14:paraId="41223320" w14:textId="739C666B" w:rsidR="003A000D" w:rsidRPr="003A000D" w:rsidRDefault="003A000D" w:rsidP="0096109C">
      <w:pPr>
        <w:tabs>
          <w:tab w:val="left" w:pos="2268"/>
        </w:tabs>
        <w:spacing w:before="120" w:after="120" w:line="240" w:lineRule="auto"/>
        <w:ind w:left="2268" w:right="1134" w:hanging="1134"/>
        <w:jc w:val="both"/>
        <w:rPr>
          <w:rFonts w:eastAsia="Times New Roman" w:cs="Times New Roman"/>
          <w:b/>
          <w:szCs w:val="20"/>
        </w:rPr>
      </w:pPr>
      <w:r w:rsidRPr="003A000D">
        <w:rPr>
          <w:rFonts w:eastAsia="Times New Roman" w:cs="Times New Roman"/>
          <w:szCs w:val="20"/>
        </w:rPr>
        <w:tab/>
      </w:r>
      <w:r w:rsidRPr="003A000D">
        <w:rPr>
          <w:rFonts w:eastAsia="Times New Roman" w:cs="Times New Roman"/>
          <w:b/>
          <w:bCs/>
          <w:szCs w:val="20"/>
        </w:rPr>
        <w:t>Электромеханические и электронные устройства для предотвращения несанкционированного использования, если таковые устан</w:t>
      </w:r>
      <w:r w:rsidR="000B615C">
        <w:rPr>
          <w:rFonts w:eastAsia="Times New Roman" w:cs="Times New Roman"/>
          <w:b/>
          <w:bCs/>
          <w:szCs w:val="20"/>
        </w:rPr>
        <w:t xml:space="preserve">овлены, должны отвечать </w:t>
      </w:r>
      <w:proofErr w:type="spellStart"/>
      <w:r w:rsidR="000B615C">
        <w:rPr>
          <w:rFonts w:eastAsia="Times New Roman" w:cs="Times New Roman"/>
          <w:b/>
          <w:bCs/>
          <w:szCs w:val="20"/>
        </w:rPr>
        <w:t>mutatis</w:t>
      </w:r>
      <w:proofErr w:type="spellEnd"/>
      <w:r w:rsidR="000B615C">
        <w:rPr>
          <w:rFonts w:eastAsia="Times New Roman" w:cs="Times New Roman"/>
          <w:b/>
          <w:bCs/>
          <w:szCs w:val="20"/>
        </w:rPr>
        <w:t xml:space="preserve"> </w:t>
      </w:r>
      <w:proofErr w:type="spellStart"/>
      <w:r w:rsidRPr="003A000D">
        <w:rPr>
          <w:rFonts w:eastAsia="Times New Roman" w:cs="Times New Roman"/>
          <w:b/>
          <w:bCs/>
          <w:szCs w:val="20"/>
        </w:rPr>
        <w:t>mutandis</w:t>
      </w:r>
      <w:proofErr w:type="spellEnd"/>
      <w:r w:rsidRPr="003A000D">
        <w:rPr>
          <w:rFonts w:eastAsia="Times New Roman" w:cs="Times New Roman"/>
          <w:b/>
          <w:bCs/>
          <w:szCs w:val="20"/>
        </w:rPr>
        <w:t xml:space="preserve"> требова</w:t>
      </w:r>
      <w:r w:rsidR="000B615C">
        <w:rPr>
          <w:rFonts w:eastAsia="Times New Roman" w:cs="Times New Roman"/>
          <w:b/>
          <w:bCs/>
          <w:szCs w:val="20"/>
        </w:rPr>
        <w:t xml:space="preserve">ниям, предусмотренным в пунктах </w:t>
      </w:r>
      <w:r w:rsidRPr="003A000D">
        <w:rPr>
          <w:rFonts w:eastAsia="Times New Roman" w:cs="Times New Roman"/>
          <w:b/>
          <w:bCs/>
          <w:szCs w:val="20"/>
        </w:rPr>
        <w:t>5 и 6.</w:t>
      </w:r>
    </w:p>
    <w:p w14:paraId="66475BCA" w14:textId="703B7AF2" w:rsidR="003F39B8" w:rsidRPr="00ED72FF" w:rsidRDefault="003A000D" w:rsidP="0096109C">
      <w:pPr>
        <w:tabs>
          <w:tab w:val="left" w:pos="2268"/>
        </w:tabs>
        <w:spacing w:before="120" w:after="120" w:line="240" w:lineRule="auto"/>
        <w:ind w:left="2268" w:right="1134" w:hanging="1134"/>
        <w:jc w:val="both"/>
        <w:rPr>
          <w:bCs/>
        </w:rPr>
      </w:pPr>
      <w:r w:rsidRPr="003A000D">
        <w:rPr>
          <w:rFonts w:eastAsia="Times New Roman" w:cs="Times New Roman"/>
          <w:szCs w:val="20"/>
        </w:rPr>
        <w:tab/>
      </w:r>
      <w:r w:rsidRPr="003A000D">
        <w:rPr>
          <w:rFonts w:eastAsia="Times New Roman" w:cs="Times New Roman"/>
          <w:b/>
          <w:bCs/>
          <w:szCs w:val="20"/>
        </w:rPr>
        <w:t>Если технология использования данног</w:t>
      </w:r>
      <w:r w:rsidR="000B615C">
        <w:rPr>
          <w:rFonts w:eastAsia="Times New Roman" w:cs="Times New Roman"/>
          <w:b/>
          <w:bCs/>
          <w:szCs w:val="20"/>
        </w:rPr>
        <w:t xml:space="preserve">о устройства такова, что пункты </w:t>
      </w:r>
      <w:r w:rsidRPr="003A000D">
        <w:rPr>
          <w:rFonts w:eastAsia="Times New Roman" w:cs="Times New Roman"/>
          <w:b/>
          <w:bCs/>
          <w:szCs w:val="20"/>
        </w:rPr>
        <w:t>5 и 6 не применяются, то следует проверить, были ли приняты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которые могли бы создать проблемы с точки зрения безо</w:t>
      </w:r>
      <w:r w:rsidR="00535B26">
        <w:rPr>
          <w:rFonts w:eastAsia="Times New Roman" w:cs="Times New Roman"/>
          <w:b/>
          <w:bCs/>
          <w:szCs w:val="20"/>
        </w:rPr>
        <w:t>пасности транспортного средства</w:t>
      </w:r>
      <w:r w:rsidR="00535B26" w:rsidRPr="00535B26">
        <w:rPr>
          <w:rFonts w:eastAsia="Times New Roman" w:cs="Times New Roman"/>
          <w:bCs/>
          <w:szCs w:val="20"/>
        </w:rPr>
        <w:t>»</w:t>
      </w:r>
      <w:r w:rsidRPr="00ED72FF">
        <w:rPr>
          <w:rFonts w:eastAsia="Times New Roman" w:cs="Times New Roman"/>
          <w:bCs/>
          <w:szCs w:val="20"/>
        </w:rPr>
        <w:t>.</w:t>
      </w:r>
    </w:p>
    <w:p w14:paraId="6D0B355E" w14:textId="3F60862D" w:rsidR="003A000D" w:rsidRPr="003A000D" w:rsidRDefault="006F3BC4" w:rsidP="006F3BC4">
      <w:pPr>
        <w:pStyle w:val="HChGR"/>
      </w:pPr>
      <w:r>
        <w:tab/>
      </w:r>
      <w:r w:rsidR="003A000D" w:rsidRPr="003A000D">
        <w:t>II.</w:t>
      </w:r>
      <w:r w:rsidR="003A000D" w:rsidRPr="003A000D">
        <w:tab/>
        <w:t>Обоснование</w:t>
      </w:r>
    </w:p>
    <w:p w14:paraId="620B594C" w14:textId="313432AD" w:rsidR="003A000D" w:rsidRPr="003A000D" w:rsidRDefault="003A000D" w:rsidP="003A000D">
      <w:pPr>
        <w:pStyle w:val="SingleTxtGR"/>
      </w:pPr>
      <w:r w:rsidRPr="003A000D">
        <w:t>1.</w:t>
      </w:r>
      <w:r w:rsidRPr="003A000D">
        <w:tab/>
        <w:t>Включение нового пункта 5.11 позволит учитывать электромеханические или электронные устройства (например</w:t>
      </w:r>
      <w:r w:rsidR="006F3BC4">
        <w:t>,</w:t>
      </w:r>
      <w:r w:rsidRPr="003A000D">
        <w:t xml:space="preserve"> транспондер)</w:t>
      </w:r>
      <w:r w:rsidR="006F3BC4">
        <w:t xml:space="preserve">, </w:t>
      </w:r>
      <w:r w:rsidRPr="003A000D">
        <w:t>даже не имеющие традиционн</w:t>
      </w:r>
      <w:r w:rsidR="006F3BC4">
        <w:t xml:space="preserve">ой функции механического ключа, </w:t>
      </w:r>
      <w:r w:rsidRPr="003A000D">
        <w:t>в процессе официального утверждения типа на основании Правил № 62 ООН. Это изменение позволяет согласовать Правила</w:t>
      </w:r>
      <w:r w:rsidR="006F3BC4" w:rsidRPr="006F3BC4">
        <w:t xml:space="preserve"> </w:t>
      </w:r>
      <w:r w:rsidRPr="003A000D">
        <w:t>№ 62 ООН с Правилами № 116 ООН, в которых допускается применение аналогичных электромеханических и электронных устройств для предотвращения несанкционированного использования в транспортных средствах классов M</w:t>
      </w:r>
      <w:r w:rsidRPr="003A000D">
        <w:rPr>
          <w:vertAlign w:val="subscript"/>
        </w:rPr>
        <w:t xml:space="preserve">1 </w:t>
      </w:r>
      <w:r w:rsidRPr="003A000D">
        <w:t>и N</w:t>
      </w:r>
      <w:r w:rsidRPr="003A000D">
        <w:rPr>
          <w:vertAlign w:val="subscript"/>
        </w:rPr>
        <w:t>1</w:t>
      </w:r>
      <w:r w:rsidRPr="003A000D">
        <w:t>.</w:t>
      </w:r>
    </w:p>
    <w:p w14:paraId="0C154708" w14:textId="77777777" w:rsidR="003F39B8" w:rsidRDefault="003A000D" w:rsidP="003A000D">
      <w:pPr>
        <w:pStyle w:val="SingleTxtGR"/>
      </w:pPr>
      <w:r w:rsidRPr="003A000D">
        <w:t>2.</w:t>
      </w:r>
      <w:r w:rsidRPr="003A000D">
        <w:tab/>
        <w:t>Настоящее предложение нацелено на то, чтобы допустить использование аналогичных устройств в транспортных средствах, относящихся к области применения Правил № 62 ООН.</w:t>
      </w:r>
    </w:p>
    <w:p w14:paraId="739E04F8" w14:textId="0C5F0376" w:rsidR="00E12C5F" w:rsidRPr="006F3BC4" w:rsidRDefault="006F3BC4" w:rsidP="006F3BC4">
      <w:pPr>
        <w:pStyle w:val="SingleTxtGR"/>
        <w:spacing w:before="240" w:after="0"/>
        <w:jc w:val="center"/>
        <w:rPr>
          <w:u w:val="single"/>
        </w:rPr>
      </w:pPr>
      <w:r>
        <w:rPr>
          <w:u w:val="single"/>
        </w:rPr>
        <w:tab/>
      </w:r>
      <w:r>
        <w:rPr>
          <w:u w:val="single"/>
        </w:rPr>
        <w:tab/>
      </w:r>
      <w:r>
        <w:rPr>
          <w:u w:val="single"/>
        </w:rPr>
        <w:tab/>
      </w:r>
    </w:p>
    <w:sectPr w:rsidR="00E12C5F" w:rsidRPr="006F3BC4" w:rsidSect="00070C2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44D8" w14:textId="77777777" w:rsidR="00845259" w:rsidRPr="00A312BC" w:rsidRDefault="00845259" w:rsidP="00A312BC"/>
  </w:endnote>
  <w:endnote w:type="continuationSeparator" w:id="0">
    <w:p w14:paraId="092CA37C" w14:textId="77777777" w:rsidR="00845259" w:rsidRPr="00A312BC" w:rsidRDefault="008452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4E6B" w14:textId="7DCC4BF4" w:rsidR="00070C24" w:rsidRPr="00070C24" w:rsidRDefault="00070C24">
    <w:pPr>
      <w:pStyle w:val="Footer"/>
    </w:pPr>
    <w:r w:rsidRPr="00070C24">
      <w:rPr>
        <w:b/>
        <w:sz w:val="18"/>
      </w:rPr>
      <w:fldChar w:fldCharType="begin"/>
    </w:r>
    <w:r w:rsidRPr="00070C24">
      <w:rPr>
        <w:b/>
        <w:sz w:val="18"/>
      </w:rPr>
      <w:instrText xml:space="preserve"> PAGE  \* MERGEFORMAT </w:instrText>
    </w:r>
    <w:r w:rsidRPr="00070C24">
      <w:rPr>
        <w:b/>
        <w:sz w:val="18"/>
      </w:rPr>
      <w:fldChar w:fldCharType="separate"/>
    </w:r>
    <w:r w:rsidR="002C24D9">
      <w:rPr>
        <w:b/>
        <w:noProof/>
        <w:sz w:val="18"/>
      </w:rPr>
      <w:t>2</w:t>
    </w:r>
    <w:r w:rsidRPr="00070C24">
      <w:rPr>
        <w:b/>
        <w:sz w:val="18"/>
      </w:rPr>
      <w:fldChar w:fldCharType="end"/>
    </w:r>
    <w:r>
      <w:rPr>
        <w:b/>
        <w:sz w:val="18"/>
      </w:rPr>
      <w:tab/>
    </w:r>
    <w:r>
      <w:t>GE.18-12063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D741" w14:textId="77777777" w:rsidR="00070C24" w:rsidRPr="00070C24" w:rsidRDefault="00070C24" w:rsidP="00070C24">
    <w:pPr>
      <w:pStyle w:val="Footer"/>
      <w:tabs>
        <w:tab w:val="clear" w:pos="9639"/>
        <w:tab w:val="right" w:pos="9638"/>
      </w:tabs>
      <w:rPr>
        <w:b/>
        <w:sz w:val="18"/>
      </w:rPr>
    </w:pPr>
    <w:r>
      <w:t>GE.18-12063</w:t>
    </w:r>
    <w:r>
      <w:tab/>
    </w:r>
    <w:r w:rsidRPr="00070C24">
      <w:rPr>
        <w:b/>
        <w:sz w:val="18"/>
      </w:rPr>
      <w:fldChar w:fldCharType="begin"/>
    </w:r>
    <w:r w:rsidRPr="00070C24">
      <w:rPr>
        <w:b/>
        <w:sz w:val="18"/>
      </w:rPr>
      <w:instrText xml:space="preserve"> PAGE  \* MERGEFORMAT </w:instrText>
    </w:r>
    <w:r w:rsidRPr="00070C24">
      <w:rPr>
        <w:b/>
        <w:sz w:val="18"/>
      </w:rPr>
      <w:fldChar w:fldCharType="separate"/>
    </w:r>
    <w:r w:rsidR="003A000D">
      <w:rPr>
        <w:b/>
        <w:noProof/>
        <w:sz w:val="18"/>
      </w:rPr>
      <w:t>3</w:t>
    </w:r>
    <w:r w:rsidRPr="00070C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CC1D" w14:textId="724E8FDD" w:rsidR="00042B72" w:rsidRPr="00070C24" w:rsidRDefault="00070C24" w:rsidP="00070C24">
    <w:pPr>
      <w:spacing w:before="120" w:line="240" w:lineRule="auto"/>
    </w:pPr>
    <w:r>
      <w:t>GE.</w:t>
    </w:r>
    <w:r w:rsidR="00DF71B9">
      <w:rPr>
        <w:b/>
        <w:noProof/>
        <w:lang w:eastAsia="ru-RU"/>
      </w:rPr>
      <w:drawing>
        <wp:anchor distT="0" distB="0" distL="114300" distR="114300" simplePos="0" relativeHeight="251658240" behindDoc="0" locked="0" layoutInCell="1" allowOverlap="1" wp14:anchorId="71E39AB3" wp14:editId="43B2A94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18-12063  (R)</w:t>
    </w:r>
    <w:r w:rsidR="006F3BC4">
      <w:rPr>
        <w:lang w:val="en-US"/>
      </w:rPr>
      <w:t xml:space="preserve">  080818  080818</w:t>
    </w:r>
    <w:r>
      <w:br/>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sidRPr="00070C24">
      <w:rPr>
        <w:rFonts w:ascii="C39T30Lfz" w:hAnsi="C39T30Lfz"/>
        <w:kern w:val="14"/>
        <w:sz w:val="56"/>
      </w:rPr>
      <w:t></w:t>
    </w:r>
    <w:r>
      <w:rPr>
        <w:noProof/>
        <w:lang w:eastAsia="ru-RU"/>
      </w:rPr>
      <w:drawing>
        <wp:anchor distT="0" distB="0" distL="114300" distR="114300" simplePos="0" relativeHeight="251659264" behindDoc="0" locked="0" layoutInCell="1" allowOverlap="1" wp14:anchorId="3DF7FE47" wp14:editId="6DE2CA7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8/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5B89" w14:textId="77777777" w:rsidR="00845259" w:rsidRPr="001075E9" w:rsidRDefault="00845259" w:rsidP="001075E9">
      <w:pPr>
        <w:tabs>
          <w:tab w:val="right" w:pos="2155"/>
        </w:tabs>
        <w:spacing w:after="80" w:line="240" w:lineRule="auto"/>
        <w:ind w:left="680"/>
        <w:rPr>
          <w:u w:val="single"/>
        </w:rPr>
      </w:pPr>
      <w:r>
        <w:rPr>
          <w:u w:val="single"/>
        </w:rPr>
        <w:tab/>
      </w:r>
    </w:p>
  </w:footnote>
  <w:footnote w:type="continuationSeparator" w:id="0">
    <w:p w14:paraId="34DB916B" w14:textId="77777777" w:rsidR="00845259" w:rsidRDefault="00845259" w:rsidP="00407B78">
      <w:pPr>
        <w:tabs>
          <w:tab w:val="right" w:pos="2155"/>
        </w:tabs>
        <w:spacing w:after="80"/>
        <w:ind w:left="680"/>
        <w:rPr>
          <w:u w:val="single"/>
        </w:rPr>
      </w:pPr>
      <w:r>
        <w:rPr>
          <w:u w:val="single"/>
        </w:rPr>
        <w:tab/>
      </w:r>
    </w:p>
  </w:footnote>
  <w:footnote w:id="1">
    <w:p w14:paraId="307D83C2" w14:textId="63583FCE" w:rsidR="003A000D" w:rsidRPr="00B14735" w:rsidRDefault="003F39B8" w:rsidP="003F39B8">
      <w:pPr>
        <w:pStyle w:val="FootnoteText"/>
        <w:rPr>
          <w:rFonts w:eastAsia="Calibri"/>
        </w:rPr>
      </w:pPr>
      <w:r>
        <w:rPr>
          <w:sz w:val="20"/>
        </w:rPr>
        <w:tab/>
      </w:r>
      <w:r w:rsidR="003A000D" w:rsidRPr="00A875F3">
        <w:rPr>
          <w:rStyle w:val="FootnoteReference"/>
          <w:sz w:val="20"/>
          <w:vertAlign w:val="baseline"/>
        </w:rPr>
        <w:t>*</w:t>
      </w:r>
      <w:r w:rsidR="003A000D">
        <w:tab/>
        <w:t>В соответствии с программой работы Комитета по внутреннему транспорту на 2014–2018 годы (ECE/TRANS/240, пункт 105, и ECE/TRANS/2014/26,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w:t>
      </w:r>
      <w:r w:rsidR="006F3BC4">
        <w:t>астоящий документ представлен в </w:t>
      </w:r>
      <w:r w:rsidR="003A000D">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AE31" w14:textId="20CB194B" w:rsidR="00070C24" w:rsidRPr="00070C24" w:rsidRDefault="002C24D9">
    <w:pPr>
      <w:pStyle w:val="Header"/>
    </w:pPr>
    <w:fldSimple w:instr=" TITLE  \* MERGEFORMAT ">
      <w:r>
        <w:t>ECE/TRANS/WP.29/GRSG/2018/15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33CC" w14:textId="5829FE98" w:rsidR="00070C24" w:rsidRPr="00070C24" w:rsidRDefault="002C24D9" w:rsidP="00070C24">
    <w:pPr>
      <w:pStyle w:val="Header"/>
      <w:jc w:val="right"/>
    </w:pPr>
    <w:fldSimple w:instr=" TITLE  \* MERGEFORMAT ">
      <w:r>
        <w:t>ECE/TRANS/WP.29/GRSG/2018/15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59"/>
    <w:rsid w:val="00033EE1"/>
    <w:rsid w:val="00042B72"/>
    <w:rsid w:val="000558BD"/>
    <w:rsid w:val="00070C24"/>
    <w:rsid w:val="000B57E7"/>
    <w:rsid w:val="000B615C"/>
    <w:rsid w:val="000B6373"/>
    <w:rsid w:val="000E4E5B"/>
    <w:rsid w:val="000F09DF"/>
    <w:rsid w:val="000F61B2"/>
    <w:rsid w:val="001075E9"/>
    <w:rsid w:val="0014152F"/>
    <w:rsid w:val="00180183"/>
    <w:rsid w:val="0018024D"/>
    <w:rsid w:val="0018649F"/>
    <w:rsid w:val="00196389"/>
    <w:rsid w:val="001B3EF6"/>
    <w:rsid w:val="001C4420"/>
    <w:rsid w:val="001C7A89"/>
    <w:rsid w:val="00255343"/>
    <w:rsid w:val="0027151D"/>
    <w:rsid w:val="002A2EFC"/>
    <w:rsid w:val="002B0106"/>
    <w:rsid w:val="002B74B1"/>
    <w:rsid w:val="002C0E18"/>
    <w:rsid w:val="002C24D9"/>
    <w:rsid w:val="002D5AAC"/>
    <w:rsid w:val="002E5067"/>
    <w:rsid w:val="002F405F"/>
    <w:rsid w:val="002F7EEC"/>
    <w:rsid w:val="00301299"/>
    <w:rsid w:val="00305C08"/>
    <w:rsid w:val="00307FB6"/>
    <w:rsid w:val="00317339"/>
    <w:rsid w:val="00322004"/>
    <w:rsid w:val="003402C2"/>
    <w:rsid w:val="00381C24"/>
    <w:rsid w:val="00387CD4"/>
    <w:rsid w:val="003958D0"/>
    <w:rsid w:val="003A000D"/>
    <w:rsid w:val="003A0D43"/>
    <w:rsid w:val="003A48CE"/>
    <w:rsid w:val="003A4DFA"/>
    <w:rsid w:val="003B00E5"/>
    <w:rsid w:val="003F39B8"/>
    <w:rsid w:val="00407B78"/>
    <w:rsid w:val="00424203"/>
    <w:rsid w:val="0043550E"/>
    <w:rsid w:val="00452493"/>
    <w:rsid w:val="00453318"/>
    <w:rsid w:val="00454AF2"/>
    <w:rsid w:val="00454E07"/>
    <w:rsid w:val="00472C5C"/>
    <w:rsid w:val="004E05B7"/>
    <w:rsid w:val="0050108D"/>
    <w:rsid w:val="00513081"/>
    <w:rsid w:val="00517901"/>
    <w:rsid w:val="00526683"/>
    <w:rsid w:val="00535B26"/>
    <w:rsid w:val="005639C1"/>
    <w:rsid w:val="005709E0"/>
    <w:rsid w:val="00572E19"/>
    <w:rsid w:val="005961C8"/>
    <w:rsid w:val="005966F1"/>
    <w:rsid w:val="005D7914"/>
    <w:rsid w:val="005E2B41"/>
    <w:rsid w:val="005F0B42"/>
    <w:rsid w:val="00617A43"/>
    <w:rsid w:val="006345DB"/>
    <w:rsid w:val="00640F49"/>
    <w:rsid w:val="00680D03"/>
    <w:rsid w:val="00681A10"/>
    <w:rsid w:val="00685DAD"/>
    <w:rsid w:val="006A1ED8"/>
    <w:rsid w:val="006C2031"/>
    <w:rsid w:val="006D461A"/>
    <w:rsid w:val="006F35EE"/>
    <w:rsid w:val="006F3BC4"/>
    <w:rsid w:val="007021FF"/>
    <w:rsid w:val="00712895"/>
    <w:rsid w:val="00734ACB"/>
    <w:rsid w:val="00747CDE"/>
    <w:rsid w:val="00757357"/>
    <w:rsid w:val="00792497"/>
    <w:rsid w:val="00806737"/>
    <w:rsid w:val="00825F8D"/>
    <w:rsid w:val="00834B71"/>
    <w:rsid w:val="00845259"/>
    <w:rsid w:val="0086445C"/>
    <w:rsid w:val="00894693"/>
    <w:rsid w:val="008A08D7"/>
    <w:rsid w:val="008A37C8"/>
    <w:rsid w:val="008B6909"/>
    <w:rsid w:val="008D53B6"/>
    <w:rsid w:val="008F7609"/>
    <w:rsid w:val="00906890"/>
    <w:rsid w:val="00911BE4"/>
    <w:rsid w:val="00951972"/>
    <w:rsid w:val="009608F3"/>
    <w:rsid w:val="0096109C"/>
    <w:rsid w:val="009725EE"/>
    <w:rsid w:val="00984A01"/>
    <w:rsid w:val="009A24AC"/>
    <w:rsid w:val="009C59D7"/>
    <w:rsid w:val="009C6FE6"/>
    <w:rsid w:val="009D7E7D"/>
    <w:rsid w:val="00A14DA8"/>
    <w:rsid w:val="00A312BC"/>
    <w:rsid w:val="00A84021"/>
    <w:rsid w:val="00A84D35"/>
    <w:rsid w:val="00A875F3"/>
    <w:rsid w:val="00A917B3"/>
    <w:rsid w:val="00AB4B51"/>
    <w:rsid w:val="00B10CC7"/>
    <w:rsid w:val="00B36DF7"/>
    <w:rsid w:val="00B539E7"/>
    <w:rsid w:val="00B62458"/>
    <w:rsid w:val="00BC18B2"/>
    <w:rsid w:val="00BD33EE"/>
    <w:rsid w:val="00BE1CC7"/>
    <w:rsid w:val="00C106D6"/>
    <w:rsid w:val="00C119AE"/>
    <w:rsid w:val="00C2607C"/>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07910"/>
    <w:rsid w:val="00E12C5F"/>
    <w:rsid w:val="00E670ED"/>
    <w:rsid w:val="00E73F76"/>
    <w:rsid w:val="00EA2C9F"/>
    <w:rsid w:val="00EA420E"/>
    <w:rsid w:val="00ED0BDA"/>
    <w:rsid w:val="00ED72FF"/>
    <w:rsid w:val="00EE142A"/>
    <w:rsid w:val="00EF1360"/>
    <w:rsid w:val="00EF3220"/>
    <w:rsid w:val="00F2523A"/>
    <w:rsid w:val="00F43903"/>
    <w:rsid w:val="00F64F7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3678D"/>
  <w15:docId w15:val="{97106292-B645-4E65-B76B-A267BE23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4293-7905-4DD8-829D-E1C1BFA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ECE/TRANS/WP.29/GRSG/2018/15</vt:lpstr>
      <vt:lpstr>ECE/TRANS/WP.29/GRSG/2018/15</vt:lpstr>
      <vt:lpstr>A/</vt:lpstr>
    </vt:vector>
  </TitlesOfParts>
  <Company>DCM</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ECE/TRANS/WP.29/GRSG/2018/15</dc:title>
  <dc:subject/>
  <dc:creator>Nina STEPANOVA</dc:creator>
  <cp:keywords/>
  <cp:lastModifiedBy>Secretariat</cp:lastModifiedBy>
  <cp:revision>2</cp:revision>
  <cp:lastPrinted>2018-08-08T13:15:00Z</cp:lastPrinted>
  <dcterms:created xsi:type="dcterms:W3CDTF">2018-08-28T12:48:00Z</dcterms:created>
  <dcterms:modified xsi:type="dcterms:W3CDTF">2018-08-28T12:48:00Z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