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07DB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07DB8" w:rsidP="00D07DB8">
            <w:pPr>
              <w:jc w:val="right"/>
            </w:pPr>
            <w:r w:rsidRPr="00D07DB8">
              <w:rPr>
                <w:sz w:val="40"/>
              </w:rPr>
              <w:t>ECE</w:t>
            </w:r>
            <w:r>
              <w:t>/TRANS/WP.29/GRSG/2018/15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07DB8" w:rsidP="00C97039">
            <w:pPr>
              <w:spacing w:before="240"/>
            </w:pPr>
            <w:r>
              <w:t xml:space="preserve">Distr. </w:t>
            </w:r>
            <w:proofErr w:type="gramStart"/>
            <w:r>
              <w:t>générale</w:t>
            </w:r>
            <w:proofErr w:type="gramEnd"/>
          </w:p>
          <w:p w:rsidR="00D07DB8" w:rsidRDefault="00D07DB8" w:rsidP="00D07DB8">
            <w:pPr>
              <w:spacing w:line="240" w:lineRule="exact"/>
            </w:pPr>
            <w:r>
              <w:t>20 juillet 2018</w:t>
            </w:r>
          </w:p>
          <w:p w:rsidR="00D07DB8" w:rsidRDefault="00D07DB8" w:rsidP="00D07DB8">
            <w:pPr>
              <w:spacing w:line="240" w:lineRule="exact"/>
            </w:pPr>
            <w:r>
              <w:t>Français</w:t>
            </w:r>
          </w:p>
          <w:p w:rsidR="00D07DB8" w:rsidRPr="00DB58B5" w:rsidRDefault="00D07DB8" w:rsidP="00D07DB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07DB8" w:rsidRDefault="00D07DB8"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07DB8" w:rsidRDefault="00D07DB8" w:rsidP="00257168">
      <w:pPr>
        <w:spacing w:before="120" w:after="120" w:line="240" w:lineRule="exact"/>
        <w:rPr>
          <w:b/>
        </w:rPr>
      </w:pPr>
      <w:r>
        <w:rPr>
          <w:b/>
        </w:rPr>
        <w:t>Groupe de travail des dispositions générales de sécurité</w:t>
      </w:r>
    </w:p>
    <w:p w:rsidR="00D07DB8" w:rsidRDefault="00D07DB8" w:rsidP="00257168">
      <w:pPr>
        <w:spacing w:before="120" w:line="240" w:lineRule="exact"/>
        <w:rPr>
          <w:b/>
        </w:rPr>
      </w:pPr>
      <w:r>
        <w:rPr>
          <w:b/>
        </w:rPr>
        <w:t>115</w:t>
      </w:r>
      <w:r w:rsidRPr="00D07DB8">
        <w:rPr>
          <w:b/>
          <w:vertAlign w:val="superscript"/>
        </w:rPr>
        <w:t>e</w:t>
      </w:r>
      <w:r>
        <w:rPr>
          <w:b/>
        </w:rPr>
        <w:t xml:space="preserve"> session</w:t>
      </w:r>
    </w:p>
    <w:p w:rsidR="00D07DB8" w:rsidRDefault="00D07DB8" w:rsidP="00257168">
      <w:pPr>
        <w:spacing w:line="240" w:lineRule="exact"/>
      </w:pPr>
      <w:r>
        <w:t>Genève, 9-12 octobre 2018</w:t>
      </w:r>
    </w:p>
    <w:p w:rsidR="00D07DB8" w:rsidRDefault="00D07DB8" w:rsidP="00257168">
      <w:pPr>
        <w:spacing w:line="240" w:lineRule="exact"/>
      </w:pPr>
      <w:r>
        <w:t>Point 8 de l’ordre du jour provisoire</w:t>
      </w:r>
    </w:p>
    <w:p w:rsidR="00D07DB8" w:rsidRPr="001F20EF" w:rsidRDefault="00D07DB8" w:rsidP="00D07DB8">
      <w:pPr>
        <w:rPr>
          <w:b/>
        </w:rPr>
      </w:pPr>
      <w:r>
        <w:rPr>
          <w:b/>
          <w:bCs/>
          <w:lang w:val="fr-FR"/>
        </w:rPr>
        <w:t>Règlement ONU n</w:t>
      </w:r>
      <w:r>
        <w:rPr>
          <w:b/>
          <w:bCs/>
          <w:vertAlign w:val="superscript"/>
          <w:lang w:val="fr-FR"/>
        </w:rPr>
        <w:t>o</w:t>
      </w:r>
      <w:r>
        <w:rPr>
          <w:b/>
          <w:bCs/>
          <w:lang w:val="fr-FR"/>
        </w:rPr>
        <w:t> 62 (Dispositifs antivol</w:t>
      </w:r>
      <w:r>
        <w:rPr>
          <w:b/>
          <w:bCs/>
          <w:lang w:val="fr-FR"/>
        </w:rPr>
        <w:br/>
        <w:t>des cyclomoteurs et motocycles)</w:t>
      </w:r>
    </w:p>
    <w:p w:rsidR="00D07DB8" w:rsidRDefault="00D07DB8" w:rsidP="00D07DB8">
      <w:pPr>
        <w:pStyle w:val="HChG"/>
        <w:rPr>
          <w:sz w:val="26"/>
          <w:szCs w:val="26"/>
        </w:rPr>
      </w:pPr>
      <w:r>
        <w:rPr>
          <w:lang w:val="fr-FR"/>
        </w:rPr>
        <w:tab/>
      </w:r>
      <w:r>
        <w:rPr>
          <w:lang w:val="fr-FR"/>
        </w:rPr>
        <w:tab/>
        <w:t>Proposition de complément 3 au Règlement ONU n</w:t>
      </w:r>
      <w:r>
        <w:rPr>
          <w:vertAlign w:val="superscript"/>
          <w:lang w:val="fr-FR"/>
        </w:rPr>
        <w:t>o</w:t>
      </w:r>
      <w:r w:rsidR="002E2F0A">
        <w:rPr>
          <w:lang w:val="fr-FR"/>
        </w:rPr>
        <w:t> </w:t>
      </w:r>
      <w:r>
        <w:rPr>
          <w:lang w:val="fr-FR"/>
        </w:rPr>
        <w:t>62 (Dispositifs antivol des cyclomoteurs et motocycles)</w:t>
      </w:r>
    </w:p>
    <w:p w:rsidR="00D07DB8" w:rsidRPr="00DF418A" w:rsidRDefault="00D07DB8" w:rsidP="00D07DB8">
      <w:pPr>
        <w:pStyle w:val="H1G"/>
        <w:rPr>
          <w:vertAlign w:val="superscript"/>
        </w:rPr>
      </w:pPr>
      <w:r>
        <w:rPr>
          <w:lang w:val="fr-FR"/>
        </w:rPr>
        <w:tab/>
      </w:r>
      <w:r>
        <w:rPr>
          <w:lang w:val="fr-FR"/>
        </w:rPr>
        <w:tab/>
        <w:t>Communication de l’expert de l’Allemagne</w:t>
      </w:r>
      <w:r w:rsidRPr="002E2F0A">
        <w:rPr>
          <w:rStyle w:val="FootnoteReference"/>
          <w:b w:val="0"/>
          <w:sz w:val="20"/>
          <w:vertAlign w:val="baseline"/>
        </w:rPr>
        <w:footnoteReference w:customMarkFollows="1" w:id="2"/>
        <w:t>*</w:t>
      </w:r>
    </w:p>
    <w:p w:rsidR="00F9573C" w:rsidRDefault="00D07DB8" w:rsidP="00D07DB8">
      <w:pPr>
        <w:pStyle w:val="SingleTxtG"/>
        <w:ind w:firstLine="567"/>
        <w:rPr>
          <w:lang w:val="fr-FR"/>
        </w:rPr>
      </w:pPr>
      <w:r>
        <w:rPr>
          <w:lang w:val="fr-FR"/>
        </w:rPr>
        <w:t>Le texte ci-après, établi par l’expert de l’Allemagne, vise à ajouter des dispositions relatives aux dispositifs électromécaniques et électroniques permettant d’activer ou de désactiver les dispositifs de protection contre une utilisation non autorisée, conformément au Règlement ONU n</w:t>
      </w:r>
      <w:r>
        <w:rPr>
          <w:vertAlign w:val="superscript"/>
          <w:lang w:val="fr-FR"/>
        </w:rPr>
        <w:t>o</w:t>
      </w:r>
      <w:r>
        <w:rPr>
          <w:lang w:val="fr-FR"/>
        </w:rPr>
        <w:t> 62. Il est fondé sur le document informel GRSG-114-02, qui a été présenté à la 114</w:t>
      </w:r>
      <w:r>
        <w:rPr>
          <w:vertAlign w:val="superscript"/>
          <w:lang w:val="fr-FR"/>
        </w:rPr>
        <w:t>e</w:t>
      </w:r>
      <w:r>
        <w:rPr>
          <w:lang w:val="fr-FR"/>
        </w:rPr>
        <w:t> session du Groupe de travail des dispositions générales de sécurité (GRSG) (voir le rapport ECE/TRANS/WP.29/GRSG/93, par. 51). Les modifications qu’il est proposé d’apporter au texte actuel du Règlement n</w:t>
      </w:r>
      <w:r>
        <w:rPr>
          <w:vertAlign w:val="superscript"/>
          <w:lang w:val="fr-FR"/>
        </w:rPr>
        <w:t>o</w:t>
      </w:r>
      <w:r>
        <w:rPr>
          <w:lang w:val="fr-FR"/>
        </w:rPr>
        <w:t> 62 sont signalées en caractères gras.</w:t>
      </w:r>
    </w:p>
    <w:p w:rsidR="002E2F0A" w:rsidRPr="00DF418A" w:rsidRDefault="002E2F0A" w:rsidP="002E2F0A">
      <w:pPr>
        <w:pStyle w:val="HChG"/>
      </w:pPr>
      <w:r>
        <w:rPr>
          <w:lang w:val="fr-FR"/>
        </w:rPr>
        <w:br w:type="page"/>
      </w:r>
      <w:r>
        <w:rPr>
          <w:lang w:val="fr-FR"/>
        </w:rPr>
        <w:lastRenderedPageBreak/>
        <w:tab/>
        <w:t>I.</w:t>
      </w:r>
      <w:r>
        <w:rPr>
          <w:lang w:val="fr-FR"/>
        </w:rPr>
        <w:tab/>
        <w:t>Proposition</w:t>
      </w:r>
    </w:p>
    <w:p w:rsidR="002E2F0A" w:rsidRPr="00367B5E" w:rsidRDefault="002E2F0A" w:rsidP="002E2F0A">
      <w:pPr>
        <w:pStyle w:val="SingleTxtG"/>
      </w:pPr>
      <w:r>
        <w:rPr>
          <w:i/>
          <w:iCs/>
          <w:lang w:val="fr-FR"/>
        </w:rPr>
        <w:t>Ajouter un nouveau paragraphe, 5.11</w:t>
      </w:r>
      <w:r>
        <w:rPr>
          <w:lang w:val="fr-FR"/>
        </w:rPr>
        <w:t>, libellé comme suit :</w:t>
      </w:r>
    </w:p>
    <w:p w:rsidR="002E2F0A" w:rsidRPr="00054076" w:rsidRDefault="002E2F0A" w:rsidP="002E2F0A">
      <w:pPr>
        <w:pStyle w:val="SingleTxtG"/>
        <w:ind w:left="2268" w:hanging="1134"/>
        <w:rPr>
          <w:b/>
        </w:rPr>
      </w:pPr>
      <w:r w:rsidRPr="00DC1619">
        <w:rPr>
          <w:lang w:val="fr-FR"/>
        </w:rPr>
        <w:t>«</w:t>
      </w:r>
      <w:r>
        <w:rPr>
          <w:lang w:val="fr-FR"/>
        </w:rPr>
        <w:t> </w:t>
      </w:r>
      <w:r w:rsidRPr="00054076">
        <w:rPr>
          <w:b/>
          <w:lang w:val="fr-FR"/>
        </w:rPr>
        <w:t>5.11</w:t>
      </w:r>
      <w:r w:rsidRPr="00054076">
        <w:rPr>
          <w:b/>
          <w:lang w:val="fr-FR"/>
        </w:rPr>
        <w:tab/>
        <w:t>Dispositifs électromécaniques et électroniques de protection contre une utilisation non autorisée</w:t>
      </w:r>
    </w:p>
    <w:p w:rsidR="002E2F0A" w:rsidRPr="00054076" w:rsidRDefault="002E2F0A" w:rsidP="002E2F0A">
      <w:pPr>
        <w:pStyle w:val="SingleTxtG"/>
        <w:ind w:left="2268" w:hanging="1134"/>
        <w:rPr>
          <w:b/>
        </w:rPr>
      </w:pPr>
      <w:r w:rsidRPr="00054076">
        <w:rPr>
          <w:b/>
          <w:lang w:val="fr-FR"/>
        </w:rPr>
        <w:tab/>
        <w:t xml:space="preserve">Les dispositifs électromécaniques et électroniques de protection contre une utilisation non autorisée, s’ils équipent un véhicule, doivent satisfaire </w:t>
      </w:r>
      <w:r w:rsidRPr="00054076">
        <w:rPr>
          <w:b/>
          <w:i/>
          <w:iCs/>
          <w:lang w:val="fr-FR"/>
        </w:rPr>
        <w:t>mutatis mutandis</w:t>
      </w:r>
      <w:r w:rsidRPr="00054076">
        <w:rPr>
          <w:b/>
          <w:lang w:val="fr-FR"/>
        </w:rPr>
        <w:t xml:space="preserve"> aux prescriptions des paragraphes 5 et 6.</w:t>
      </w:r>
    </w:p>
    <w:p w:rsidR="002E2F0A" w:rsidRDefault="002E2F0A" w:rsidP="002E2F0A">
      <w:pPr>
        <w:pStyle w:val="SingleTxtG"/>
        <w:ind w:left="2268" w:hanging="1134"/>
      </w:pPr>
      <w:r w:rsidRPr="00054076">
        <w:rPr>
          <w:b/>
          <w:lang w:val="fr-FR"/>
        </w:rPr>
        <w:tab/>
        <w:t>Si la conception technique d’un dispositi</w:t>
      </w:r>
      <w:r w:rsidR="00054076">
        <w:rPr>
          <w:b/>
          <w:lang w:val="fr-FR"/>
        </w:rPr>
        <w:t>f est telle que les paragraphes </w:t>
      </w:r>
      <w:r w:rsidRPr="00054076">
        <w:rPr>
          <w:b/>
          <w:lang w:val="fr-FR"/>
        </w:rPr>
        <w:t>5 et 6 ne sont pas applicables, il doit être vérifié que des mesures ont été prises pour préserver la sécurité du véhicule. Le dispositif doit être conçu avec les sécurités nécessaires pour exclure tout risque de blocage ou de défaut de fonctionnement accidentel pouvant compromettre la sécurité du véhicule.</w:t>
      </w:r>
      <w:r>
        <w:rPr>
          <w:lang w:val="fr-FR"/>
        </w:rPr>
        <w:t> </w:t>
      </w:r>
      <w:r w:rsidRPr="00DC1619">
        <w:rPr>
          <w:lang w:val="fr-FR"/>
        </w:rPr>
        <w:t>»</w:t>
      </w:r>
      <w:r>
        <w:rPr>
          <w:lang w:val="fr-FR"/>
        </w:rPr>
        <w:t>.</w:t>
      </w:r>
    </w:p>
    <w:p w:rsidR="002E2F0A" w:rsidRPr="00F578FC" w:rsidRDefault="002E2F0A" w:rsidP="002E2F0A">
      <w:pPr>
        <w:pStyle w:val="HChG"/>
      </w:pPr>
      <w:r>
        <w:rPr>
          <w:lang w:val="fr-FR"/>
        </w:rPr>
        <w:tab/>
      </w:r>
      <w:r w:rsidRPr="0072716E">
        <w:rPr>
          <w:lang w:val="fr-FR"/>
        </w:rPr>
        <w:t>II.</w:t>
      </w:r>
      <w:r>
        <w:rPr>
          <w:lang w:val="fr-FR"/>
        </w:rPr>
        <w:tab/>
        <w:t>Justification</w:t>
      </w:r>
    </w:p>
    <w:p w:rsidR="002E2F0A" w:rsidRDefault="002E2F0A" w:rsidP="002E2F0A">
      <w:pPr>
        <w:pStyle w:val="SingleTxtG"/>
      </w:pPr>
      <w:r>
        <w:rPr>
          <w:lang w:val="fr-FR"/>
        </w:rPr>
        <w:t>1.</w:t>
      </w:r>
      <w:r>
        <w:rPr>
          <w:lang w:val="fr-FR"/>
        </w:rPr>
        <w:tab/>
        <w:t xml:space="preserve">Avec le nouveau paragraphe 5.11, un dispositif électromécanique ou électronique, tel qu’un transpondeur, même s’il ne remplit pas la fonction classique d’une clé mécanique, peut faire l’objet d’une homologation de type conformément au Règlement ONU </w:t>
      </w:r>
      <w:r w:rsidRPr="002E2F0A">
        <w:rPr>
          <w:rFonts w:eastAsia="MS Mincho"/>
          <w:lang w:val="fr-FR"/>
        </w:rPr>
        <w:t>n</w:t>
      </w:r>
      <w:r w:rsidRPr="002E2F0A">
        <w:rPr>
          <w:rFonts w:eastAsia="MS Mincho"/>
          <w:vertAlign w:val="superscript"/>
          <w:lang w:val="fr-FR"/>
        </w:rPr>
        <w:t>o</w:t>
      </w:r>
      <w:r>
        <w:rPr>
          <w:lang w:val="fr-FR"/>
        </w:rPr>
        <w:t xml:space="preserve"> 62. La proposition d’amendement ci-dessus permet d’aligner le Règlement </w:t>
      </w:r>
      <w:r w:rsidRPr="002E2F0A">
        <w:rPr>
          <w:rFonts w:eastAsia="MS Mincho"/>
          <w:lang w:val="fr-FR"/>
        </w:rPr>
        <w:t>n</w:t>
      </w:r>
      <w:r w:rsidRPr="002E2F0A">
        <w:rPr>
          <w:rFonts w:eastAsia="MS Mincho"/>
          <w:vertAlign w:val="superscript"/>
          <w:lang w:val="fr-FR"/>
        </w:rPr>
        <w:t>o</w:t>
      </w:r>
      <w:r>
        <w:rPr>
          <w:lang w:val="fr-FR"/>
        </w:rPr>
        <w:t xml:space="preserve"> 62 sur le Règlement ONU </w:t>
      </w:r>
      <w:r w:rsidRPr="002E2F0A">
        <w:rPr>
          <w:rFonts w:eastAsia="MS Mincho"/>
          <w:lang w:val="fr-FR"/>
        </w:rPr>
        <w:t>n</w:t>
      </w:r>
      <w:r w:rsidRPr="002E2F0A">
        <w:rPr>
          <w:rFonts w:eastAsia="MS Mincho"/>
          <w:vertAlign w:val="superscript"/>
          <w:lang w:val="fr-FR"/>
        </w:rPr>
        <w:t>o</w:t>
      </w:r>
      <w:r>
        <w:rPr>
          <w:lang w:val="fr-FR"/>
        </w:rPr>
        <w:t> 116, lequel autorise des dispositifs électromécaniques ou électroniques pour la protection contre une utilisation non autorisée des véhicules des classes M</w:t>
      </w:r>
      <w:r>
        <w:rPr>
          <w:vertAlign w:val="subscript"/>
          <w:lang w:val="fr-FR"/>
        </w:rPr>
        <w:t>1</w:t>
      </w:r>
      <w:r>
        <w:rPr>
          <w:lang w:val="fr-FR"/>
        </w:rPr>
        <w:t xml:space="preserve"> et N</w:t>
      </w:r>
      <w:r>
        <w:rPr>
          <w:vertAlign w:val="subscript"/>
          <w:lang w:val="fr-FR"/>
        </w:rPr>
        <w:t>1</w:t>
      </w:r>
      <w:r>
        <w:rPr>
          <w:lang w:val="fr-FR"/>
        </w:rPr>
        <w:t>.</w:t>
      </w:r>
    </w:p>
    <w:p w:rsidR="002E2F0A" w:rsidRDefault="002E2F0A" w:rsidP="002E2F0A">
      <w:pPr>
        <w:pStyle w:val="SingleTxtG"/>
        <w:rPr>
          <w:lang w:val="fr-FR"/>
        </w:rPr>
      </w:pPr>
      <w:r>
        <w:rPr>
          <w:lang w:val="fr-FR"/>
        </w:rPr>
        <w:t>2.</w:t>
      </w:r>
      <w:r>
        <w:rPr>
          <w:lang w:val="fr-FR"/>
        </w:rPr>
        <w:tab/>
        <w:t xml:space="preserve">La présente proposition vise à autoriser l’utilisation de dispositifs similaires sur les véhicules relevant du champ d’application du Règlement ONU </w:t>
      </w:r>
      <w:r w:rsidRPr="002E2F0A">
        <w:rPr>
          <w:rFonts w:eastAsia="MS Mincho"/>
          <w:lang w:val="fr-FR"/>
        </w:rPr>
        <w:t>n</w:t>
      </w:r>
      <w:r w:rsidRPr="002E2F0A">
        <w:rPr>
          <w:rFonts w:eastAsia="MS Mincho"/>
          <w:vertAlign w:val="superscript"/>
          <w:lang w:val="fr-FR"/>
        </w:rPr>
        <w:t>o</w:t>
      </w:r>
      <w:r>
        <w:rPr>
          <w:lang w:val="fr-FR"/>
        </w:rPr>
        <w:t> 62.</w:t>
      </w:r>
    </w:p>
    <w:p w:rsidR="002E2F0A" w:rsidRPr="002E2F0A" w:rsidRDefault="002E2F0A" w:rsidP="002E2F0A">
      <w:pPr>
        <w:pStyle w:val="SingleTxtG"/>
        <w:spacing w:before="240" w:after="0"/>
        <w:jc w:val="center"/>
        <w:rPr>
          <w:u w:val="single"/>
        </w:rPr>
      </w:pPr>
      <w:r>
        <w:rPr>
          <w:u w:val="single"/>
        </w:rPr>
        <w:tab/>
      </w:r>
      <w:r>
        <w:rPr>
          <w:u w:val="single"/>
        </w:rPr>
        <w:tab/>
      </w:r>
      <w:r>
        <w:rPr>
          <w:u w:val="single"/>
        </w:rPr>
        <w:tab/>
      </w:r>
    </w:p>
    <w:sectPr w:rsidR="002E2F0A" w:rsidRPr="002E2F0A" w:rsidSect="00D07DB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A07" w:rsidRDefault="001B5A07" w:rsidP="00F95C08">
      <w:pPr>
        <w:spacing w:line="240" w:lineRule="auto"/>
      </w:pPr>
    </w:p>
  </w:endnote>
  <w:endnote w:type="continuationSeparator" w:id="0">
    <w:p w:rsidR="001B5A07" w:rsidRPr="00AC3823" w:rsidRDefault="001B5A07" w:rsidP="00AC3823">
      <w:pPr>
        <w:pStyle w:val="Footer"/>
      </w:pPr>
    </w:p>
  </w:endnote>
  <w:endnote w:type="continuationNotice" w:id="1">
    <w:p w:rsidR="001B5A07" w:rsidRDefault="001B5A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DB8" w:rsidRPr="00D07DB8" w:rsidRDefault="00D07DB8" w:rsidP="00D07DB8">
    <w:pPr>
      <w:pStyle w:val="Footer"/>
      <w:tabs>
        <w:tab w:val="right" w:pos="9638"/>
      </w:tabs>
    </w:pPr>
    <w:r w:rsidRPr="00D07DB8">
      <w:rPr>
        <w:b/>
        <w:sz w:val="18"/>
      </w:rPr>
      <w:fldChar w:fldCharType="begin"/>
    </w:r>
    <w:r w:rsidRPr="00D07DB8">
      <w:rPr>
        <w:b/>
        <w:sz w:val="18"/>
      </w:rPr>
      <w:instrText xml:space="preserve"> PAGE  \* MERGEFORMAT </w:instrText>
    </w:r>
    <w:r w:rsidRPr="00D07DB8">
      <w:rPr>
        <w:b/>
        <w:sz w:val="18"/>
      </w:rPr>
      <w:fldChar w:fldCharType="separate"/>
    </w:r>
    <w:r w:rsidR="006B5587">
      <w:rPr>
        <w:b/>
        <w:noProof/>
        <w:sz w:val="18"/>
      </w:rPr>
      <w:t>2</w:t>
    </w:r>
    <w:r w:rsidRPr="00D07DB8">
      <w:rPr>
        <w:b/>
        <w:sz w:val="18"/>
      </w:rPr>
      <w:fldChar w:fldCharType="end"/>
    </w:r>
    <w:r>
      <w:rPr>
        <w:b/>
        <w:sz w:val="18"/>
      </w:rPr>
      <w:tab/>
    </w:r>
    <w:r>
      <w:t>GE.18-12063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DB8" w:rsidRPr="00D07DB8" w:rsidRDefault="00D07DB8" w:rsidP="00D07DB8">
    <w:pPr>
      <w:pStyle w:val="Footer"/>
      <w:tabs>
        <w:tab w:val="right" w:pos="9638"/>
      </w:tabs>
      <w:rPr>
        <w:b/>
        <w:sz w:val="18"/>
      </w:rPr>
    </w:pPr>
    <w:r>
      <w:t>GE.18-12063</w:t>
    </w:r>
    <w:r>
      <w:tab/>
    </w:r>
    <w:r w:rsidRPr="00D07DB8">
      <w:rPr>
        <w:b/>
        <w:sz w:val="18"/>
      </w:rPr>
      <w:fldChar w:fldCharType="begin"/>
    </w:r>
    <w:r w:rsidRPr="00D07DB8">
      <w:rPr>
        <w:b/>
        <w:sz w:val="18"/>
      </w:rPr>
      <w:instrText xml:space="preserve"> PAGE  \* MERGEFORMAT </w:instrText>
    </w:r>
    <w:r w:rsidRPr="00D07DB8">
      <w:rPr>
        <w:b/>
        <w:sz w:val="18"/>
      </w:rPr>
      <w:fldChar w:fldCharType="separate"/>
    </w:r>
    <w:r w:rsidR="008924AE">
      <w:rPr>
        <w:b/>
        <w:noProof/>
        <w:sz w:val="18"/>
      </w:rPr>
      <w:t>2</w:t>
    </w:r>
    <w:r w:rsidRPr="00D07DB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D07DB8" w:rsidRDefault="00D07DB8" w:rsidP="00D07DB8">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12063  (</w:t>
    </w:r>
    <w:proofErr w:type="gramEnd"/>
    <w:r>
      <w:rPr>
        <w:sz w:val="20"/>
      </w:rPr>
      <w:t>F)</w:t>
    </w:r>
    <w:r w:rsidR="002E2F0A">
      <w:rPr>
        <w:sz w:val="20"/>
      </w:rPr>
      <w:t xml:space="preserve">    230818    270818</w:t>
    </w:r>
    <w:r>
      <w:rPr>
        <w:sz w:val="20"/>
      </w:rPr>
      <w:br/>
    </w:r>
    <w:r w:rsidRPr="00D07DB8">
      <w:rPr>
        <w:rFonts w:ascii="C39T30Lfz" w:hAnsi="C39T30Lfz"/>
        <w:sz w:val="56"/>
      </w:rPr>
      <w:t></w:t>
    </w:r>
    <w:r w:rsidRPr="00D07DB8">
      <w:rPr>
        <w:rFonts w:ascii="C39T30Lfz" w:hAnsi="C39T30Lfz"/>
        <w:sz w:val="56"/>
      </w:rPr>
      <w:t></w:t>
    </w:r>
    <w:r w:rsidRPr="00D07DB8">
      <w:rPr>
        <w:rFonts w:ascii="C39T30Lfz" w:hAnsi="C39T30Lfz"/>
        <w:sz w:val="56"/>
      </w:rPr>
      <w:t></w:t>
    </w:r>
    <w:r w:rsidRPr="00D07DB8">
      <w:rPr>
        <w:rFonts w:ascii="C39T30Lfz" w:hAnsi="C39T30Lfz"/>
        <w:sz w:val="56"/>
      </w:rPr>
      <w:t></w:t>
    </w:r>
    <w:r w:rsidRPr="00D07DB8">
      <w:rPr>
        <w:rFonts w:ascii="C39T30Lfz" w:hAnsi="C39T30Lfz"/>
        <w:sz w:val="56"/>
      </w:rPr>
      <w:t></w:t>
    </w:r>
    <w:r w:rsidRPr="00D07DB8">
      <w:rPr>
        <w:rFonts w:ascii="C39T30Lfz" w:hAnsi="C39T30Lfz"/>
        <w:sz w:val="56"/>
      </w:rPr>
      <w:t></w:t>
    </w:r>
    <w:r w:rsidRPr="00D07DB8">
      <w:rPr>
        <w:rFonts w:ascii="C39T30Lfz" w:hAnsi="C39T30Lfz"/>
        <w:sz w:val="56"/>
      </w:rPr>
      <w:t></w:t>
    </w:r>
    <w:r w:rsidRPr="00D07DB8">
      <w:rPr>
        <w:rFonts w:ascii="C39T30Lfz" w:hAnsi="C39T30Lfz"/>
        <w:sz w:val="56"/>
      </w:rPr>
      <w:t></w:t>
    </w:r>
    <w:r w:rsidRPr="00D07DB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8/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A07" w:rsidRPr="00AC3823" w:rsidRDefault="001B5A07" w:rsidP="00AC3823">
      <w:pPr>
        <w:pStyle w:val="Footer"/>
        <w:tabs>
          <w:tab w:val="right" w:pos="2155"/>
        </w:tabs>
        <w:spacing w:after="80" w:line="240" w:lineRule="atLeast"/>
        <w:ind w:left="680"/>
        <w:rPr>
          <w:u w:val="single"/>
        </w:rPr>
      </w:pPr>
      <w:r>
        <w:rPr>
          <w:u w:val="single"/>
        </w:rPr>
        <w:tab/>
      </w:r>
    </w:p>
  </w:footnote>
  <w:footnote w:type="continuationSeparator" w:id="0">
    <w:p w:rsidR="001B5A07" w:rsidRPr="00AC3823" w:rsidRDefault="001B5A07" w:rsidP="00AC3823">
      <w:pPr>
        <w:pStyle w:val="Footer"/>
        <w:tabs>
          <w:tab w:val="right" w:pos="2155"/>
        </w:tabs>
        <w:spacing w:after="80" w:line="240" w:lineRule="atLeast"/>
        <w:ind w:left="680"/>
        <w:rPr>
          <w:u w:val="single"/>
        </w:rPr>
      </w:pPr>
      <w:r>
        <w:rPr>
          <w:u w:val="single"/>
        </w:rPr>
        <w:tab/>
      </w:r>
    </w:p>
  </w:footnote>
  <w:footnote w:type="continuationNotice" w:id="1">
    <w:p w:rsidR="001B5A07" w:rsidRPr="00AC3823" w:rsidRDefault="001B5A07">
      <w:pPr>
        <w:spacing w:line="240" w:lineRule="auto"/>
        <w:rPr>
          <w:sz w:val="2"/>
          <w:szCs w:val="2"/>
        </w:rPr>
      </w:pPr>
    </w:p>
  </w:footnote>
  <w:footnote w:id="2">
    <w:p w:rsidR="00D07DB8" w:rsidRPr="00D07DB8" w:rsidRDefault="00D07DB8">
      <w:pPr>
        <w:pStyle w:val="FootnoteText"/>
      </w:pPr>
      <w:r>
        <w:rPr>
          <w:rStyle w:val="FootnoteReference"/>
        </w:rPr>
        <w:tab/>
      </w:r>
      <w:r w:rsidRPr="00D07DB8">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2014</w:t>
      </w:r>
      <w:r>
        <w:rPr>
          <w:lang w:val="fr-FR"/>
        </w:rPr>
        <w:noBreakHyphen/>
        <w:t>2018 (ECE/TRANS/240, par. 105, et ECE/TRANS/2014/26, module 02.4),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DB8" w:rsidRPr="00D07DB8" w:rsidRDefault="00981050">
    <w:pPr>
      <w:pStyle w:val="Header"/>
    </w:pPr>
    <w:r>
      <w:fldChar w:fldCharType="begin"/>
    </w:r>
    <w:r>
      <w:instrText xml:space="preserve"> TITLE  \* MERGEFORMAT </w:instrText>
    </w:r>
    <w:r>
      <w:fldChar w:fldCharType="separate"/>
    </w:r>
    <w:r w:rsidR="006B5587">
      <w:t>ECE/TRANS/WP.29/GRSG/2018/15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DB8" w:rsidRPr="00D07DB8" w:rsidRDefault="00981050" w:rsidP="00D07DB8">
    <w:pPr>
      <w:pStyle w:val="Header"/>
      <w:jc w:val="right"/>
    </w:pPr>
    <w:r>
      <w:fldChar w:fldCharType="begin"/>
    </w:r>
    <w:r>
      <w:instrText xml:space="preserve"> TITLE  \* MERGEFORMAT </w:instrText>
    </w:r>
    <w:r>
      <w:fldChar w:fldCharType="separate"/>
    </w:r>
    <w:r w:rsidR="006B5587">
      <w:t>ECE/TRANS/WP.29/GRSG/2018/15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A07"/>
    <w:rsid w:val="00017F94"/>
    <w:rsid w:val="00023842"/>
    <w:rsid w:val="000334F9"/>
    <w:rsid w:val="00045FEB"/>
    <w:rsid w:val="00054076"/>
    <w:rsid w:val="0007796D"/>
    <w:rsid w:val="000B7790"/>
    <w:rsid w:val="00111F2F"/>
    <w:rsid w:val="0014365E"/>
    <w:rsid w:val="00143C66"/>
    <w:rsid w:val="00176178"/>
    <w:rsid w:val="001B5A07"/>
    <w:rsid w:val="001F525A"/>
    <w:rsid w:val="00223272"/>
    <w:rsid w:val="0024779E"/>
    <w:rsid w:val="00257168"/>
    <w:rsid w:val="002744B8"/>
    <w:rsid w:val="002832AC"/>
    <w:rsid w:val="002D7C93"/>
    <w:rsid w:val="002E2F0A"/>
    <w:rsid w:val="00305801"/>
    <w:rsid w:val="003916DE"/>
    <w:rsid w:val="00421996"/>
    <w:rsid w:val="00441C3B"/>
    <w:rsid w:val="00446FE5"/>
    <w:rsid w:val="00452396"/>
    <w:rsid w:val="004837D8"/>
    <w:rsid w:val="004E2EED"/>
    <w:rsid w:val="004E468C"/>
    <w:rsid w:val="005505B7"/>
    <w:rsid w:val="00573BE5"/>
    <w:rsid w:val="00586ED3"/>
    <w:rsid w:val="00596AA9"/>
    <w:rsid w:val="006B5587"/>
    <w:rsid w:val="0071601D"/>
    <w:rsid w:val="007A62E6"/>
    <w:rsid w:val="007F20FA"/>
    <w:rsid w:val="0080684C"/>
    <w:rsid w:val="00871C75"/>
    <w:rsid w:val="008776DC"/>
    <w:rsid w:val="008924AE"/>
    <w:rsid w:val="009446C0"/>
    <w:rsid w:val="009705C8"/>
    <w:rsid w:val="00981050"/>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07DB8"/>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F90CCD-A44B-4890-8EFC-D5E979D3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2322</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ECE/TRANS/WP.29/GRSG/2018/15</vt:lpstr>
      <vt:lpstr>ECE/TRANS/WP.29/GRSG/2018/15</vt:lpstr>
    </vt:vector>
  </TitlesOfParts>
  <Company>DCM</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ECE/TRANS/WP.29/GRSG/2018/15</dc:title>
  <dc:subject/>
  <dc:creator>Christine DEVOUASSOUX</dc:creator>
  <cp:keywords/>
  <cp:lastModifiedBy>Secretariat</cp:lastModifiedBy>
  <cp:revision>2</cp:revision>
  <cp:lastPrinted>2018-08-27T09:08:00Z</cp:lastPrinted>
  <dcterms:created xsi:type="dcterms:W3CDTF">2018-08-28T12:47:00Z</dcterms:created>
  <dcterms:modified xsi:type="dcterms:W3CDTF">2018-08-28T12:47:00Z</dcterms:modified>
</cp:coreProperties>
</file>