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C64574" w:rsidRPr="00C64574" w14:paraId="271B9ED4" w14:textId="77777777" w:rsidTr="00D5792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8DB299" w14:textId="77777777" w:rsidR="00B56E9C" w:rsidRPr="00593753" w:rsidRDefault="00B56E9C" w:rsidP="00D5792F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096E93" w14:textId="77777777" w:rsidR="00B56E9C" w:rsidRPr="00D5792F" w:rsidRDefault="00B56E9C" w:rsidP="00D5792F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D5792F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E3D2D3" w14:textId="2FCD5CDF" w:rsidR="001F20EF" w:rsidRPr="00C64574" w:rsidRDefault="00803BF8" w:rsidP="002F725C">
            <w:pPr>
              <w:jc w:val="right"/>
            </w:pPr>
            <w:r w:rsidRPr="00C64574">
              <w:rPr>
                <w:sz w:val="40"/>
              </w:rPr>
              <w:t>ECE</w:t>
            </w:r>
            <w:r w:rsidRPr="00C64574">
              <w:t>/TRANS/WP.29/GR</w:t>
            </w:r>
            <w:r w:rsidR="000D4EB3" w:rsidRPr="00C64574">
              <w:t>SG</w:t>
            </w:r>
            <w:r w:rsidRPr="00C64574">
              <w:t>/201</w:t>
            </w:r>
            <w:r w:rsidR="00A87C87">
              <w:t>8</w:t>
            </w:r>
            <w:r w:rsidR="00B61A08">
              <w:t>/</w:t>
            </w:r>
            <w:r w:rsidR="002F725C">
              <w:t>3</w:t>
            </w:r>
          </w:p>
        </w:tc>
      </w:tr>
      <w:tr w:rsidR="00B56E9C" w:rsidRPr="00593753" w14:paraId="05AD1DE7" w14:textId="77777777" w:rsidTr="00D5792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9A8EB01" w14:textId="77777777" w:rsidR="00B56E9C" w:rsidRPr="00593753" w:rsidRDefault="00D40653" w:rsidP="00D5792F">
            <w:pPr>
              <w:spacing w:before="120"/>
            </w:pPr>
            <w:r>
              <w:rPr>
                <w:noProof/>
                <w:lang w:eastAsia="zh-CN"/>
              </w:rPr>
              <w:drawing>
                <wp:inline distT="0" distB="0" distL="0" distR="0" wp14:anchorId="3B686F33" wp14:editId="307EDC02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04C63DA" w14:textId="77777777" w:rsidR="00B56E9C" w:rsidRPr="00D5792F" w:rsidRDefault="00D773DF" w:rsidP="00D5792F">
            <w:pPr>
              <w:spacing w:before="120" w:line="420" w:lineRule="exact"/>
              <w:rPr>
                <w:sz w:val="40"/>
                <w:szCs w:val="40"/>
              </w:rPr>
            </w:pPr>
            <w:r w:rsidRPr="00D5792F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D9F578B" w14:textId="77777777" w:rsidR="00803BF8" w:rsidRPr="00593753" w:rsidRDefault="00803BF8" w:rsidP="00D5792F">
            <w:pPr>
              <w:spacing w:before="240" w:line="240" w:lineRule="exact"/>
            </w:pPr>
            <w:r w:rsidRPr="00593753">
              <w:t>Distr.: General</w:t>
            </w:r>
          </w:p>
          <w:p w14:paraId="44EE55EC" w14:textId="167A1F03" w:rsidR="00803BF8" w:rsidRPr="00593753" w:rsidRDefault="007219ED" w:rsidP="00D5792F">
            <w:pPr>
              <w:spacing w:line="240" w:lineRule="exact"/>
            </w:pPr>
            <w:r>
              <w:t>22</w:t>
            </w:r>
            <w:r w:rsidR="00A87C87">
              <w:t xml:space="preserve"> </w:t>
            </w:r>
            <w:r w:rsidR="003B4673">
              <w:t>J</w:t>
            </w:r>
            <w:r w:rsidR="00A87C87">
              <w:t>anuary</w:t>
            </w:r>
            <w:r w:rsidR="002B47CA">
              <w:t xml:space="preserve"> 201</w:t>
            </w:r>
            <w:r w:rsidR="00A87C87">
              <w:t>8</w:t>
            </w:r>
          </w:p>
          <w:p w14:paraId="06632431" w14:textId="77777777" w:rsidR="00803BF8" w:rsidRPr="00593753" w:rsidRDefault="00803BF8" w:rsidP="00D5792F">
            <w:pPr>
              <w:spacing w:line="240" w:lineRule="exact"/>
            </w:pPr>
          </w:p>
          <w:p w14:paraId="24701D08" w14:textId="77777777" w:rsidR="003C17CC" w:rsidRPr="00593753" w:rsidRDefault="00803BF8" w:rsidP="00D5792F">
            <w:pPr>
              <w:spacing w:line="240" w:lineRule="exact"/>
            </w:pPr>
            <w:r w:rsidRPr="00593753">
              <w:t>Original: English</w:t>
            </w:r>
          </w:p>
          <w:p w14:paraId="7C167C57" w14:textId="77777777" w:rsidR="00EA2A77" w:rsidRPr="00593753" w:rsidRDefault="00EA2A77" w:rsidP="00D5792F">
            <w:pPr>
              <w:spacing w:line="240" w:lineRule="exact"/>
            </w:pPr>
          </w:p>
        </w:tc>
      </w:tr>
    </w:tbl>
    <w:p w14:paraId="5D60E9FA" w14:textId="77777777" w:rsidR="00442A83" w:rsidRPr="00593753" w:rsidRDefault="00C96DF2" w:rsidP="00C96DF2">
      <w:pPr>
        <w:spacing w:before="120"/>
        <w:rPr>
          <w:b/>
          <w:sz w:val="28"/>
          <w:szCs w:val="28"/>
        </w:rPr>
      </w:pPr>
      <w:r w:rsidRPr="00593753">
        <w:rPr>
          <w:b/>
          <w:sz w:val="28"/>
          <w:szCs w:val="28"/>
        </w:rPr>
        <w:t>Economic Commission for Europe</w:t>
      </w:r>
    </w:p>
    <w:p w14:paraId="69FD0B76" w14:textId="77777777" w:rsidR="00C96DF2" w:rsidRPr="00593753" w:rsidRDefault="008F31D2" w:rsidP="00C96DF2">
      <w:pPr>
        <w:spacing w:before="120"/>
        <w:rPr>
          <w:sz w:val="28"/>
          <w:szCs w:val="28"/>
        </w:rPr>
      </w:pPr>
      <w:r w:rsidRPr="00593753">
        <w:rPr>
          <w:sz w:val="28"/>
          <w:szCs w:val="28"/>
        </w:rPr>
        <w:t>Inland Transport Committee</w:t>
      </w:r>
    </w:p>
    <w:p w14:paraId="2BADA06F" w14:textId="77777777" w:rsidR="00EA2A77" w:rsidRPr="00593753" w:rsidRDefault="00EA2A77" w:rsidP="00EA2A77">
      <w:pPr>
        <w:spacing w:before="120"/>
        <w:rPr>
          <w:b/>
          <w:sz w:val="24"/>
          <w:szCs w:val="24"/>
        </w:rPr>
      </w:pPr>
      <w:r w:rsidRPr="00593753">
        <w:rPr>
          <w:b/>
          <w:sz w:val="24"/>
          <w:szCs w:val="24"/>
        </w:rPr>
        <w:t xml:space="preserve">World Forum for Harmonization of Vehicle </w:t>
      </w:r>
      <w:r w:rsidR="00D26E07" w:rsidRPr="00593753">
        <w:rPr>
          <w:b/>
          <w:sz w:val="24"/>
          <w:szCs w:val="24"/>
        </w:rPr>
        <w:t>Regulation</w:t>
      </w:r>
      <w:r w:rsidRPr="00593753">
        <w:rPr>
          <w:b/>
          <w:sz w:val="24"/>
          <w:szCs w:val="24"/>
        </w:rPr>
        <w:t>s</w:t>
      </w:r>
    </w:p>
    <w:p w14:paraId="3EF091C0" w14:textId="77777777" w:rsidR="003C17CC" w:rsidRPr="00C64574" w:rsidRDefault="003C17CC" w:rsidP="00EA2A77">
      <w:pPr>
        <w:spacing w:before="120"/>
        <w:rPr>
          <w:b/>
        </w:rPr>
      </w:pPr>
      <w:r w:rsidRPr="00C64574">
        <w:rPr>
          <w:b/>
        </w:rPr>
        <w:t xml:space="preserve">Working Party on </w:t>
      </w:r>
      <w:r w:rsidR="00E109DD" w:rsidRPr="00C64574">
        <w:rPr>
          <w:b/>
        </w:rPr>
        <w:t xml:space="preserve">General Safety </w:t>
      </w:r>
      <w:r w:rsidR="00F96D3C" w:rsidRPr="00C64574">
        <w:rPr>
          <w:b/>
        </w:rPr>
        <w:t>Provisions</w:t>
      </w:r>
    </w:p>
    <w:p w14:paraId="2E143AE8" w14:textId="1125216E" w:rsidR="00C96DF2" w:rsidRPr="00C64574" w:rsidRDefault="00856FAA" w:rsidP="00C96DF2">
      <w:pPr>
        <w:spacing w:before="120"/>
        <w:rPr>
          <w:b/>
        </w:rPr>
      </w:pPr>
      <w:r w:rsidRPr="00C64574">
        <w:rPr>
          <w:b/>
        </w:rPr>
        <w:t>1</w:t>
      </w:r>
      <w:r w:rsidR="002A7DBF">
        <w:rPr>
          <w:b/>
        </w:rPr>
        <w:t>1</w:t>
      </w:r>
      <w:r w:rsidR="00A87C87">
        <w:rPr>
          <w:b/>
        </w:rPr>
        <w:t>4</w:t>
      </w:r>
      <w:r w:rsidR="0003564D" w:rsidRPr="000A63F8">
        <w:rPr>
          <w:b/>
        </w:rPr>
        <w:t>th</w:t>
      </w:r>
      <w:r w:rsidR="003C17CC" w:rsidRPr="000A63F8">
        <w:rPr>
          <w:b/>
        </w:rPr>
        <w:t xml:space="preserve"> </w:t>
      </w:r>
      <w:r w:rsidR="00182290" w:rsidRPr="00C64574">
        <w:rPr>
          <w:b/>
        </w:rPr>
        <w:t>session</w:t>
      </w:r>
    </w:p>
    <w:p w14:paraId="38C43504" w14:textId="1529DFE5" w:rsidR="003B4673" w:rsidRPr="00C64574" w:rsidRDefault="003B4673" w:rsidP="003B4673">
      <w:r w:rsidRPr="00C64574">
        <w:t xml:space="preserve">Geneva, </w:t>
      </w:r>
      <w:r w:rsidR="00A87C87">
        <w:t>9</w:t>
      </w:r>
      <w:r>
        <w:t xml:space="preserve">-13 </w:t>
      </w:r>
      <w:r w:rsidR="00A87C87">
        <w:t>April</w:t>
      </w:r>
      <w:r w:rsidRPr="00C64574">
        <w:t xml:space="preserve"> 201</w:t>
      </w:r>
      <w:r w:rsidR="00A87C87">
        <w:t>8</w:t>
      </w:r>
    </w:p>
    <w:p w14:paraId="33AA25CC" w14:textId="56BE3B9D" w:rsidR="003B4673" w:rsidRPr="00DF418A" w:rsidRDefault="003B4673" w:rsidP="003B4673">
      <w:r w:rsidRPr="00DF418A">
        <w:t xml:space="preserve">Item </w:t>
      </w:r>
      <w:r>
        <w:t>6(</w:t>
      </w:r>
      <w:r w:rsidR="00B22EC9">
        <w:t>b</w:t>
      </w:r>
      <w:r>
        <w:t>)</w:t>
      </w:r>
      <w:r w:rsidRPr="00DF418A">
        <w:t xml:space="preserve"> of the provisional agenda</w:t>
      </w:r>
    </w:p>
    <w:p w14:paraId="2178DE26" w14:textId="77777777" w:rsidR="003B4673" w:rsidRDefault="003B4673" w:rsidP="003B4673">
      <w:pPr>
        <w:rPr>
          <w:b/>
        </w:rPr>
      </w:pPr>
      <w:r w:rsidRPr="00576E18">
        <w:rPr>
          <w:b/>
        </w:rPr>
        <w:t xml:space="preserve">Amendments to gas-fuelled vehicle </w:t>
      </w:r>
    </w:p>
    <w:p w14:paraId="34EF25E2" w14:textId="484C0C71" w:rsidR="003B4673" w:rsidRPr="001F20EF" w:rsidRDefault="003B4673" w:rsidP="003B4673">
      <w:pPr>
        <w:rPr>
          <w:b/>
          <w:lang w:val="en-US"/>
        </w:rPr>
      </w:pPr>
      <w:r w:rsidRPr="00576E18">
        <w:rPr>
          <w:b/>
        </w:rPr>
        <w:t xml:space="preserve">regulations </w:t>
      </w:r>
      <w:r>
        <w:rPr>
          <w:b/>
        </w:rPr>
        <w:t xml:space="preserve">– </w:t>
      </w:r>
      <w:r w:rsidR="00D709BA">
        <w:rPr>
          <w:b/>
        </w:rPr>
        <w:t xml:space="preserve">UN </w:t>
      </w:r>
      <w:r w:rsidRPr="00DF418A">
        <w:rPr>
          <w:b/>
        </w:rPr>
        <w:t xml:space="preserve">Regulation No. </w:t>
      </w:r>
      <w:r w:rsidR="00B22EC9">
        <w:rPr>
          <w:b/>
        </w:rPr>
        <w:t>110</w:t>
      </w:r>
      <w:r w:rsidRPr="00DF418A">
        <w:rPr>
          <w:b/>
        </w:rPr>
        <w:t xml:space="preserve"> (</w:t>
      </w:r>
      <w:r w:rsidR="00B22EC9">
        <w:rPr>
          <w:b/>
        </w:rPr>
        <w:t xml:space="preserve">CNG and </w:t>
      </w:r>
      <w:r>
        <w:rPr>
          <w:b/>
        </w:rPr>
        <w:t>L</w:t>
      </w:r>
      <w:r w:rsidR="00B22EC9">
        <w:rPr>
          <w:b/>
        </w:rPr>
        <w:t>N</w:t>
      </w:r>
      <w:r>
        <w:rPr>
          <w:b/>
        </w:rPr>
        <w:t xml:space="preserve">G </w:t>
      </w:r>
      <w:r w:rsidRPr="00C768BA">
        <w:rPr>
          <w:b/>
        </w:rPr>
        <w:t>vehicles</w:t>
      </w:r>
      <w:r w:rsidRPr="00DF418A">
        <w:rPr>
          <w:b/>
        </w:rPr>
        <w:t>)</w:t>
      </w:r>
    </w:p>
    <w:p w14:paraId="1F356798" w14:textId="78A87078" w:rsidR="003B4673" w:rsidRDefault="003B4673" w:rsidP="003B4673">
      <w:pPr>
        <w:pStyle w:val="HChG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42B92">
        <w:rPr>
          <w:sz w:val="26"/>
          <w:szCs w:val="26"/>
        </w:rPr>
        <w:t xml:space="preserve">Proposal for </w:t>
      </w:r>
      <w:r w:rsidR="00172D26">
        <w:rPr>
          <w:sz w:val="26"/>
          <w:szCs w:val="26"/>
        </w:rPr>
        <w:t>Corrigendum</w:t>
      </w:r>
      <w:r w:rsidR="001407D5">
        <w:rPr>
          <w:sz w:val="26"/>
          <w:szCs w:val="26"/>
        </w:rPr>
        <w:t xml:space="preserve"> 1 to </w:t>
      </w:r>
      <w:r w:rsidR="00172D26">
        <w:rPr>
          <w:sz w:val="26"/>
          <w:szCs w:val="26"/>
        </w:rPr>
        <w:t xml:space="preserve">Revision 3 </w:t>
      </w:r>
      <w:r w:rsidRPr="00142B92">
        <w:rPr>
          <w:sz w:val="26"/>
          <w:szCs w:val="26"/>
        </w:rPr>
        <w:t>o</w:t>
      </w:r>
      <w:r w:rsidR="00172D26">
        <w:rPr>
          <w:sz w:val="26"/>
          <w:szCs w:val="26"/>
        </w:rPr>
        <w:t>f</w:t>
      </w:r>
      <w:r w:rsidRPr="00142B92">
        <w:rPr>
          <w:sz w:val="26"/>
          <w:szCs w:val="26"/>
        </w:rPr>
        <w:t xml:space="preserve"> </w:t>
      </w:r>
      <w:r w:rsidR="00D709BA">
        <w:rPr>
          <w:sz w:val="26"/>
          <w:szCs w:val="26"/>
        </w:rPr>
        <w:t xml:space="preserve">UN </w:t>
      </w:r>
      <w:r w:rsidRPr="00142B92">
        <w:rPr>
          <w:sz w:val="26"/>
          <w:szCs w:val="26"/>
        </w:rPr>
        <w:t>Regulation No.</w:t>
      </w:r>
      <w:r w:rsidR="00172D26">
        <w:rPr>
          <w:sz w:val="26"/>
          <w:szCs w:val="26"/>
        </w:rPr>
        <w:t> </w:t>
      </w:r>
      <w:r w:rsidR="00B22EC9">
        <w:rPr>
          <w:sz w:val="26"/>
          <w:szCs w:val="26"/>
        </w:rPr>
        <w:t>110</w:t>
      </w:r>
      <w:r w:rsidRPr="00142B92">
        <w:rPr>
          <w:sz w:val="26"/>
          <w:szCs w:val="26"/>
        </w:rPr>
        <w:t xml:space="preserve"> (</w:t>
      </w:r>
      <w:r w:rsidR="00B22EC9" w:rsidRPr="00B22EC9">
        <w:rPr>
          <w:sz w:val="26"/>
          <w:szCs w:val="26"/>
        </w:rPr>
        <w:t>CNG and LNG</w:t>
      </w:r>
      <w:r>
        <w:rPr>
          <w:sz w:val="26"/>
          <w:szCs w:val="26"/>
        </w:rPr>
        <w:t xml:space="preserve"> </w:t>
      </w:r>
      <w:r w:rsidRPr="00142B92">
        <w:rPr>
          <w:sz w:val="26"/>
          <w:szCs w:val="26"/>
        </w:rPr>
        <w:t>vehicles)</w:t>
      </w:r>
    </w:p>
    <w:p w14:paraId="15C212E1" w14:textId="2B7FE3F7" w:rsidR="002B47CA" w:rsidRPr="00DF418A" w:rsidRDefault="002B47CA" w:rsidP="002B47CA">
      <w:pPr>
        <w:pStyle w:val="H1G"/>
        <w:tabs>
          <w:tab w:val="clear" w:pos="851"/>
        </w:tabs>
        <w:ind w:firstLine="0"/>
        <w:rPr>
          <w:vertAlign w:val="superscript"/>
        </w:rPr>
      </w:pPr>
      <w:r w:rsidRPr="00DF418A">
        <w:t xml:space="preserve">Submitted by </w:t>
      </w:r>
      <w:r w:rsidR="00DF418A" w:rsidRPr="00DF418A">
        <w:t>the expert</w:t>
      </w:r>
      <w:r w:rsidR="001D3177">
        <w:t>s</w:t>
      </w:r>
      <w:r w:rsidR="00DF418A" w:rsidRPr="00DF418A">
        <w:t xml:space="preserve"> </w:t>
      </w:r>
      <w:r w:rsidR="00D709BA">
        <w:t xml:space="preserve">from </w:t>
      </w:r>
      <w:r w:rsidR="001D3177" w:rsidRPr="001D3177">
        <w:t>the International Organization for Standardization</w:t>
      </w:r>
      <w:r w:rsidR="001D3177">
        <w:t xml:space="preserve"> a</w:t>
      </w:r>
      <w:r w:rsidR="001D3177" w:rsidRPr="001D3177">
        <w:t xml:space="preserve">nd </w:t>
      </w:r>
      <w:r w:rsidR="008333FE">
        <w:t xml:space="preserve">the </w:t>
      </w:r>
      <w:r w:rsidR="001D3177" w:rsidRPr="001D3177">
        <w:t>International Association for Natural Gas Vehicles</w:t>
      </w:r>
      <w:r w:rsidRPr="00DF418A">
        <w:rPr>
          <w:vertAlign w:val="superscript"/>
        </w:rPr>
        <w:footnoteReference w:customMarkFollows="1" w:id="2"/>
        <w:t>*</w:t>
      </w:r>
    </w:p>
    <w:p w14:paraId="515B0E8A" w14:textId="6459394B" w:rsidR="00DF418A" w:rsidRPr="003B4673" w:rsidRDefault="0050261A" w:rsidP="00704CB6">
      <w:pPr>
        <w:ind w:left="1134" w:right="1134" w:firstLine="567"/>
        <w:jc w:val="both"/>
      </w:pPr>
      <w:r w:rsidRPr="003B4673">
        <w:t>The text reproduced below was prepared by the expert</w:t>
      </w:r>
      <w:r w:rsidR="00172D26">
        <w:t>s</w:t>
      </w:r>
      <w:r w:rsidRPr="003B4673">
        <w:t xml:space="preserve"> </w:t>
      </w:r>
      <w:r w:rsidR="00D709BA">
        <w:t xml:space="preserve">from </w:t>
      </w:r>
      <w:r w:rsidR="00172D26">
        <w:t xml:space="preserve">the </w:t>
      </w:r>
      <w:r w:rsidR="00172D26" w:rsidRPr="00E064E6">
        <w:rPr>
          <w:rFonts w:eastAsia="MS Mincho"/>
          <w:lang w:val="en-US" w:eastAsia="ja-JP"/>
        </w:rPr>
        <w:t>International Organization for Standardization (ISO)</w:t>
      </w:r>
      <w:r w:rsidR="00172D26">
        <w:rPr>
          <w:rFonts w:eastAsia="MS Mincho"/>
          <w:lang w:val="en-US" w:eastAsia="ja-JP"/>
        </w:rPr>
        <w:t xml:space="preserve"> and </w:t>
      </w:r>
      <w:r w:rsidR="008333FE">
        <w:rPr>
          <w:rFonts w:eastAsia="MS Mincho"/>
          <w:lang w:val="en-US" w:eastAsia="ja-JP"/>
        </w:rPr>
        <w:t xml:space="preserve">the </w:t>
      </w:r>
      <w:r w:rsidR="00172D26" w:rsidRPr="0098442E">
        <w:rPr>
          <w:rFonts w:eastAsia="MS Mincho"/>
          <w:lang w:val="en-US" w:eastAsia="ja-JP"/>
        </w:rPr>
        <w:t xml:space="preserve">International Association for Natural Gas Vehicles </w:t>
      </w:r>
      <w:r w:rsidR="00172D26">
        <w:rPr>
          <w:rFonts w:eastAsia="MS Mincho"/>
          <w:lang w:val="en-US" w:eastAsia="ja-JP"/>
        </w:rPr>
        <w:t>(</w:t>
      </w:r>
      <w:r w:rsidR="00172D26" w:rsidRPr="0098442E">
        <w:rPr>
          <w:rFonts w:eastAsia="MS Mincho"/>
          <w:lang w:val="en-US" w:eastAsia="ja-JP"/>
        </w:rPr>
        <w:t>NGV Global)</w:t>
      </w:r>
      <w:r w:rsidRPr="003B4673">
        <w:t xml:space="preserve"> </w:t>
      </w:r>
      <w:r w:rsidR="00557459" w:rsidRPr="003B4673">
        <w:t>to</w:t>
      </w:r>
      <w:r w:rsidR="00043B2C" w:rsidRPr="003B4673">
        <w:t xml:space="preserve"> </w:t>
      </w:r>
      <w:r w:rsidR="00172D26">
        <w:t>correct Table 6.4 of Annex 3A</w:t>
      </w:r>
      <w:r w:rsidRPr="003B4673">
        <w:t xml:space="preserve">. </w:t>
      </w:r>
      <w:r w:rsidR="000703CF" w:rsidRPr="003B4673">
        <w:t>It is</w:t>
      </w:r>
      <w:r w:rsidR="00A90194">
        <w:t xml:space="preserve"> </w:t>
      </w:r>
      <w:r w:rsidR="00A87C87">
        <w:t xml:space="preserve">based on informal </w:t>
      </w:r>
      <w:r w:rsidR="001407D5">
        <w:t>document</w:t>
      </w:r>
      <w:r w:rsidR="000703CF" w:rsidRPr="003B4673">
        <w:t xml:space="preserve"> </w:t>
      </w:r>
      <w:r w:rsidR="00A87C87">
        <w:t>GRSG-113-</w:t>
      </w:r>
      <w:r w:rsidR="00172D26">
        <w:t>06</w:t>
      </w:r>
      <w:r w:rsidR="00A90194">
        <w:t xml:space="preserve">, </w:t>
      </w:r>
      <w:r w:rsidR="001407D5">
        <w:t xml:space="preserve">presented at the </w:t>
      </w:r>
      <w:r w:rsidR="003B4673">
        <w:t>11</w:t>
      </w:r>
      <w:r w:rsidR="00A87C87">
        <w:t>3</w:t>
      </w:r>
      <w:r w:rsidR="003B4673">
        <w:t xml:space="preserve">th </w:t>
      </w:r>
      <w:r w:rsidR="000703CF" w:rsidRPr="003B4673">
        <w:t>session of the Working Party on General Safety Provisions (GRSG) (see report</w:t>
      </w:r>
      <w:r w:rsidR="003B4673">
        <w:t xml:space="preserve"> </w:t>
      </w:r>
      <w:r w:rsidR="003B4673" w:rsidRPr="003B4673">
        <w:t>ECE/TRANS/WP.29/GRSG/9</w:t>
      </w:r>
      <w:r w:rsidR="00A87C87">
        <w:t>2</w:t>
      </w:r>
      <w:r w:rsidR="003B4673" w:rsidRPr="003B4673">
        <w:t xml:space="preserve">, para. </w:t>
      </w:r>
      <w:r w:rsidR="00172D26">
        <w:t>43</w:t>
      </w:r>
      <w:r w:rsidR="000703CF" w:rsidRPr="003B4673">
        <w:t>).</w:t>
      </w:r>
      <w:r w:rsidR="0048413F" w:rsidRPr="003B4673">
        <w:t xml:space="preserve"> </w:t>
      </w:r>
      <w:r w:rsidRPr="003B4673">
        <w:t>The modifications to the current text o</w:t>
      </w:r>
      <w:r w:rsidR="00557459" w:rsidRPr="003B4673">
        <w:t>f</w:t>
      </w:r>
      <w:r w:rsidRPr="003B4673">
        <w:t xml:space="preserve"> UN Regulation No. </w:t>
      </w:r>
      <w:r w:rsidR="00CF2CD5">
        <w:t>110</w:t>
      </w:r>
      <w:r w:rsidRPr="003B4673">
        <w:t xml:space="preserve"> are marked in bold characters</w:t>
      </w:r>
      <w:r w:rsidR="005D6B0A" w:rsidRPr="003B4673">
        <w:rPr>
          <w:lang w:val="en-US"/>
        </w:rPr>
        <w:t>.</w:t>
      </w:r>
    </w:p>
    <w:p w14:paraId="2D49A4F1" w14:textId="77777777" w:rsidR="00DF418A" w:rsidRPr="00DF418A" w:rsidRDefault="00757F2F" w:rsidP="00DF418A">
      <w:pPr>
        <w:spacing w:before="360" w:after="240" w:line="240" w:lineRule="auto"/>
        <w:ind w:left="1134" w:right="1134" w:hanging="567"/>
        <w:jc w:val="both"/>
        <w:rPr>
          <w:b/>
          <w:sz w:val="28"/>
        </w:rPr>
      </w:pPr>
      <w:r w:rsidRPr="00593753">
        <w:br w:type="page"/>
      </w:r>
      <w:r w:rsidR="00DF418A" w:rsidRPr="00DF418A">
        <w:rPr>
          <w:b/>
          <w:sz w:val="28"/>
        </w:rPr>
        <w:lastRenderedPageBreak/>
        <w:t>I.</w:t>
      </w:r>
      <w:r w:rsidR="00DF418A" w:rsidRPr="00DF418A">
        <w:rPr>
          <w:b/>
          <w:sz w:val="28"/>
        </w:rPr>
        <w:tab/>
        <w:t>Proposal</w:t>
      </w:r>
    </w:p>
    <w:p w14:paraId="3F109AA0" w14:textId="7F58F434" w:rsidR="00B22EC9" w:rsidRPr="00B22EC9" w:rsidRDefault="00B22EC9" w:rsidP="00B22EC9">
      <w:pPr>
        <w:tabs>
          <w:tab w:val="left" w:pos="2835"/>
        </w:tabs>
        <w:spacing w:before="120" w:after="120"/>
        <w:ind w:left="2268" w:right="1134" w:hanging="1134"/>
        <w:jc w:val="both"/>
        <w:rPr>
          <w:color w:val="00000A"/>
          <w:lang w:eastAsia="ar-SA"/>
        </w:rPr>
      </w:pPr>
      <w:r>
        <w:rPr>
          <w:i/>
          <w:color w:val="00000A"/>
          <w:lang w:eastAsia="ar-SA"/>
        </w:rPr>
        <w:t xml:space="preserve">Annex </w:t>
      </w:r>
      <w:r w:rsidRPr="00B22EC9">
        <w:rPr>
          <w:i/>
          <w:color w:val="00000A"/>
          <w:lang w:eastAsia="ar-SA"/>
        </w:rPr>
        <w:t>3</w:t>
      </w:r>
      <w:r>
        <w:rPr>
          <w:i/>
          <w:color w:val="00000A"/>
          <w:lang w:eastAsia="ar-SA"/>
        </w:rPr>
        <w:t>A</w:t>
      </w:r>
      <w:r w:rsidRPr="00B22EC9">
        <w:rPr>
          <w:i/>
          <w:color w:val="00000A"/>
          <w:lang w:eastAsia="ar-SA"/>
        </w:rPr>
        <w:t>, Table 6.4,</w:t>
      </w:r>
      <w:r w:rsidRPr="00B22EC9">
        <w:rPr>
          <w:color w:val="00000A"/>
          <w:lang w:eastAsia="ar-SA"/>
        </w:rPr>
        <w:t xml:space="preserve"> </w:t>
      </w:r>
      <w:r w:rsidRPr="00B22EC9">
        <w:t>replace</w:t>
      </w:r>
      <w:r w:rsidRPr="00B22EC9">
        <w:rPr>
          <w:color w:val="00000A"/>
          <w:lang w:eastAsia="ar-SA"/>
        </w:rPr>
        <w:t xml:space="preserve"> by:</w:t>
      </w:r>
    </w:p>
    <w:p w14:paraId="7B08B64D" w14:textId="77777777" w:rsidR="00B22EC9" w:rsidRPr="00B22EC9" w:rsidRDefault="00B22EC9" w:rsidP="00B22EC9">
      <w:pPr>
        <w:keepNext/>
        <w:keepLines/>
        <w:spacing w:before="120" w:after="40" w:line="240" w:lineRule="auto"/>
        <w:ind w:left="1134"/>
        <w:outlineLvl w:val="0"/>
        <w:rPr>
          <w:b/>
          <w:bCs/>
        </w:rPr>
      </w:pPr>
      <w:bookmarkStart w:id="1" w:name="_Toc343849530"/>
      <w:r w:rsidRPr="00B22EC9">
        <w:t>"Table 6.4</w:t>
      </w:r>
      <w:bookmarkStart w:id="2" w:name="_Toc343849531"/>
      <w:bookmarkEnd w:id="1"/>
      <w:r w:rsidRPr="00B22EC9">
        <w:br/>
      </w:r>
      <w:r w:rsidRPr="00B22EC9">
        <w:rPr>
          <w:b/>
        </w:rPr>
        <w:t>Cylinder design qualification tests</w:t>
      </w:r>
      <w:bookmarkEnd w:id="2"/>
    </w:p>
    <w:tbl>
      <w:tblPr>
        <w:tblW w:w="7371" w:type="dxa"/>
        <w:tblInd w:w="125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02"/>
        <w:gridCol w:w="993"/>
        <w:gridCol w:w="992"/>
        <w:gridCol w:w="992"/>
        <w:gridCol w:w="992"/>
      </w:tblGrid>
      <w:tr w:rsidR="00B22EC9" w:rsidRPr="00B22EC9" w14:paraId="254C76EB" w14:textId="77777777" w:rsidTr="00CC25F3">
        <w:tc>
          <w:tcPr>
            <w:tcW w:w="34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bottom"/>
          </w:tcPr>
          <w:p w14:paraId="1846A16F" w14:textId="77777777" w:rsidR="00B22EC9" w:rsidRPr="00B22EC9" w:rsidRDefault="00B22EC9" w:rsidP="00B22EC9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 w:line="240" w:lineRule="auto"/>
              <w:rPr>
                <w:bCs/>
                <w:i/>
                <w:sz w:val="16"/>
                <w:szCs w:val="16"/>
              </w:rPr>
            </w:pPr>
            <w:r w:rsidRPr="00B22EC9">
              <w:rPr>
                <w:bCs/>
                <w:i/>
                <w:sz w:val="16"/>
                <w:szCs w:val="16"/>
              </w:rPr>
              <w:t>Test and annex reference</w:t>
            </w:r>
          </w:p>
        </w:tc>
        <w:tc>
          <w:tcPr>
            <w:tcW w:w="3969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68ABE3BB" w14:textId="77777777" w:rsidR="00B22EC9" w:rsidRPr="00B22EC9" w:rsidRDefault="00B22EC9" w:rsidP="00B22EC9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Cs/>
                <w:i/>
                <w:sz w:val="16"/>
                <w:szCs w:val="16"/>
              </w:rPr>
            </w:pPr>
            <w:r w:rsidRPr="00B22EC9">
              <w:rPr>
                <w:bCs/>
                <w:i/>
                <w:sz w:val="16"/>
                <w:szCs w:val="16"/>
              </w:rPr>
              <w:t>Cylinder type</w:t>
            </w:r>
          </w:p>
        </w:tc>
      </w:tr>
      <w:tr w:rsidR="00B22EC9" w:rsidRPr="00B22EC9" w14:paraId="5D81AD1D" w14:textId="77777777" w:rsidTr="00CC25F3">
        <w:tc>
          <w:tcPr>
            <w:tcW w:w="340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7AE420" w14:textId="77777777" w:rsidR="00B22EC9" w:rsidRPr="00B22EC9" w:rsidRDefault="00B22EC9" w:rsidP="00B22EC9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 w:line="240" w:lineRule="auto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8E4F6D" w14:textId="77777777" w:rsidR="00B22EC9" w:rsidRPr="00B22EC9" w:rsidRDefault="00B22EC9" w:rsidP="00B22EC9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Cs/>
                <w:i/>
                <w:sz w:val="16"/>
                <w:szCs w:val="16"/>
              </w:rPr>
            </w:pPr>
            <w:r w:rsidRPr="00B22EC9">
              <w:rPr>
                <w:bCs/>
                <w:i/>
                <w:sz w:val="16"/>
                <w:szCs w:val="16"/>
              </w:rPr>
              <w:t>CNG-1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8A0476" w14:textId="77777777" w:rsidR="00B22EC9" w:rsidRPr="00B22EC9" w:rsidRDefault="00B22EC9" w:rsidP="00B22EC9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Cs/>
                <w:i/>
                <w:sz w:val="16"/>
                <w:szCs w:val="16"/>
              </w:rPr>
            </w:pPr>
            <w:r w:rsidRPr="00B22EC9">
              <w:rPr>
                <w:bCs/>
                <w:i/>
                <w:sz w:val="16"/>
                <w:szCs w:val="16"/>
              </w:rPr>
              <w:t>CNG-2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D9C51C" w14:textId="77777777" w:rsidR="00B22EC9" w:rsidRPr="00B22EC9" w:rsidRDefault="00B22EC9" w:rsidP="00B22EC9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Cs/>
                <w:i/>
                <w:sz w:val="16"/>
                <w:szCs w:val="16"/>
              </w:rPr>
            </w:pPr>
            <w:r w:rsidRPr="00B22EC9">
              <w:rPr>
                <w:bCs/>
                <w:i/>
                <w:sz w:val="16"/>
                <w:szCs w:val="16"/>
              </w:rPr>
              <w:t>CNG-3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6B9D64" w14:textId="77777777" w:rsidR="00B22EC9" w:rsidRPr="00B22EC9" w:rsidRDefault="00B22EC9" w:rsidP="00B22EC9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Cs/>
                <w:i/>
                <w:sz w:val="16"/>
                <w:szCs w:val="16"/>
              </w:rPr>
            </w:pPr>
            <w:r w:rsidRPr="00B22EC9">
              <w:rPr>
                <w:bCs/>
                <w:i/>
                <w:sz w:val="16"/>
                <w:szCs w:val="16"/>
              </w:rPr>
              <w:t>CNG-4</w:t>
            </w:r>
          </w:p>
        </w:tc>
      </w:tr>
      <w:tr w:rsidR="00B22EC9" w:rsidRPr="00B22EC9" w14:paraId="5E093C36" w14:textId="77777777" w:rsidTr="00CC25F3">
        <w:tc>
          <w:tcPr>
            <w:tcW w:w="340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52DB1CAF" w14:textId="77777777" w:rsidR="00B22EC9" w:rsidRPr="00B22EC9" w:rsidRDefault="00B22EC9" w:rsidP="00B22EC9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 w:line="240" w:lineRule="auto"/>
              <w:rPr>
                <w:bCs/>
                <w:sz w:val="18"/>
                <w:szCs w:val="18"/>
              </w:rPr>
            </w:pPr>
            <w:r w:rsidRPr="00B22EC9">
              <w:rPr>
                <w:bCs/>
                <w:sz w:val="18"/>
                <w:szCs w:val="18"/>
              </w:rPr>
              <w:t>A.12.</w:t>
            </w:r>
            <w:r w:rsidRPr="00B22EC9">
              <w:rPr>
                <w:bCs/>
                <w:sz w:val="18"/>
                <w:szCs w:val="18"/>
              </w:rPr>
              <w:tab/>
              <w:t>Burst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3AE835AC" w14:textId="77777777" w:rsidR="00B22EC9" w:rsidRPr="00B22EC9" w:rsidRDefault="00B22EC9" w:rsidP="00B22EC9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Cs/>
                <w:sz w:val="18"/>
                <w:szCs w:val="18"/>
              </w:rPr>
            </w:pPr>
            <w:r w:rsidRPr="00B22EC9">
              <w:rPr>
                <w:bCs/>
                <w:sz w:val="18"/>
                <w:szCs w:val="18"/>
              </w:rPr>
              <w:t>X *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795FE7FD" w14:textId="77777777" w:rsidR="00B22EC9" w:rsidRPr="00B22EC9" w:rsidRDefault="00B22EC9" w:rsidP="00B22EC9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Cs/>
                <w:sz w:val="18"/>
                <w:szCs w:val="18"/>
              </w:rPr>
            </w:pPr>
            <w:r w:rsidRPr="00B22EC9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6F53D350" w14:textId="77777777" w:rsidR="00B22EC9" w:rsidRPr="00B22EC9" w:rsidRDefault="00B22EC9" w:rsidP="00B22EC9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Cs/>
                <w:sz w:val="18"/>
                <w:szCs w:val="18"/>
              </w:rPr>
            </w:pPr>
            <w:r w:rsidRPr="00B22EC9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7DDE8E62" w14:textId="77777777" w:rsidR="00B22EC9" w:rsidRPr="00B22EC9" w:rsidRDefault="00B22EC9" w:rsidP="00B22EC9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Cs/>
                <w:sz w:val="18"/>
                <w:szCs w:val="18"/>
              </w:rPr>
            </w:pPr>
            <w:r w:rsidRPr="00B22EC9">
              <w:rPr>
                <w:bCs/>
                <w:sz w:val="18"/>
                <w:szCs w:val="18"/>
              </w:rPr>
              <w:t>X</w:t>
            </w:r>
          </w:p>
        </w:tc>
      </w:tr>
      <w:tr w:rsidR="00B22EC9" w:rsidRPr="00B22EC9" w14:paraId="7BC4D263" w14:textId="77777777" w:rsidTr="00CC25F3">
        <w:trPr>
          <w:trHeight w:val="42"/>
        </w:trPr>
        <w:tc>
          <w:tcPr>
            <w:tcW w:w="3402" w:type="dxa"/>
            <w:tcBorders>
              <w:left w:val="single" w:sz="2" w:space="0" w:color="000000"/>
              <w:right w:val="single" w:sz="2" w:space="0" w:color="000000"/>
            </w:tcBorders>
          </w:tcPr>
          <w:p w14:paraId="2357D223" w14:textId="77777777" w:rsidR="00B22EC9" w:rsidRPr="00B22EC9" w:rsidRDefault="00B22EC9" w:rsidP="00B22EC9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 w:line="240" w:lineRule="auto"/>
              <w:rPr>
                <w:bCs/>
                <w:sz w:val="18"/>
                <w:szCs w:val="18"/>
              </w:rPr>
            </w:pPr>
            <w:r w:rsidRPr="00B22EC9">
              <w:rPr>
                <w:bCs/>
                <w:sz w:val="18"/>
                <w:szCs w:val="18"/>
              </w:rPr>
              <w:t>A.13.</w:t>
            </w:r>
            <w:r w:rsidRPr="00B22EC9">
              <w:rPr>
                <w:bCs/>
                <w:sz w:val="18"/>
                <w:szCs w:val="18"/>
              </w:rPr>
              <w:tab/>
              <w:t>Ambient temperature/cycle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14:paraId="7B255F7B" w14:textId="77777777" w:rsidR="00B22EC9" w:rsidRPr="00B22EC9" w:rsidRDefault="00B22EC9" w:rsidP="00B22EC9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B22EC9">
              <w:rPr>
                <w:bCs/>
                <w:sz w:val="18"/>
                <w:szCs w:val="18"/>
              </w:rPr>
              <w:t>X *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14:paraId="63CCD88F" w14:textId="77777777" w:rsidR="00B22EC9" w:rsidRPr="00B22EC9" w:rsidRDefault="00B22EC9" w:rsidP="00B22EC9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Cs/>
                <w:sz w:val="18"/>
                <w:szCs w:val="18"/>
              </w:rPr>
            </w:pPr>
            <w:r w:rsidRPr="00B22EC9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14:paraId="449CCEEC" w14:textId="77777777" w:rsidR="00B22EC9" w:rsidRPr="00B22EC9" w:rsidRDefault="00B22EC9" w:rsidP="00B22EC9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Cs/>
                <w:sz w:val="18"/>
                <w:szCs w:val="18"/>
              </w:rPr>
            </w:pPr>
            <w:r w:rsidRPr="00B22EC9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14:paraId="4EBB1FEE" w14:textId="77777777" w:rsidR="00B22EC9" w:rsidRPr="00B22EC9" w:rsidRDefault="00B22EC9" w:rsidP="00B22EC9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Cs/>
                <w:sz w:val="18"/>
                <w:szCs w:val="18"/>
              </w:rPr>
            </w:pPr>
            <w:r w:rsidRPr="00B22EC9">
              <w:rPr>
                <w:bCs/>
                <w:sz w:val="18"/>
                <w:szCs w:val="18"/>
              </w:rPr>
              <w:t>X</w:t>
            </w:r>
          </w:p>
        </w:tc>
      </w:tr>
      <w:tr w:rsidR="00B22EC9" w:rsidRPr="00B22EC9" w14:paraId="403AD45D" w14:textId="77777777" w:rsidTr="00CC25F3">
        <w:tc>
          <w:tcPr>
            <w:tcW w:w="3402" w:type="dxa"/>
            <w:tcBorders>
              <w:left w:val="single" w:sz="2" w:space="0" w:color="000000"/>
              <w:right w:val="single" w:sz="2" w:space="0" w:color="000000"/>
            </w:tcBorders>
          </w:tcPr>
          <w:p w14:paraId="48C81381" w14:textId="77777777" w:rsidR="00B22EC9" w:rsidRPr="00B22EC9" w:rsidRDefault="00B22EC9" w:rsidP="00B22EC9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 w:line="240" w:lineRule="auto"/>
              <w:rPr>
                <w:bCs/>
                <w:sz w:val="18"/>
                <w:szCs w:val="18"/>
              </w:rPr>
            </w:pPr>
            <w:r w:rsidRPr="00B22EC9">
              <w:rPr>
                <w:bCs/>
                <w:sz w:val="18"/>
                <w:szCs w:val="18"/>
              </w:rPr>
              <w:t>A.14.</w:t>
            </w:r>
            <w:r w:rsidRPr="00B22EC9">
              <w:rPr>
                <w:bCs/>
                <w:sz w:val="18"/>
                <w:szCs w:val="18"/>
              </w:rPr>
              <w:tab/>
              <w:t>Acid environment test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14:paraId="3EA1194D" w14:textId="77777777" w:rsidR="00B22EC9" w:rsidRPr="00B22EC9" w:rsidRDefault="00B22EC9" w:rsidP="00B22EC9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14:paraId="455465DB" w14:textId="77777777" w:rsidR="00B22EC9" w:rsidRPr="00B22EC9" w:rsidRDefault="00B22EC9" w:rsidP="00B22EC9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Cs/>
                <w:sz w:val="18"/>
                <w:szCs w:val="18"/>
              </w:rPr>
            </w:pPr>
            <w:r w:rsidRPr="00B22EC9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14:paraId="51D455F4" w14:textId="77777777" w:rsidR="00B22EC9" w:rsidRPr="00B22EC9" w:rsidRDefault="00B22EC9" w:rsidP="00B22EC9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Cs/>
                <w:sz w:val="18"/>
                <w:szCs w:val="18"/>
              </w:rPr>
            </w:pPr>
            <w:r w:rsidRPr="00B22EC9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14:paraId="59F251D9" w14:textId="77777777" w:rsidR="00B22EC9" w:rsidRPr="00B22EC9" w:rsidRDefault="00B22EC9" w:rsidP="00B22EC9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Cs/>
                <w:sz w:val="18"/>
                <w:szCs w:val="18"/>
              </w:rPr>
            </w:pPr>
            <w:r w:rsidRPr="00B22EC9">
              <w:rPr>
                <w:bCs/>
                <w:sz w:val="18"/>
                <w:szCs w:val="18"/>
              </w:rPr>
              <w:t>X</w:t>
            </w:r>
          </w:p>
        </w:tc>
      </w:tr>
      <w:tr w:rsidR="00B22EC9" w:rsidRPr="00B22EC9" w14:paraId="5CD29DD4" w14:textId="77777777" w:rsidTr="00CC25F3">
        <w:tc>
          <w:tcPr>
            <w:tcW w:w="3402" w:type="dxa"/>
            <w:tcBorders>
              <w:left w:val="single" w:sz="2" w:space="0" w:color="000000"/>
              <w:right w:val="single" w:sz="2" w:space="0" w:color="000000"/>
            </w:tcBorders>
          </w:tcPr>
          <w:p w14:paraId="2BF1C828" w14:textId="77777777" w:rsidR="00B22EC9" w:rsidRPr="00B22EC9" w:rsidRDefault="00B22EC9" w:rsidP="00B22EC9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 w:line="240" w:lineRule="auto"/>
              <w:rPr>
                <w:bCs/>
                <w:sz w:val="18"/>
                <w:szCs w:val="18"/>
              </w:rPr>
            </w:pPr>
            <w:r w:rsidRPr="00B22EC9">
              <w:rPr>
                <w:bCs/>
                <w:sz w:val="18"/>
                <w:szCs w:val="18"/>
              </w:rPr>
              <w:t>A.15.</w:t>
            </w:r>
            <w:r w:rsidRPr="00B22EC9">
              <w:rPr>
                <w:bCs/>
                <w:sz w:val="18"/>
                <w:szCs w:val="18"/>
              </w:rPr>
              <w:tab/>
              <w:t>Bonfire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14:paraId="75986E3C" w14:textId="77777777" w:rsidR="00B22EC9" w:rsidRPr="00B22EC9" w:rsidRDefault="00B22EC9" w:rsidP="00B22EC9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22EC9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14:paraId="73C9ED7A" w14:textId="77777777" w:rsidR="00B22EC9" w:rsidRPr="00B22EC9" w:rsidRDefault="00B22EC9" w:rsidP="00B22EC9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Cs/>
                <w:sz w:val="18"/>
                <w:szCs w:val="18"/>
              </w:rPr>
            </w:pPr>
            <w:r w:rsidRPr="00B22EC9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14:paraId="24A860ED" w14:textId="77777777" w:rsidR="00B22EC9" w:rsidRPr="00B22EC9" w:rsidRDefault="00B22EC9" w:rsidP="00B22EC9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Cs/>
                <w:sz w:val="18"/>
                <w:szCs w:val="18"/>
              </w:rPr>
            </w:pPr>
            <w:r w:rsidRPr="00B22EC9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14:paraId="6A9B2475" w14:textId="77777777" w:rsidR="00B22EC9" w:rsidRPr="00B22EC9" w:rsidRDefault="00B22EC9" w:rsidP="00B22EC9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Cs/>
                <w:sz w:val="18"/>
                <w:szCs w:val="18"/>
              </w:rPr>
            </w:pPr>
            <w:r w:rsidRPr="00B22EC9">
              <w:rPr>
                <w:bCs/>
                <w:sz w:val="18"/>
                <w:szCs w:val="18"/>
              </w:rPr>
              <w:t>X</w:t>
            </w:r>
          </w:p>
        </w:tc>
      </w:tr>
      <w:tr w:rsidR="00B22EC9" w:rsidRPr="00B22EC9" w14:paraId="37F7A850" w14:textId="77777777" w:rsidTr="00CC25F3">
        <w:tc>
          <w:tcPr>
            <w:tcW w:w="3402" w:type="dxa"/>
            <w:tcBorders>
              <w:left w:val="single" w:sz="2" w:space="0" w:color="000000"/>
              <w:right w:val="single" w:sz="2" w:space="0" w:color="000000"/>
            </w:tcBorders>
          </w:tcPr>
          <w:p w14:paraId="16FDBB7D" w14:textId="77777777" w:rsidR="00B22EC9" w:rsidRPr="00B22EC9" w:rsidRDefault="00B22EC9" w:rsidP="00B22EC9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 w:line="240" w:lineRule="auto"/>
              <w:rPr>
                <w:bCs/>
                <w:sz w:val="18"/>
                <w:szCs w:val="18"/>
              </w:rPr>
            </w:pPr>
            <w:r w:rsidRPr="00B22EC9">
              <w:rPr>
                <w:bCs/>
                <w:sz w:val="18"/>
                <w:szCs w:val="18"/>
              </w:rPr>
              <w:t>A.16.</w:t>
            </w:r>
            <w:r w:rsidRPr="00B22EC9">
              <w:rPr>
                <w:bCs/>
                <w:sz w:val="18"/>
                <w:szCs w:val="18"/>
              </w:rPr>
              <w:tab/>
              <w:t>Penetration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14:paraId="1F0E6C59" w14:textId="77777777" w:rsidR="00B22EC9" w:rsidRPr="00B22EC9" w:rsidRDefault="00B22EC9" w:rsidP="00B22EC9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Cs/>
                <w:sz w:val="18"/>
                <w:szCs w:val="18"/>
              </w:rPr>
            </w:pPr>
            <w:r w:rsidRPr="00B22EC9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14:paraId="075F662E" w14:textId="77777777" w:rsidR="00B22EC9" w:rsidRPr="00B22EC9" w:rsidRDefault="00B22EC9" w:rsidP="00B22EC9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Cs/>
                <w:sz w:val="18"/>
                <w:szCs w:val="18"/>
              </w:rPr>
            </w:pPr>
            <w:r w:rsidRPr="00B22EC9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14:paraId="71DFB000" w14:textId="77777777" w:rsidR="00B22EC9" w:rsidRPr="00B22EC9" w:rsidRDefault="00B22EC9" w:rsidP="00B22EC9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Cs/>
                <w:sz w:val="18"/>
                <w:szCs w:val="18"/>
              </w:rPr>
            </w:pPr>
            <w:r w:rsidRPr="00B22EC9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14:paraId="2D6FE02B" w14:textId="77777777" w:rsidR="00B22EC9" w:rsidRPr="00B22EC9" w:rsidRDefault="00B22EC9" w:rsidP="00B22EC9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Cs/>
                <w:sz w:val="18"/>
                <w:szCs w:val="18"/>
              </w:rPr>
            </w:pPr>
            <w:r w:rsidRPr="00B22EC9">
              <w:rPr>
                <w:bCs/>
                <w:sz w:val="18"/>
                <w:szCs w:val="18"/>
              </w:rPr>
              <w:t>X</w:t>
            </w:r>
          </w:p>
        </w:tc>
      </w:tr>
      <w:tr w:rsidR="00B22EC9" w:rsidRPr="00B22EC9" w14:paraId="49392048" w14:textId="77777777" w:rsidTr="00CC25F3">
        <w:tc>
          <w:tcPr>
            <w:tcW w:w="3402" w:type="dxa"/>
            <w:tcBorders>
              <w:left w:val="single" w:sz="2" w:space="0" w:color="000000"/>
              <w:right w:val="single" w:sz="2" w:space="0" w:color="000000"/>
            </w:tcBorders>
          </w:tcPr>
          <w:p w14:paraId="3300E4F9" w14:textId="77777777" w:rsidR="00B22EC9" w:rsidRPr="00B22EC9" w:rsidRDefault="00B22EC9" w:rsidP="00B22EC9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 w:line="240" w:lineRule="auto"/>
              <w:rPr>
                <w:bCs/>
                <w:sz w:val="18"/>
                <w:szCs w:val="18"/>
              </w:rPr>
            </w:pPr>
            <w:r w:rsidRPr="00B22EC9">
              <w:rPr>
                <w:bCs/>
                <w:sz w:val="18"/>
                <w:szCs w:val="18"/>
              </w:rPr>
              <w:t>A.17.</w:t>
            </w:r>
            <w:r w:rsidRPr="00B22EC9">
              <w:rPr>
                <w:bCs/>
                <w:sz w:val="18"/>
                <w:szCs w:val="18"/>
              </w:rPr>
              <w:tab/>
              <w:t>Flaw tolerance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14:paraId="445CEB1D" w14:textId="129D6BCD" w:rsidR="00B22EC9" w:rsidRPr="00B22EC9" w:rsidRDefault="00B22EC9" w:rsidP="00B22EC9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Cs/>
                <w:strike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14:paraId="3BB49C64" w14:textId="77777777" w:rsidR="00B22EC9" w:rsidRPr="00B22EC9" w:rsidRDefault="00B22EC9" w:rsidP="00B22EC9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Cs/>
                <w:sz w:val="18"/>
                <w:szCs w:val="18"/>
              </w:rPr>
            </w:pPr>
            <w:r w:rsidRPr="00B22EC9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14:paraId="1AE06E8A" w14:textId="77777777" w:rsidR="00B22EC9" w:rsidRPr="00B22EC9" w:rsidRDefault="00B22EC9" w:rsidP="00B22EC9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Cs/>
                <w:sz w:val="18"/>
                <w:szCs w:val="18"/>
              </w:rPr>
            </w:pPr>
            <w:r w:rsidRPr="00B22EC9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14:paraId="2EFD5F2D" w14:textId="77777777" w:rsidR="00B22EC9" w:rsidRPr="00B22EC9" w:rsidRDefault="00B22EC9" w:rsidP="00B22EC9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Cs/>
                <w:sz w:val="18"/>
                <w:szCs w:val="18"/>
              </w:rPr>
            </w:pPr>
            <w:r w:rsidRPr="00B22EC9">
              <w:rPr>
                <w:bCs/>
                <w:sz w:val="18"/>
                <w:szCs w:val="18"/>
              </w:rPr>
              <w:t>X</w:t>
            </w:r>
          </w:p>
        </w:tc>
      </w:tr>
      <w:tr w:rsidR="00B22EC9" w:rsidRPr="00B22EC9" w14:paraId="4C18A19B" w14:textId="77777777" w:rsidTr="00CC25F3">
        <w:tc>
          <w:tcPr>
            <w:tcW w:w="3402" w:type="dxa"/>
            <w:tcBorders>
              <w:left w:val="single" w:sz="2" w:space="0" w:color="000000"/>
              <w:right w:val="single" w:sz="2" w:space="0" w:color="000000"/>
            </w:tcBorders>
          </w:tcPr>
          <w:p w14:paraId="2F984951" w14:textId="77777777" w:rsidR="00B22EC9" w:rsidRPr="00B22EC9" w:rsidRDefault="00B22EC9" w:rsidP="00B22EC9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 w:line="240" w:lineRule="auto"/>
              <w:rPr>
                <w:bCs/>
                <w:sz w:val="18"/>
                <w:szCs w:val="18"/>
              </w:rPr>
            </w:pPr>
            <w:r w:rsidRPr="00B22EC9">
              <w:rPr>
                <w:bCs/>
                <w:sz w:val="18"/>
                <w:szCs w:val="18"/>
              </w:rPr>
              <w:t>A.18.</w:t>
            </w:r>
            <w:r w:rsidRPr="00B22EC9">
              <w:rPr>
                <w:bCs/>
                <w:sz w:val="18"/>
                <w:szCs w:val="18"/>
              </w:rPr>
              <w:tab/>
              <w:t>High temperature creep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14:paraId="00417621" w14:textId="77777777" w:rsidR="00B22EC9" w:rsidRPr="00B22EC9" w:rsidRDefault="00B22EC9" w:rsidP="00B22EC9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14:paraId="6A5D9153" w14:textId="77777777" w:rsidR="00B22EC9" w:rsidRPr="00B22EC9" w:rsidRDefault="00B22EC9" w:rsidP="00B22EC9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Cs/>
                <w:sz w:val="18"/>
                <w:szCs w:val="18"/>
              </w:rPr>
            </w:pPr>
            <w:r w:rsidRPr="00B22EC9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14:paraId="229D05FB" w14:textId="77777777" w:rsidR="00B22EC9" w:rsidRPr="00B22EC9" w:rsidRDefault="00B22EC9" w:rsidP="00B22EC9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Cs/>
                <w:sz w:val="18"/>
                <w:szCs w:val="18"/>
              </w:rPr>
            </w:pPr>
            <w:r w:rsidRPr="00B22EC9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14:paraId="7CFB3477" w14:textId="77777777" w:rsidR="00B22EC9" w:rsidRPr="00B22EC9" w:rsidRDefault="00B22EC9" w:rsidP="00B22EC9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Cs/>
                <w:sz w:val="18"/>
                <w:szCs w:val="18"/>
              </w:rPr>
            </w:pPr>
            <w:r w:rsidRPr="00B22EC9">
              <w:rPr>
                <w:bCs/>
                <w:sz w:val="18"/>
                <w:szCs w:val="18"/>
              </w:rPr>
              <w:t>X</w:t>
            </w:r>
          </w:p>
        </w:tc>
      </w:tr>
      <w:tr w:rsidR="00B22EC9" w:rsidRPr="00B22EC9" w14:paraId="6031E5DF" w14:textId="77777777" w:rsidTr="00CC25F3">
        <w:tc>
          <w:tcPr>
            <w:tcW w:w="3402" w:type="dxa"/>
            <w:tcBorders>
              <w:left w:val="single" w:sz="2" w:space="0" w:color="000000"/>
              <w:right w:val="single" w:sz="2" w:space="0" w:color="000000"/>
            </w:tcBorders>
          </w:tcPr>
          <w:p w14:paraId="67FC9232" w14:textId="77777777" w:rsidR="00B22EC9" w:rsidRPr="00B22EC9" w:rsidRDefault="00B22EC9" w:rsidP="00B22EC9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 w:line="240" w:lineRule="auto"/>
              <w:rPr>
                <w:bCs/>
                <w:sz w:val="18"/>
                <w:szCs w:val="18"/>
              </w:rPr>
            </w:pPr>
            <w:r w:rsidRPr="00B22EC9">
              <w:rPr>
                <w:bCs/>
                <w:sz w:val="18"/>
                <w:szCs w:val="18"/>
              </w:rPr>
              <w:t>A.19.</w:t>
            </w:r>
            <w:r w:rsidRPr="00B22EC9">
              <w:rPr>
                <w:bCs/>
                <w:sz w:val="18"/>
                <w:szCs w:val="18"/>
              </w:rPr>
              <w:tab/>
              <w:t>Stress rupture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14:paraId="5F816EAA" w14:textId="77777777" w:rsidR="00B22EC9" w:rsidRPr="00B22EC9" w:rsidRDefault="00B22EC9" w:rsidP="00B22EC9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14:paraId="037F5C2F" w14:textId="77777777" w:rsidR="00B22EC9" w:rsidRPr="00B22EC9" w:rsidRDefault="00B22EC9" w:rsidP="00B22EC9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Cs/>
                <w:sz w:val="18"/>
                <w:szCs w:val="18"/>
              </w:rPr>
            </w:pPr>
            <w:r w:rsidRPr="00B22EC9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14:paraId="4800242E" w14:textId="77777777" w:rsidR="00B22EC9" w:rsidRPr="00B22EC9" w:rsidRDefault="00B22EC9" w:rsidP="00B22EC9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Cs/>
                <w:sz w:val="18"/>
                <w:szCs w:val="18"/>
              </w:rPr>
            </w:pPr>
            <w:r w:rsidRPr="00B22EC9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14:paraId="4878DFE3" w14:textId="77777777" w:rsidR="00B22EC9" w:rsidRPr="00B22EC9" w:rsidRDefault="00B22EC9" w:rsidP="00B22EC9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Cs/>
                <w:sz w:val="18"/>
                <w:szCs w:val="18"/>
              </w:rPr>
            </w:pPr>
            <w:r w:rsidRPr="00B22EC9">
              <w:rPr>
                <w:bCs/>
                <w:sz w:val="18"/>
                <w:szCs w:val="18"/>
              </w:rPr>
              <w:t>X</w:t>
            </w:r>
          </w:p>
        </w:tc>
      </w:tr>
      <w:tr w:rsidR="00B22EC9" w:rsidRPr="00B22EC9" w14:paraId="27D1D2C4" w14:textId="77777777" w:rsidTr="00CC25F3">
        <w:tc>
          <w:tcPr>
            <w:tcW w:w="3402" w:type="dxa"/>
            <w:tcBorders>
              <w:left w:val="single" w:sz="2" w:space="0" w:color="000000"/>
              <w:right w:val="single" w:sz="2" w:space="0" w:color="000000"/>
            </w:tcBorders>
          </w:tcPr>
          <w:p w14:paraId="754C971E" w14:textId="77777777" w:rsidR="00B22EC9" w:rsidRPr="00B22EC9" w:rsidRDefault="00B22EC9" w:rsidP="00B22EC9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 w:line="240" w:lineRule="auto"/>
              <w:rPr>
                <w:bCs/>
                <w:sz w:val="18"/>
                <w:szCs w:val="18"/>
              </w:rPr>
            </w:pPr>
            <w:r w:rsidRPr="00B22EC9">
              <w:rPr>
                <w:bCs/>
                <w:sz w:val="18"/>
                <w:szCs w:val="18"/>
              </w:rPr>
              <w:t>A.20.</w:t>
            </w:r>
            <w:r w:rsidRPr="00B22EC9">
              <w:rPr>
                <w:bCs/>
                <w:sz w:val="18"/>
                <w:szCs w:val="18"/>
              </w:rPr>
              <w:tab/>
              <w:t>Drop test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14:paraId="164E4473" w14:textId="77777777" w:rsidR="00B22EC9" w:rsidRPr="00B22EC9" w:rsidRDefault="00B22EC9" w:rsidP="00B22EC9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14:paraId="53A4AEA4" w14:textId="77777777" w:rsidR="00B22EC9" w:rsidRPr="00B22EC9" w:rsidRDefault="00B22EC9" w:rsidP="00B22EC9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14:paraId="6FCCB2A0" w14:textId="77777777" w:rsidR="00B22EC9" w:rsidRPr="00B22EC9" w:rsidRDefault="00B22EC9" w:rsidP="00B22EC9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Cs/>
                <w:sz w:val="18"/>
                <w:szCs w:val="18"/>
              </w:rPr>
            </w:pPr>
            <w:r w:rsidRPr="00B22EC9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14:paraId="1AED974B" w14:textId="77777777" w:rsidR="00B22EC9" w:rsidRPr="00B22EC9" w:rsidRDefault="00B22EC9" w:rsidP="00B22EC9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Cs/>
                <w:sz w:val="18"/>
                <w:szCs w:val="18"/>
              </w:rPr>
            </w:pPr>
            <w:r w:rsidRPr="00B22EC9">
              <w:rPr>
                <w:bCs/>
                <w:sz w:val="18"/>
                <w:szCs w:val="18"/>
              </w:rPr>
              <w:t>X</w:t>
            </w:r>
          </w:p>
        </w:tc>
      </w:tr>
      <w:tr w:rsidR="00B22EC9" w:rsidRPr="00B22EC9" w14:paraId="7991CBD4" w14:textId="77777777" w:rsidTr="00CC25F3">
        <w:tc>
          <w:tcPr>
            <w:tcW w:w="3402" w:type="dxa"/>
            <w:tcBorders>
              <w:left w:val="single" w:sz="2" w:space="0" w:color="000000"/>
              <w:right w:val="single" w:sz="2" w:space="0" w:color="000000"/>
            </w:tcBorders>
          </w:tcPr>
          <w:p w14:paraId="378F7DB9" w14:textId="77777777" w:rsidR="00B22EC9" w:rsidRPr="00B22EC9" w:rsidRDefault="00B22EC9" w:rsidP="00B22EC9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 w:line="240" w:lineRule="auto"/>
              <w:rPr>
                <w:bCs/>
                <w:sz w:val="18"/>
                <w:szCs w:val="18"/>
              </w:rPr>
            </w:pPr>
            <w:r w:rsidRPr="00B22EC9">
              <w:rPr>
                <w:bCs/>
                <w:sz w:val="18"/>
                <w:szCs w:val="18"/>
              </w:rPr>
              <w:t>A.21.</w:t>
            </w:r>
            <w:r w:rsidRPr="00B22EC9">
              <w:rPr>
                <w:bCs/>
                <w:sz w:val="18"/>
                <w:szCs w:val="18"/>
              </w:rPr>
              <w:tab/>
              <w:t>Permeation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14:paraId="16D6F7DA" w14:textId="77777777" w:rsidR="00B22EC9" w:rsidRPr="00B22EC9" w:rsidRDefault="00B22EC9" w:rsidP="00B22EC9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14:paraId="4FEF3146" w14:textId="77777777" w:rsidR="00B22EC9" w:rsidRPr="00B22EC9" w:rsidRDefault="00B22EC9" w:rsidP="00B22EC9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14:paraId="2642246C" w14:textId="77777777" w:rsidR="00B22EC9" w:rsidRPr="00B22EC9" w:rsidRDefault="00B22EC9" w:rsidP="00B22EC9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14:paraId="527BFC7B" w14:textId="77777777" w:rsidR="00B22EC9" w:rsidRPr="00B22EC9" w:rsidRDefault="00B22EC9" w:rsidP="00B22EC9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Cs/>
                <w:sz w:val="18"/>
                <w:szCs w:val="18"/>
              </w:rPr>
            </w:pPr>
            <w:r w:rsidRPr="00B22EC9">
              <w:rPr>
                <w:bCs/>
                <w:sz w:val="18"/>
                <w:szCs w:val="18"/>
              </w:rPr>
              <w:t>X</w:t>
            </w:r>
          </w:p>
        </w:tc>
      </w:tr>
      <w:tr w:rsidR="00B22EC9" w:rsidRPr="00B22EC9" w14:paraId="01364628" w14:textId="77777777" w:rsidTr="00CC25F3">
        <w:tc>
          <w:tcPr>
            <w:tcW w:w="3402" w:type="dxa"/>
            <w:tcBorders>
              <w:left w:val="single" w:sz="2" w:space="0" w:color="000000"/>
              <w:right w:val="single" w:sz="2" w:space="0" w:color="000000"/>
            </w:tcBorders>
          </w:tcPr>
          <w:p w14:paraId="6945795A" w14:textId="77777777" w:rsidR="00B22EC9" w:rsidRPr="00B22EC9" w:rsidRDefault="00B22EC9" w:rsidP="00B22EC9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 w:line="240" w:lineRule="auto"/>
              <w:rPr>
                <w:bCs/>
                <w:sz w:val="18"/>
                <w:szCs w:val="18"/>
              </w:rPr>
            </w:pPr>
            <w:r w:rsidRPr="00B22EC9">
              <w:rPr>
                <w:bCs/>
                <w:sz w:val="18"/>
                <w:szCs w:val="18"/>
              </w:rPr>
              <w:t>A.24.</w:t>
            </w:r>
            <w:r w:rsidRPr="00B22EC9">
              <w:rPr>
                <w:bCs/>
                <w:sz w:val="18"/>
                <w:szCs w:val="18"/>
              </w:rPr>
              <w:tab/>
              <w:t>PRD performance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14:paraId="294D5CEB" w14:textId="77777777" w:rsidR="00B22EC9" w:rsidRPr="00B22EC9" w:rsidRDefault="00B22EC9" w:rsidP="00B22EC9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22EC9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14:paraId="17F27A71" w14:textId="77777777" w:rsidR="00B22EC9" w:rsidRPr="00B22EC9" w:rsidRDefault="00B22EC9" w:rsidP="00B22EC9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Cs/>
                <w:sz w:val="18"/>
                <w:szCs w:val="18"/>
              </w:rPr>
            </w:pPr>
            <w:r w:rsidRPr="00B22EC9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14:paraId="4C4FF713" w14:textId="77777777" w:rsidR="00B22EC9" w:rsidRPr="00B22EC9" w:rsidRDefault="00B22EC9" w:rsidP="00B22EC9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Cs/>
                <w:sz w:val="18"/>
                <w:szCs w:val="18"/>
              </w:rPr>
            </w:pPr>
            <w:r w:rsidRPr="00B22EC9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14:paraId="32C66C52" w14:textId="77777777" w:rsidR="00B22EC9" w:rsidRPr="00B22EC9" w:rsidRDefault="00B22EC9" w:rsidP="00B22EC9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Cs/>
                <w:sz w:val="18"/>
                <w:szCs w:val="18"/>
              </w:rPr>
            </w:pPr>
            <w:r w:rsidRPr="00B22EC9">
              <w:rPr>
                <w:bCs/>
                <w:sz w:val="18"/>
                <w:szCs w:val="18"/>
              </w:rPr>
              <w:t>X</w:t>
            </w:r>
          </w:p>
        </w:tc>
      </w:tr>
      <w:tr w:rsidR="00B22EC9" w:rsidRPr="00B22EC9" w14:paraId="6C504685" w14:textId="77777777" w:rsidTr="00CC25F3">
        <w:tc>
          <w:tcPr>
            <w:tcW w:w="3402" w:type="dxa"/>
            <w:tcBorders>
              <w:left w:val="single" w:sz="2" w:space="0" w:color="000000"/>
              <w:right w:val="single" w:sz="2" w:space="0" w:color="000000"/>
            </w:tcBorders>
          </w:tcPr>
          <w:p w14:paraId="1A2E2122" w14:textId="77777777" w:rsidR="00B22EC9" w:rsidRPr="00B22EC9" w:rsidRDefault="00B22EC9" w:rsidP="00B22EC9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 w:line="240" w:lineRule="auto"/>
              <w:rPr>
                <w:bCs/>
                <w:sz w:val="18"/>
                <w:szCs w:val="18"/>
              </w:rPr>
            </w:pPr>
            <w:r w:rsidRPr="00B22EC9">
              <w:rPr>
                <w:bCs/>
                <w:sz w:val="18"/>
                <w:szCs w:val="18"/>
              </w:rPr>
              <w:t>A.25.</w:t>
            </w:r>
            <w:r w:rsidRPr="00B22EC9">
              <w:rPr>
                <w:bCs/>
                <w:sz w:val="18"/>
                <w:szCs w:val="18"/>
              </w:rPr>
              <w:tab/>
              <w:t>Boss torque test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14:paraId="76B9DC75" w14:textId="3C3D4328" w:rsidR="00B22EC9" w:rsidRPr="00B22EC9" w:rsidRDefault="00B22EC9" w:rsidP="00B22EC9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Cs/>
                <w:strike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14:paraId="534B684E" w14:textId="77777777" w:rsidR="00B22EC9" w:rsidRPr="00B22EC9" w:rsidRDefault="00B22EC9" w:rsidP="00B22EC9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14:paraId="0EED5ADF" w14:textId="77777777" w:rsidR="00B22EC9" w:rsidRPr="00B22EC9" w:rsidRDefault="00B22EC9" w:rsidP="00B22EC9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14:paraId="42C3CB05" w14:textId="77777777" w:rsidR="00B22EC9" w:rsidRPr="00B22EC9" w:rsidRDefault="00B22EC9" w:rsidP="00B22EC9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Cs/>
                <w:sz w:val="18"/>
                <w:szCs w:val="18"/>
              </w:rPr>
            </w:pPr>
            <w:r w:rsidRPr="00B22EC9">
              <w:rPr>
                <w:bCs/>
                <w:sz w:val="18"/>
                <w:szCs w:val="18"/>
              </w:rPr>
              <w:t>X</w:t>
            </w:r>
          </w:p>
        </w:tc>
      </w:tr>
      <w:tr w:rsidR="00B22EC9" w:rsidRPr="00B22EC9" w14:paraId="1D5E8B47" w14:textId="77777777" w:rsidTr="00CC25F3">
        <w:tc>
          <w:tcPr>
            <w:tcW w:w="3402" w:type="dxa"/>
            <w:tcBorders>
              <w:left w:val="single" w:sz="2" w:space="0" w:color="000000"/>
              <w:right w:val="single" w:sz="2" w:space="0" w:color="000000"/>
            </w:tcBorders>
          </w:tcPr>
          <w:p w14:paraId="5EAE5600" w14:textId="77777777" w:rsidR="00B22EC9" w:rsidRPr="00B22EC9" w:rsidRDefault="00B22EC9" w:rsidP="00B22EC9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 w:line="240" w:lineRule="auto"/>
              <w:rPr>
                <w:bCs/>
                <w:sz w:val="18"/>
                <w:szCs w:val="18"/>
              </w:rPr>
            </w:pPr>
            <w:r w:rsidRPr="00B22EC9">
              <w:rPr>
                <w:bCs/>
                <w:sz w:val="18"/>
                <w:szCs w:val="18"/>
              </w:rPr>
              <w:t>A.27.</w:t>
            </w:r>
            <w:r w:rsidRPr="00B22EC9">
              <w:rPr>
                <w:bCs/>
                <w:sz w:val="18"/>
                <w:szCs w:val="18"/>
              </w:rPr>
              <w:tab/>
              <w:t>Natural gas cycling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14:paraId="6126173D" w14:textId="77777777" w:rsidR="00B22EC9" w:rsidRPr="00B22EC9" w:rsidRDefault="00B22EC9" w:rsidP="00B22EC9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14:paraId="0D5665D1" w14:textId="77777777" w:rsidR="00B22EC9" w:rsidRPr="00B22EC9" w:rsidRDefault="00B22EC9" w:rsidP="00B22EC9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14:paraId="468CB08F" w14:textId="77777777" w:rsidR="00B22EC9" w:rsidRPr="00B22EC9" w:rsidRDefault="00B22EC9" w:rsidP="00B22EC9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14:paraId="1E5E292E" w14:textId="77777777" w:rsidR="00B22EC9" w:rsidRPr="00B22EC9" w:rsidRDefault="00B22EC9" w:rsidP="00B22EC9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Cs/>
                <w:sz w:val="18"/>
                <w:szCs w:val="18"/>
              </w:rPr>
            </w:pPr>
            <w:r w:rsidRPr="00B22EC9">
              <w:rPr>
                <w:bCs/>
                <w:sz w:val="18"/>
                <w:szCs w:val="18"/>
              </w:rPr>
              <w:t>X</w:t>
            </w:r>
          </w:p>
        </w:tc>
      </w:tr>
      <w:tr w:rsidR="00B22EC9" w:rsidRPr="00B22EC9" w14:paraId="7CF15EF8" w14:textId="77777777" w:rsidTr="00CC25F3">
        <w:tc>
          <w:tcPr>
            <w:tcW w:w="3402" w:type="dxa"/>
            <w:tcBorders>
              <w:left w:val="single" w:sz="2" w:space="0" w:color="000000"/>
              <w:right w:val="single" w:sz="2" w:space="0" w:color="000000"/>
            </w:tcBorders>
          </w:tcPr>
          <w:p w14:paraId="4F11D3CC" w14:textId="77777777" w:rsidR="00B22EC9" w:rsidRPr="00B22EC9" w:rsidRDefault="00B22EC9" w:rsidP="00B22EC9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 w:line="240" w:lineRule="auto"/>
              <w:rPr>
                <w:bCs/>
                <w:sz w:val="18"/>
                <w:szCs w:val="18"/>
              </w:rPr>
            </w:pPr>
            <w:r w:rsidRPr="00B22EC9">
              <w:rPr>
                <w:bCs/>
                <w:sz w:val="18"/>
                <w:szCs w:val="18"/>
              </w:rPr>
              <w:t>A.6.</w:t>
            </w:r>
            <w:r w:rsidRPr="00B22EC9">
              <w:rPr>
                <w:bCs/>
                <w:sz w:val="18"/>
                <w:szCs w:val="18"/>
              </w:rPr>
              <w:tab/>
              <w:t>LBB assessment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14:paraId="79F70B01" w14:textId="77777777" w:rsidR="00B22EC9" w:rsidRPr="00B22EC9" w:rsidRDefault="00B22EC9" w:rsidP="00B22EC9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22EC9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14:paraId="156E13A9" w14:textId="77777777" w:rsidR="00B22EC9" w:rsidRPr="00B22EC9" w:rsidRDefault="00B22EC9" w:rsidP="00B22EC9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Cs/>
                <w:sz w:val="18"/>
                <w:szCs w:val="18"/>
              </w:rPr>
            </w:pPr>
            <w:r w:rsidRPr="00B22EC9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14:paraId="3AF4FC42" w14:textId="77777777" w:rsidR="00B22EC9" w:rsidRPr="00B22EC9" w:rsidRDefault="00B22EC9" w:rsidP="00B22EC9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Cs/>
                <w:sz w:val="18"/>
                <w:szCs w:val="18"/>
              </w:rPr>
            </w:pPr>
            <w:r w:rsidRPr="00B22EC9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14:paraId="637E3CDA" w14:textId="77777777" w:rsidR="00B22EC9" w:rsidRPr="00B22EC9" w:rsidRDefault="00B22EC9" w:rsidP="00B22EC9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B22EC9" w:rsidRPr="00B22EC9" w14:paraId="23FBDEDB" w14:textId="77777777" w:rsidTr="00CC25F3">
        <w:tc>
          <w:tcPr>
            <w:tcW w:w="340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D53FE3" w14:textId="77777777" w:rsidR="00B22EC9" w:rsidRPr="00B22EC9" w:rsidRDefault="00B22EC9" w:rsidP="00B22EC9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 w:line="240" w:lineRule="auto"/>
              <w:rPr>
                <w:bCs/>
                <w:sz w:val="18"/>
                <w:szCs w:val="18"/>
              </w:rPr>
            </w:pPr>
            <w:r w:rsidRPr="00B22EC9">
              <w:rPr>
                <w:bCs/>
                <w:sz w:val="18"/>
                <w:szCs w:val="18"/>
              </w:rPr>
              <w:t>A.7.</w:t>
            </w:r>
            <w:r w:rsidRPr="00B22EC9">
              <w:rPr>
                <w:bCs/>
                <w:sz w:val="18"/>
                <w:szCs w:val="18"/>
              </w:rPr>
              <w:tab/>
              <w:t>Extreme temperature/cycle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00C19A" w14:textId="15462B67" w:rsidR="00B22EC9" w:rsidRPr="00B22EC9" w:rsidRDefault="00B22EC9" w:rsidP="00B22EC9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Cs/>
                <w:strike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101E7D" w14:textId="77777777" w:rsidR="00B22EC9" w:rsidRPr="00B22EC9" w:rsidRDefault="00B22EC9" w:rsidP="00B22EC9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Cs/>
                <w:sz w:val="18"/>
                <w:szCs w:val="18"/>
              </w:rPr>
            </w:pPr>
            <w:r w:rsidRPr="00B22EC9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6E90AF" w14:textId="77777777" w:rsidR="00B22EC9" w:rsidRPr="00B22EC9" w:rsidRDefault="00B22EC9" w:rsidP="00B22EC9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Cs/>
                <w:sz w:val="18"/>
                <w:szCs w:val="18"/>
              </w:rPr>
            </w:pPr>
            <w:r w:rsidRPr="00B22EC9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B132EF" w14:textId="77777777" w:rsidR="00B22EC9" w:rsidRPr="00B22EC9" w:rsidRDefault="00B22EC9" w:rsidP="00B22EC9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Cs/>
                <w:sz w:val="18"/>
                <w:szCs w:val="18"/>
              </w:rPr>
            </w:pPr>
            <w:r w:rsidRPr="00B22EC9">
              <w:rPr>
                <w:bCs/>
                <w:sz w:val="18"/>
                <w:szCs w:val="18"/>
              </w:rPr>
              <w:t>X</w:t>
            </w:r>
          </w:p>
        </w:tc>
      </w:tr>
      <w:tr w:rsidR="00B22EC9" w:rsidRPr="00B22EC9" w14:paraId="48E5CE7F" w14:textId="77777777" w:rsidTr="00CC25F3">
        <w:tc>
          <w:tcPr>
            <w:tcW w:w="7371" w:type="dxa"/>
            <w:gridSpan w:val="5"/>
            <w:tcBorders>
              <w:top w:val="single" w:sz="12" w:space="0" w:color="000000"/>
            </w:tcBorders>
          </w:tcPr>
          <w:p w14:paraId="10A13DD8" w14:textId="77777777" w:rsidR="00B22EC9" w:rsidRPr="00B22EC9" w:rsidRDefault="00B22EC9" w:rsidP="008333FE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240" w:lineRule="auto"/>
              <w:rPr>
                <w:bCs/>
                <w:sz w:val="18"/>
                <w:szCs w:val="18"/>
              </w:rPr>
            </w:pPr>
            <w:r w:rsidRPr="00B22EC9">
              <w:rPr>
                <w:bCs/>
                <w:sz w:val="18"/>
                <w:szCs w:val="18"/>
              </w:rPr>
              <w:t>X = required</w:t>
            </w:r>
          </w:p>
          <w:p w14:paraId="14CE497C" w14:textId="77777777" w:rsidR="00B22EC9" w:rsidRPr="00B22EC9" w:rsidRDefault="00B22EC9" w:rsidP="008333FE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240" w:lineRule="auto"/>
              <w:rPr>
                <w:bCs/>
                <w:sz w:val="18"/>
                <w:szCs w:val="18"/>
              </w:rPr>
            </w:pPr>
            <w:r w:rsidRPr="00B22EC9">
              <w:rPr>
                <w:bCs/>
                <w:sz w:val="18"/>
                <w:szCs w:val="18"/>
              </w:rPr>
              <w:t>* = Not required for cylinders designed to ISO 9809 (ISO 9809 already provides for these tests)."</w:t>
            </w:r>
          </w:p>
        </w:tc>
      </w:tr>
    </w:tbl>
    <w:p w14:paraId="71E1AC86" w14:textId="77777777" w:rsidR="00A925F4" w:rsidRPr="00B22EC9" w:rsidRDefault="00A925F4" w:rsidP="003D751D">
      <w:pPr>
        <w:spacing w:after="120"/>
        <w:ind w:left="2268" w:right="1133" w:hanging="1134"/>
        <w:jc w:val="both"/>
        <w:rPr>
          <w:rFonts w:eastAsia="MS Mincho"/>
          <w:bCs/>
          <w:i/>
          <w:spacing w:val="-2"/>
          <w:lang w:eastAsia="ja-JP"/>
        </w:rPr>
      </w:pPr>
    </w:p>
    <w:p w14:paraId="552A924D" w14:textId="4A047C48" w:rsidR="00CB7013" w:rsidRPr="00BC48C8" w:rsidRDefault="00CB7013" w:rsidP="00CB7013">
      <w:pPr>
        <w:pStyle w:val="HChG"/>
      </w:pPr>
      <w:r>
        <w:tab/>
        <w:t>II.</w:t>
      </w:r>
      <w:r>
        <w:tab/>
      </w:r>
      <w:r w:rsidRPr="00BC48C8">
        <w:t>Justification</w:t>
      </w:r>
    </w:p>
    <w:p w14:paraId="16E8C9EF" w14:textId="4DF7E5C9" w:rsidR="00B22EC9" w:rsidRDefault="00B22EC9" w:rsidP="00B22EC9">
      <w:pPr>
        <w:pStyle w:val="SingleTxtG"/>
      </w:pPr>
      <w:r>
        <w:t xml:space="preserve">Since it is unlikely that GRSG will accept the complete harmonization with ISO 11439, it is recommended that Table 6.4 specify the following </w:t>
      </w:r>
      <w:r w:rsidR="00172D26">
        <w:t>corrections for CNG</w:t>
      </w:r>
      <w:r w:rsidR="00172D26">
        <w:noBreakHyphen/>
      </w:r>
      <w:r>
        <w:t>1 designs:</w:t>
      </w:r>
    </w:p>
    <w:p w14:paraId="7B978DDE" w14:textId="62D335D9" w:rsidR="00B22EC9" w:rsidRDefault="00B22EC9" w:rsidP="00172D26">
      <w:pPr>
        <w:pStyle w:val="SingleTxtG"/>
        <w:ind w:left="1701" w:hanging="567"/>
      </w:pPr>
      <w:r>
        <w:t>(a)</w:t>
      </w:r>
      <w:r>
        <w:tab/>
        <w:t xml:space="preserve">Delete </w:t>
      </w:r>
      <w:r w:rsidR="00172D26">
        <w:t xml:space="preserve">in the second column the entries for </w:t>
      </w:r>
      <w:r>
        <w:t>A.17, A.25, and A.7, since they are obviously wrong as they do not match the tests specified in paragraph 7.5</w:t>
      </w:r>
      <w:r w:rsidR="00172D26">
        <w:t>.</w:t>
      </w:r>
      <w:r>
        <w:t xml:space="preserve"> on </w:t>
      </w:r>
      <w:r w:rsidR="00172D26">
        <w:t>c</w:t>
      </w:r>
      <w:r>
        <w:t>ylinder design qualification tests.</w:t>
      </w:r>
    </w:p>
    <w:p w14:paraId="002A78C3" w14:textId="1042D6BA" w:rsidR="00B22EC9" w:rsidRDefault="00B22EC9" w:rsidP="00172D26">
      <w:pPr>
        <w:pStyle w:val="SingleTxtG"/>
        <w:ind w:left="1701" w:hanging="567"/>
      </w:pPr>
      <w:r>
        <w:t>(b)</w:t>
      </w:r>
      <w:r>
        <w:tab/>
        <w:t xml:space="preserve">Add </w:t>
      </w:r>
      <w:r w:rsidR="00172D26">
        <w:t xml:space="preserve">an entry for </w:t>
      </w:r>
      <w:r>
        <w:t>A.15 and A.6, since they do match the tests specified in paragraph 7.5</w:t>
      </w:r>
      <w:r w:rsidR="00172D26">
        <w:t>.</w:t>
      </w:r>
      <w:r>
        <w:t xml:space="preserve"> on </w:t>
      </w:r>
      <w:r w:rsidR="008333FE">
        <w:t>c</w:t>
      </w:r>
      <w:r>
        <w:t>ylinder design qualification tests.</w:t>
      </w:r>
    </w:p>
    <w:p w14:paraId="387C7C7E" w14:textId="37D86B45" w:rsidR="00A925F4" w:rsidRDefault="00B22EC9" w:rsidP="00172D26">
      <w:pPr>
        <w:pStyle w:val="SingleTxtG"/>
        <w:ind w:left="1701" w:hanging="567"/>
      </w:pPr>
      <w:r>
        <w:t>(c)</w:t>
      </w:r>
      <w:r>
        <w:tab/>
        <w:t xml:space="preserve">Add </w:t>
      </w:r>
      <w:r w:rsidR="00172D26" w:rsidRPr="00172D26">
        <w:t xml:space="preserve">an entry for </w:t>
      </w:r>
      <w:r>
        <w:t>A.24 because paragraph 6.9</w:t>
      </w:r>
      <w:r w:rsidR="00172D26">
        <w:t>.</w:t>
      </w:r>
      <w:r>
        <w:t xml:space="preserve"> on </w:t>
      </w:r>
      <w:r w:rsidR="00172D26">
        <w:t>f</w:t>
      </w:r>
      <w:r>
        <w:t>ire protection does require all PRDs on all cylinder types to comply with A.24.</w:t>
      </w:r>
    </w:p>
    <w:p w14:paraId="0497FA1B" w14:textId="37EE6A9D" w:rsidR="00DC403F" w:rsidRPr="00DC403F" w:rsidRDefault="00DC403F" w:rsidP="00DC403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C403F" w:rsidRPr="00DC403F" w:rsidSect="00803BF8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footnotePr>
        <w:numFmt w:val="chicago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6A03B" w14:textId="77777777" w:rsidR="00E33C21" w:rsidRDefault="00E33C21"/>
  </w:endnote>
  <w:endnote w:type="continuationSeparator" w:id="0">
    <w:p w14:paraId="46CBF594" w14:textId="77777777" w:rsidR="00E33C21" w:rsidRDefault="00E33C21"/>
  </w:endnote>
  <w:endnote w:type="continuationNotice" w:id="1">
    <w:p w14:paraId="1FC94A06" w14:textId="77777777" w:rsidR="00E33C21" w:rsidRDefault="00E33C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CD07B" w14:textId="421C11E4" w:rsidR="004E040E" w:rsidRPr="00803BF8" w:rsidRDefault="004E040E" w:rsidP="00803BF8">
    <w:pPr>
      <w:pStyle w:val="Footer"/>
      <w:tabs>
        <w:tab w:val="right" w:pos="9638"/>
      </w:tabs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182A54">
      <w:rPr>
        <w:b/>
        <w:noProof/>
        <w:sz w:val="18"/>
      </w:rPr>
      <w:t>2</w:t>
    </w:r>
    <w:r w:rsidRPr="00803B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0997E" w14:textId="597D11B0" w:rsidR="004E040E" w:rsidRPr="00803BF8" w:rsidRDefault="004E040E" w:rsidP="00803BF8">
    <w:pPr>
      <w:pStyle w:val="Footer"/>
      <w:tabs>
        <w:tab w:val="right" w:pos="9638"/>
      </w:tabs>
      <w:rPr>
        <w:b/>
        <w:sz w:val="18"/>
      </w:rPr>
    </w:pPr>
    <w:r>
      <w:tab/>
    </w: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B22EC9">
      <w:rPr>
        <w:b/>
        <w:noProof/>
        <w:sz w:val="18"/>
      </w:rPr>
      <w:t>3</w:t>
    </w:r>
    <w:r w:rsidRPr="00803BF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0E9B9" w14:textId="037D8904" w:rsidR="004F462B" w:rsidRDefault="004F462B" w:rsidP="004F462B">
    <w:pPr>
      <w:pStyle w:val="Footer"/>
    </w:pPr>
    <w:r>
      <w:rPr>
        <w:rFonts w:ascii="C39T30Lfz" w:hAnsi="C39T30Lfz"/>
        <w:noProof/>
        <w:sz w:val="56"/>
        <w:lang w:eastAsia="zh-CN"/>
      </w:rPr>
      <w:drawing>
        <wp:anchor distT="0" distB="0" distL="114300" distR="114300" simplePos="0" relativeHeight="251660288" behindDoc="0" locked="0" layoutInCell="1" allowOverlap="1" wp14:anchorId="4929B538" wp14:editId="2B8F8A91">
          <wp:simplePos x="0" y="0"/>
          <wp:positionH relativeFrom="margin">
            <wp:posOffset>5470740</wp:posOffset>
          </wp:positionH>
          <wp:positionV relativeFrom="margin">
            <wp:posOffset>7924165</wp:posOffset>
          </wp:positionV>
          <wp:extent cx="638175" cy="638175"/>
          <wp:effectExtent l="0" t="0" r="9525" b="9525"/>
          <wp:wrapNone/>
          <wp:docPr id="2" name="Picture 1" descr="https://undocs.org/m2/QRCode.ashx?DS=ECE/TRANS/WP.29/GRSG/2018/3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G/2018/3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59264" behindDoc="1" locked="1" layoutInCell="1" allowOverlap="1" wp14:anchorId="18E1B241" wp14:editId="3CC39C37">
          <wp:simplePos x="0" y="0"/>
          <wp:positionH relativeFrom="margin">
            <wp:posOffset>4312285</wp:posOffset>
          </wp:positionH>
          <wp:positionV relativeFrom="margin">
            <wp:posOffset>8274685</wp:posOffset>
          </wp:positionV>
          <wp:extent cx="932180" cy="22987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0F600B" w14:textId="0791AF15" w:rsidR="004F462B" w:rsidRDefault="004F462B" w:rsidP="004F462B">
    <w:pPr>
      <w:pStyle w:val="Footer"/>
      <w:ind w:right="1134"/>
      <w:rPr>
        <w:sz w:val="20"/>
      </w:rPr>
    </w:pPr>
    <w:r>
      <w:rPr>
        <w:sz w:val="20"/>
      </w:rPr>
      <w:t>GE.18-00941(E)</w:t>
    </w:r>
  </w:p>
  <w:p w14:paraId="76BF04AF" w14:textId="414CDD41" w:rsidR="004F462B" w:rsidRPr="004F462B" w:rsidRDefault="004F462B" w:rsidP="004F462B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768DD" w14:textId="77777777" w:rsidR="00E33C21" w:rsidRPr="000B175B" w:rsidRDefault="00E33C2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26F8F21" w14:textId="77777777" w:rsidR="00E33C21" w:rsidRPr="00FC68B7" w:rsidRDefault="00E33C2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9DBD49E" w14:textId="77777777" w:rsidR="00E33C21" w:rsidRDefault="00E33C21"/>
  </w:footnote>
  <w:footnote w:id="2">
    <w:p w14:paraId="1BC20C06" w14:textId="58AC7C81" w:rsidR="004E040E" w:rsidRPr="00B14735" w:rsidRDefault="004E040E" w:rsidP="00E62CEA">
      <w:pPr>
        <w:pStyle w:val="FootnoteText"/>
        <w:tabs>
          <w:tab w:val="clear" w:pos="1021"/>
        </w:tabs>
        <w:ind w:hanging="283"/>
        <w:rPr>
          <w:rFonts w:eastAsia="Calibri"/>
        </w:rPr>
      </w:pPr>
      <w:r w:rsidRPr="007406A7">
        <w:rPr>
          <w:rStyle w:val="FootnoteReference"/>
          <w:vertAlign w:val="baseline"/>
        </w:rPr>
        <w:t>*</w:t>
      </w:r>
      <w:r w:rsidRPr="007406A7">
        <w:tab/>
      </w:r>
      <w:r w:rsidRPr="006636B2">
        <w:rPr>
          <w:szCs w:val="18"/>
          <w:lang w:val="en-US"/>
        </w:rPr>
        <w:t xml:space="preserve">In accordance with the programme of work of the </w:t>
      </w:r>
      <w:r w:rsidRPr="00CC3C06">
        <w:rPr>
          <w:szCs w:val="18"/>
          <w:lang w:val="en-US"/>
        </w:rPr>
        <w:t xml:space="preserve">Inland Transport Committee for </w:t>
      </w:r>
      <w:r w:rsidR="00CC3C06" w:rsidRPr="00CC3C06">
        <w:rPr>
          <w:szCs w:val="18"/>
          <w:lang w:val="en-US"/>
        </w:rPr>
        <w:t>2014–2018 (ECE/TRANS/240, para. 105 and ECE/TRANS/2014/26, cluster 02.4)</w:t>
      </w:r>
      <w:r w:rsidRPr="00CC3C06">
        <w:rPr>
          <w:szCs w:val="18"/>
          <w:lang w:val="en-US"/>
        </w:rPr>
        <w:t xml:space="preserve">, the World Forum will develop, harmonize and update </w:t>
      </w:r>
      <w:r w:rsidR="00CF2CD5" w:rsidRPr="00CC3C06">
        <w:rPr>
          <w:szCs w:val="18"/>
          <w:lang w:val="en-US"/>
        </w:rPr>
        <w:t>UN r</w:t>
      </w:r>
      <w:r w:rsidRPr="00CC3C06">
        <w:rPr>
          <w:szCs w:val="18"/>
          <w:lang w:val="en-US"/>
        </w:rPr>
        <w:t>egulations in</w:t>
      </w:r>
      <w:r w:rsidRPr="006636B2">
        <w:rPr>
          <w:szCs w:val="18"/>
          <w:lang w:val="en-US"/>
        </w:rPr>
        <w:t xml:space="preserve">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72AD0" w14:textId="043B7DAF" w:rsidR="004E040E" w:rsidRPr="00803BF8" w:rsidRDefault="004E040E">
    <w:pPr>
      <w:pStyle w:val="Header"/>
    </w:pPr>
    <w:r>
      <w:t>ECE/TRANS/WP.29/GRSG/</w:t>
    </w:r>
    <w:r w:rsidRPr="00DF418A">
      <w:t>201</w:t>
    </w:r>
    <w:r w:rsidR="00D709BA">
      <w:t>8</w:t>
    </w:r>
    <w:r>
      <w:t>/</w:t>
    </w:r>
    <w:r w:rsidR="00B21178"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3FB7B" w14:textId="110E83A3" w:rsidR="004E040E" w:rsidRPr="00803BF8" w:rsidRDefault="004E040E" w:rsidP="00803BF8">
    <w:pPr>
      <w:pStyle w:val="Header"/>
      <w:jc w:val="right"/>
    </w:pPr>
    <w:r>
      <w:t>ECE/TRANS/WP.29/GRSG/201</w:t>
    </w:r>
    <w:r w:rsidR="00A925F4">
      <w:t>8</w:t>
    </w:r>
    <w:r>
      <w:t>/</w:t>
    </w:r>
    <w:r w:rsidR="00A925F4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64776BD"/>
    <w:multiLevelType w:val="hybridMultilevel"/>
    <w:tmpl w:val="CEEA92DC"/>
    <w:lvl w:ilvl="0" w:tplc="45A05B2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9D551D6"/>
    <w:multiLevelType w:val="hybridMultilevel"/>
    <w:tmpl w:val="75B87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A834F7"/>
    <w:multiLevelType w:val="hybridMultilevel"/>
    <w:tmpl w:val="71AC4AC0"/>
    <w:lvl w:ilvl="0" w:tplc="04100017">
      <w:start w:val="1"/>
      <w:numFmt w:val="lowerLetter"/>
      <w:lvlText w:val="%1)"/>
      <w:lvlJc w:val="left"/>
      <w:pPr>
        <w:ind w:left="2847" w:hanging="360"/>
      </w:pPr>
    </w:lvl>
    <w:lvl w:ilvl="1" w:tplc="04100019" w:tentative="1">
      <w:start w:val="1"/>
      <w:numFmt w:val="lowerLetter"/>
      <w:lvlText w:val="%2."/>
      <w:lvlJc w:val="left"/>
      <w:pPr>
        <w:ind w:left="3567" w:hanging="360"/>
      </w:pPr>
    </w:lvl>
    <w:lvl w:ilvl="2" w:tplc="0410001B" w:tentative="1">
      <w:start w:val="1"/>
      <w:numFmt w:val="lowerRoman"/>
      <w:lvlText w:val="%3."/>
      <w:lvlJc w:val="right"/>
      <w:pPr>
        <w:ind w:left="4287" w:hanging="180"/>
      </w:pPr>
    </w:lvl>
    <w:lvl w:ilvl="3" w:tplc="0410000F" w:tentative="1">
      <w:start w:val="1"/>
      <w:numFmt w:val="decimal"/>
      <w:lvlText w:val="%4."/>
      <w:lvlJc w:val="left"/>
      <w:pPr>
        <w:ind w:left="5007" w:hanging="360"/>
      </w:pPr>
    </w:lvl>
    <w:lvl w:ilvl="4" w:tplc="04100019" w:tentative="1">
      <w:start w:val="1"/>
      <w:numFmt w:val="lowerLetter"/>
      <w:lvlText w:val="%5."/>
      <w:lvlJc w:val="left"/>
      <w:pPr>
        <w:ind w:left="5727" w:hanging="360"/>
      </w:pPr>
    </w:lvl>
    <w:lvl w:ilvl="5" w:tplc="0410001B" w:tentative="1">
      <w:start w:val="1"/>
      <w:numFmt w:val="lowerRoman"/>
      <w:lvlText w:val="%6."/>
      <w:lvlJc w:val="right"/>
      <w:pPr>
        <w:ind w:left="6447" w:hanging="180"/>
      </w:pPr>
    </w:lvl>
    <w:lvl w:ilvl="6" w:tplc="0410000F" w:tentative="1">
      <w:start w:val="1"/>
      <w:numFmt w:val="decimal"/>
      <w:lvlText w:val="%7."/>
      <w:lvlJc w:val="left"/>
      <w:pPr>
        <w:ind w:left="7167" w:hanging="360"/>
      </w:pPr>
    </w:lvl>
    <w:lvl w:ilvl="7" w:tplc="04100019" w:tentative="1">
      <w:start w:val="1"/>
      <w:numFmt w:val="lowerLetter"/>
      <w:lvlText w:val="%8."/>
      <w:lvlJc w:val="left"/>
      <w:pPr>
        <w:ind w:left="7887" w:hanging="360"/>
      </w:pPr>
    </w:lvl>
    <w:lvl w:ilvl="8" w:tplc="0410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68C756E9"/>
    <w:multiLevelType w:val="hybridMultilevel"/>
    <w:tmpl w:val="39B2CCA0"/>
    <w:lvl w:ilvl="0" w:tplc="658873BA">
      <w:start w:val="1"/>
      <w:numFmt w:val="decimal"/>
      <w:lvlText w:val="%1)"/>
      <w:lvlJc w:val="left"/>
      <w:pPr>
        <w:ind w:left="20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72" w:hanging="360"/>
      </w:pPr>
    </w:lvl>
    <w:lvl w:ilvl="2" w:tplc="0407001B" w:tentative="1">
      <w:start w:val="1"/>
      <w:numFmt w:val="lowerRoman"/>
      <w:lvlText w:val="%3."/>
      <w:lvlJc w:val="right"/>
      <w:pPr>
        <w:ind w:left="3492" w:hanging="180"/>
      </w:pPr>
    </w:lvl>
    <w:lvl w:ilvl="3" w:tplc="0407000F" w:tentative="1">
      <w:start w:val="1"/>
      <w:numFmt w:val="decimal"/>
      <w:lvlText w:val="%4."/>
      <w:lvlJc w:val="left"/>
      <w:pPr>
        <w:ind w:left="4212" w:hanging="360"/>
      </w:pPr>
    </w:lvl>
    <w:lvl w:ilvl="4" w:tplc="04070019" w:tentative="1">
      <w:start w:val="1"/>
      <w:numFmt w:val="lowerLetter"/>
      <w:lvlText w:val="%5."/>
      <w:lvlJc w:val="left"/>
      <w:pPr>
        <w:ind w:left="4932" w:hanging="360"/>
      </w:pPr>
    </w:lvl>
    <w:lvl w:ilvl="5" w:tplc="0407001B" w:tentative="1">
      <w:start w:val="1"/>
      <w:numFmt w:val="lowerRoman"/>
      <w:lvlText w:val="%6."/>
      <w:lvlJc w:val="right"/>
      <w:pPr>
        <w:ind w:left="5652" w:hanging="180"/>
      </w:pPr>
    </w:lvl>
    <w:lvl w:ilvl="6" w:tplc="0407000F" w:tentative="1">
      <w:start w:val="1"/>
      <w:numFmt w:val="decimal"/>
      <w:lvlText w:val="%7."/>
      <w:lvlJc w:val="left"/>
      <w:pPr>
        <w:ind w:left="6372" w:hanging="360"/>
      </w:pPr>
    </w:lvl>
    <w:lvl w:ilvl="7" w:tplc="04070019" w:tentative="1">
      <w:start w:val="1"/>
      <w:numFmt w:val="lowerLetter"/>
      <w:lvlText w:val="%8."/>
      <w:lvlJc w:val="left"/>
      <w:pPr>
        <w:ind w:left="7092" w:hanging="360"/>
      </w:pPr>
    </w:lvl>
    <w:lvl w:ilvl="8" w:tplc="0407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1" w15:restartNumberingAfterBreak="0">
    <w:nsid w:val="6D215EFB"/>
    <w:multiLevelType w:val="hybridMultilevel"/>
    <w:tmpl w:val="50DEE63A"/>
    <w:lvl w:ilvl="0" w:tplc="DAC2C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4"/>
  </w:num>
  <w:num w:numId="13">
    <w:abstractNumId w:val="12"/>
  </w:num>
  <w:num w:numId="14">
    <w:abstractNumId w:val="18"/>
  </w:num>
  <w:num w:numId="15">
    <w:abstractNumId w:val="23"/>
  </w:num>
  <w:num w:numId="16">
    <w:abstractNumId w:val="10"/>
  </w:num>
  <w:num w:numId="17">
    <w:abstractNumId w:val="15"/>
  </w:num>
  <w:num w:numId="18">
    <w:abstractNumId w:val="22"/>
  </w:num>
  <w:num w:numId="19">
    <w:abstractNumId w:val="13"/>
  </w:num>
  <w:num w:numId="20">
    <w:abstractNumId w:val="19"/>
  </w:num>
  <w:num w:numId="21">
    <w:abstractNumId w:val="21"/>
  </w:num>
  <w:num w:numId="22">
    <w:abstractNumId w:val="16"/>
  </w:num>
  <w:num w:numId="23">
    <w:abstractNumId w:val="2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6" w:nlCheck="1" w:checkStyle="1"/>
  <w:activeWritingStyle w:appName="MSWord" w:lang="es-A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BF8"/>
    <w:rsid w:val="00000CCB"/>
    <w:rsid w:val="00001F4E"/>
    <w:rsid w:val="00013D2A"/>
    <w:rsid w:val="00014605"/>
    <w:rsid w:val="00015434"/>
    <w:rsid w:val="00015799"/>
    <w:rsid w:val="00031ABF"/>
    <w:rsid w:val="000333D4"/>
    <w:rsid w:val="00034C7C"/>
    <w:rsid w:val="0003564D"/>
    <w:rsid w:val="00041169"/>
    <w:rsid w:val="00043B2C"/>
    <w:rsid w:val="00046515"/>
    <w:rsid w:val="00046A36"/>
    <w:rsid w:val="00046B1F"/>
    <w:rsid w:val="00046CDF"/>
    <w:rsid w:val="00050F6B"/>
    <w:rsid w:val="00052635"/>
    <w:rsid w:val="00056C6B"/>
    <w:rsid w:val="00057E97"/>
    <w:rsid w:val="000646F4"/>
    <w:rsid w:val="00064DDF"/>
    <w:rsid w:val="00065561"/>
    <w:rsid w:val="00066C0D"/>
    <w:rsid w:val="00067F6C"/>
    <w:rsid w:val="000703CF"/>
    <w:rsid w:val="00072C8C"/>
    <w:rsid w:val="000733B5"/>
    <w:rsid w:val="00073F5F"/>
    <w:rsid w:val="00074B8A"/>
    <w:rsid w:val="00075E1A"/>
    <w:rsid w:val="00081037"/>
    <w:rsid w:val="0008164E"/>
    <w:rsid w:val="00081815"/>
    <w:rsid w:val="000876DE"/>
    <w:rsid w:val="000929FE"/>
    <w:rsid w:val="000931C0"/>
    <w:rsid w:val="00093832"/>
    <w:rsid w:val="00094F47"/>
    <w:rsid w:val="000A1800"/>
    <w:rsid w:val="000A525F"/>
    <w:rsid w:val="000A5649"/>
    <w:rsid w:val="000A63F8"/>
    <w:rsid w:val="000B0595"/>
    <w:rsid w:val="000B175B"/>
    <w:rsid w:val="000B1CD2"/>
    <w:rsid w:val="000B2D7B"/>
    <w:rsid w:val="000B2F02"/>
    <w:rsid w:val="000B3A0F"/>
    <w:rsid w:val="000B4EF7"/>
    <w:rsid w:val="000C050B"/>
    <w:rsid w:val="000C2C03"/>
    <w:rsid w:val="000C2D2E"/>
    <w:rsid w:val="000D0516"/>
    <w:rsid w:val="000D33FA"/>
    <w:rsid w:val="000D4EB3"/>
    <w:rsid w:val="000D70AC"/>
    <w:rsid w:val="000E034C"/>
    <w:rsid w:val="000E0415"/>
    <w:rsid w:val="000E2AC1"/>
    <w:rsid w:val="000E5E72"/>
    <w:rsid w:val="000F1AC1"/>
    <w:rsid w:val="000F2AD8"/>
    <w:rsid w:val="000F7E76"/>
    <w:rsid w:val="00101131"/>
    <w:rsid w:val="001044E5"/>
    <w:rsid w:val="001058B4"/>
    <w:rsid w:val="00107CBF"/>
    <w:rsid w:val="001103AA"/>
    <w:rsid w:val="0011666B"/>
    <w:rsid w:val="001228BD"/>
    <w:rsid w:val="00122CBC"/>
    <w:rsid w:val="00123206"/>
    <w:rsid w:val="00130E03"/>
    <w:rsid w:val="0013231C"/>
    <w:rsid w:val="0013381C"/>
    <w:rsid w:val="00133E6D"/>
    <w:rsid w:val="001359D2"/>
    <w:rsid w:val="00135BEE"/>
    <w:rsid w:val="001407D5"/>
    <w:rsid w:val="00143418"/>
    <w:rsid w:val="00147241"/>
    <w:rsid w:val="00151D03"/>
    <w:rsid w:val="00152B52"/>
    <w:rsid w:val="00154165"/>
    <w:rsid w:val="00155592"/>
    <w:rsid w:val="00156C8F"/>
    <w:rsid w:val="001602AF"/>
    <w:rsid w:val="00160B90"/>
    <w:rsid w:val="00163BF7"/>
    <w:rsid w:val="00164A85"/>
    <w:rsid w:val="00165F3A"/>
    <w:rsid w:val="001662EC"/>
    <w:rsid w:val="00170A05"/>
    <w:rsid w:val="00172D26"/>
    <w:rsid w:val="0017324C"/>
    <w:rsid w:val="00182290"/>
    <w:rsid w:val="001827D1"/>
    <w:rsid w:val="00182A54"/>
    <w:rsid w:val="00184490"/>
    <w:rsid w:val="00184A77"/>
    <w:rsid w:val="0019102D"/>
    <w:rsid w:val="00192180"/>
    <w:rsid w:val="00193F1C"/>
    <w:rsid w:val="00194E3F"/>
    <w:rsid w:val="001963AC"/>
    <w:rsid w:val="00197D24"/>
    <w:rsid w:val="001A3955"/>
    <w:rsid w:val="001A5101"/>
    <w:rsid w:val="001B4B04"/>
    <w:rsid w:val="001C4AFE"/>
    <w:rsid w:val="001C6663"/>
    <w:rsid w:val="001C7895"/>
    <w:rsid w:val="001D0C8C"/>
    <w:rsid w:val="001D1419"/>
    <w:rsid w:val="001D26DF"/>
    <w:rsid w:val="001D3177"/>
    <w:rsid w:val="001D3882"/>
    <w:rsid w:val="001D3A03"/>
    <w:rsid w:val="001D4261"/>
    <w:rsid w:val="001D6907"/>
    <w:rsid w:val="001E0C22"/>
    <w:rsid w:val="001E2593"/>
    <w:rsid w:val="001E47B9"/>
    <w:rsid w:val="001E7B67"/>
    <w:rsid w:val="001E7CAC"/>
    <w:rsid w:val="001F20EF"/>
    <w:rsid w:val="00202BF3"/>
    <w:rsid w:val="00202DA8"/>
    <w:rsid w:val="002057AE"/>
    <w:rsid w:val="0021164B"/>
    <w:rsid w:val="00211E0B"/>
    <w:rsid w:val="002134E0"/>
    <w:rsid w:val="00221BD3"/>
    <w:rsid w:val="00226409"/>
    <w:rsid w:val="00230A28"/>
    <w:rsid w:val="00233BB0"/>
    <w:rsid w:val="00237023"/>
    <w:rsid w:val="00243627"/>
    <w:rsid w:val="0024568B"/>
    <w:rsid w:val="00246027"/>
    <w:rsid w:val="0024772E"/>
    <w:rsid w:val="00250D2D"/>
    <w:rsid w:val="002530E8"/>
    <w:rsid w:val="0025747D"/>
    <w:rsid w:val="0026041E"/>
    <w:rsid w:val="00263A29"/>
    <w:rsid w:val="00266C89"/>
    <w:rsid w:val="002676B0"/>
    <w:rsid w:val="00267F5F"/>
    <w:rsid w:val="00270BEB"/>
    <w:rsid w:val="0027135F"/>
    <w:rsid w:val="00271CB5"/>
    <w:rsid w:val="002722E2"/>
    <w:rsid w:val="00273751"/>
    <w:rsid w:val="00276AEF"/>
    <w:rsid w:val="002777A5"/>
    <w:rsid w:val="00282B93"/>
    <w:rsid w:val="00283AEA"/>
    <w:rsid w:val="00283C63"/>
    <w:rsid w:val="0028413D"/>
    <w:rsid w:val="00284D1F"/>
    <w:rsid w:val="00286888"/>
    <w:rsid w:val="00286B4D"/>
    <w:rsid w:val="0028776F"/>
    <w:rsid w:val="002925FB"/>
    <w:rsid w:val="002934A0"/>
    <w:rsid w:val="002938CC"/>
    <w:rsid w:val="00294129"/>
    <w:rsid w:val="00297E26"/>
    <w:rsid w:val="002A0D4A"/>
    <w:rsid w:val="002A42DD"/>
    <w:rsid w:val="002A4687"/>
    <w:rsid w:val="002A4D51"/>
    <w:rsid w:val="002A63D3"/>
    <w:rsid w:val="002A7DBF"/>
    <w:rsid w:val="002B31F7"/>
    <w:rsid w:val="002B4079"/>
    <w:rsid w:val="002B47CA"/>
    <w:rsid w:val="002B6B22"/>
    <w:rsid w:val="002C1B3A"/>
    <w:rsid w:val="002C2315"/>
    <w:rsid w:val="002C3497"/>
    <w:rsid w:val="002C5141"/>
    <w:rsid w:val="002C567B"/>
    <w:rsid w:val="002C64E5"/>
    <w:rsid w:val="002C6BB6"/>
    <w:rsid w:val="002C73E0"/>
    <w:rsid w:val="002D046E"/>
    <w:rsid w:val="002D1AE4"/>
    <w:rsid w:val="002D4643"/>
    <w:rsid w:val="002D4CFC"/>
    <w:rsid w:val="002E093F"/>
    <w:rsid w:val="002E2EB7"/>
    <w:rsid w:val="002E4A30"/>
    <w:rsid w:val="002E5532"/>
    <w:rsid w:val="002E5684"/>
    <w:rsid w:val="002E7F93"/>
    <w:rsid w:val="002F04B8"/>
    <w:rsid w:val="002F0546"/>
    <w:rsid w:val="002F175C"/>
    <w:rsid w:val="002F1D8E"/>
    <w:rsid w:val="002F5AC5"/>
    <w:rsid w:val="002F725C"/>
    <w:rsid w:val="002F7A67"/>
    <w:rsid w:val="002F7DE0"/>
    <w:rsid w:val="0030272D"/>
    <w:rsid w:val="00302E18"/>
    <w:rsid w:val="00312F59"/>
    <w:rsid w:val="0031733E"/>
    <w:rsid w:val="00320995"/>
    <w:rsid w:val="00320D2F"/>
    <w:rsid w:val="003229D8"/>
    <w:rsid w:val="003237A4"/>
    <w:rsid w:val="00325908"/>
    <w:rsid w:val="00326932"/>
    <w:rsid w:val="00330F1A"/>
    <w:rsid w:val="003311A6"/>
    <w:rsid w:val="00336789"/>
    <w:rsid w:val="003369B2"/>
    <w:rsid w:val="003406CC"/>
    <w:rsid w:val="0034070E"/>
    <w:rsid w:val="0034168B"/>
    <w:rsid w:val="00341F69"/>
    <w:rsid w:val="003450DD"/>
    <w:rsid w:val="003451F4"/>
    <w:rsid w:val="00347A83"/>
    <w:rsid w:val="003516C1"/>
    <w:rsid w:val="00352181"/>
    <w:rsid w:val="00352709"/>
    <w:rsid w:val="00356E54"/>
    <w:rsid w:val="003619B5"/>
    <w:rsid w:val="00361AC3"/>
    <w:rsid w:val="00365763"/>
    <w:rsid w:val="00371178"/>
    <w:rsid w:val="003734E3"/>
    <w:rsid w:val="00377817"/>
    <w:rsid w:val="003800C8"/>
    <w:rsid w:val="00383155"/>
    <w:rsid w:val="0038516A"/>
    <w:rsid w:val="00391650"/>
    <w:rsid w:val="00392E47"/>
    <w:rsid w:val="00394CC7"/>
    <w:rsid w:val="003951CC"/>
    <w:rsid w:val="00396E5F"/>
    <w:rsid w:val="003A06B5"/>
    <w:rsid w:val="003A135A"/>
    <w:rsid w:val="003A3D17"/>
    <w:rsid w:val="003A5828"/>
    <w:rsid w:val="003A6810"/>
    <w:rsid w:val="003A7420"/>
    <w:rsid w:val="003B1EDF"/>
    <w:rsid w:val="003B4673"/>
    <w:rsid w:val="003C17CC"/>
    <w:rsid w:val="003C2CC4"/>
    <w:rsid w:val="003C46E4"/>
    <w:rsid w:val="003C472E"/>
    <w:rsid w:val="003C4BA1"/>
    <w:rsid w:val="003C534D"/>
    <w:rsid w:val="003D4B23"/>
    <w:rsid w:val="003D751D"/>
    <w:rsid w:val="003E120B"/>
    <w:rsid w:val="003E130E"/>
    <w:rsid w:val="003E44F5"/>
    <w:rsid w:val="003F00E3"/>
    <w:rsid w:val="003F23F3"/>
    <w:rsid w:val="003F4275"/>
    <w:rsid w:val="003F6FC1"/>
    <w:rsid w:val="004019C4"/>
    <w:rsid w:val="00402CD1"/>
    <w:rsid w:val="00403D20"/>
    <w:rsid w:val="0040438C"/>
    <w:rsid w:val="00406C85"/>
    <w:rsid w:val="00410C89"/>
    <w:rsid w:val="00413FC7"/>
    <w:rsid w:val="00414256"/>
    <w:rsid w:val="00420557"/>
    <w:rsid w:val="00422E03"/>
    <w:rsid w:val="00423D86"/>
    <w:rsid w:val="0042591D"/>
    <w:rsid w:val="00425C32"/>
    <w:rsid w:val="00426B9B"/>
    <w:rsid w:val="004325CB"/>
    <w:rsid w:val="0043676F"/>
    <w:rsid w:val="00442A83"/>
    <w:rsid w:val="00443911"/>
    <w:rsid w:val="004476E6"/>
    <w:rsid w:val="0045495B"/>
    <w:rsid w:val="004561E5"/>
    <w:rsid w:val="00456BF3"/>
    <w:rsid w:val="004572AE"/>
    <w:rsid w:val="00464BD6"/>
    <w:rsid w:val="00467FEF"/>
    <w:rsid w:val="00471BD2"/>
    <w:rsid w:val="0047621F"/>
    <w:rsid w:val="00477526"/>
    <w:rsid w:val="00477A0D"/>
    <w:rsid w:val="00477C6B"/>
    <w:rsid w:val="0048237A"/>
    <w:rsid w:val="0048397A"/>
    <w:rsid w:val="0048413F"/>
    <w:rsid w:val="0048419F"/>
    <w:rsid w:val="00485CBB"/>
    <w:rsid w:val="004866B7"/>
    <w:rsid w:val="004935FC"/>
    <w:rsid w:val="00493DB9"/>
    <w:rsid w:val="00494AC7"/>
    <w:rsid w:val="004A4BF7"/>
    <w:rsid w:val="004A79FD"/>
    <w:rsid w:val="004B05F0"/>
    <w:rsid w:val="004B3889"/>
    <w:rsid w:val="004B3B45"/>
    <w:rsid w:val="004C2461"/>
    <w:rsid w:val="004C3774"/>
    <w:rsid w:val="004C7462"/>
    <w:rsid w:val="004C7D42"/>
    <w:rsid w:val="004D0424"/>
    <w:rsid w:val="004D65FF"/>
    <w:rsid w:val="004E040E"/>
    <w:rsid w:val="004E0683"/>
    <w:rsid w:val="004E0FDB"/>
    <w:rsid w:val="004E58ED"/>
    <w:rsid w:val="004E6380"/>
    <w:rsid w:val="004E77B2"/>
    <w:rsid w:val="004F00B6"/>
    <w:rsid w:val="004F1622"/>
    <w:rsid w:val="004F1CBD"/>
    <w:rsid w:val="004F462B"/>
    <w:rsid w:val="004F7100"/>
    <w:rsid w:val="00501396"/>
    <w:rsid w:val="0050261A"/>
    <w:rsid w:val="0050463D"/>
    <w:rsid w:val="00504B2D"/>
    <w:rsid w:val="00506897"/>
    <w:rsid w:val="00507132"/>
    <w:rsid w:val="005075B1"/>
    <w:rsid w:val="005153D5"/>
    <w:rsid w:val="00516F20"/>
    <w:rsid w:val="0052136D"/>
    <w:rsid w:val="00521B5A"/>
    <w:rsid w:val="00527001"/>
    <w:rsid w:val="0052775E"/>
    <w:rsid w:val="005305DD"/>
    <w:rsid w:val="00530C26"/>
    <w:rsid w:val="005420F2"/>
    <w:rsid w:val="00544CB6"/>
    <w:rsid w:val="0055161F"/>
    <w:rsid w:val="00551A59"/>
    <w:rsid w:val="0055217D"/>
    <w:rsid w:val="0055307C"/>
    <w:rsid w:val="005534A0"/>
    <w:rsid w:val="00554D08"/>
    <w:rsid w:val="00556130"/>
    <w:rsid w:val="00557459"/>
    <w:rsid w:val="0056209A"/>
    <w:rsid w:val="005628B6"/>
    <w:rsid w:val="005637BE"/>
    <w:rsid w:val="00564BCC"/>
    <w:rsid w:val="00566C4A"/>
    <w:rsid w:val="0057118C"/>
    <w:rsid w:val="0057288A"/>
    <w:rsid w:val="005751FB"/>
    <w:rsid w:val="00581DFE"/>
    <w:rsid w:val="00583363"/>
    <w:rsid w:val="00583457"/>
    <w:rsid w:val="005907C7"/>
    <w:rsid w:val="00593353"/>
    <w:rsid w:val="00593753"/>
    <w:rsid w:val="005941EC"/>
    <w:rsid w:val="00596CF1"/>
    <w:rsid w:val="0059724D"/>
    <w:rsid w:val="0059757F"/>
    <w:rsid w:val="005B04D8"/>
    <w:rsid w:val="005B1513"/>
    <w:rsid w:val="005B320C"/>
    <w:rsid w:val="005B3DB3"/>
    <w:rsid w:val="005B4E13"/>
    <w:rsid w:val="005C1629"/>
    <w:rsid w:val="005C342F"/>
    <w:rsid w:val="005C5509"/>
    <w:rsid w:val="005C5CC4"/>
    <w:rsid w:val="005C7D1E"/>
    <w:rsid w:val="005D04B2"/>
    <w:rsid w:val="005D6B0A"/>
    <w:rsid w:val="005E0D4D"/>
    <w:rsid w:val="005F4257"/>
    <w:rsid w:val="005F72B3"/>
    <w:rsid w:val="005F7B75"/>
    <w:rsid w:val="006001EE"/>
    <w:rsid w:val="00600492"/>
    <w:rsid w:val="006032D8"/>
    <w:rsid w:val="00605042"/>
    <w:rsid w:val="00605514"/>
    <w:rsid w:val="006072D0"/>
    <w:rsid w:val="00607952"/>
    <w:rsid w:val="006079FB"/>
    <w:rsid w:val="00611FC4"/>
    <w:rsid w:val="00616169"/>
    <w:rsid w:val="006176FB"/>
    <w:rsid w:val="00620451"/>
    <w:rsid w:val="006219A3"/>
    <w:rsid w:val="00623E89"/>
    <w:rsid w:val="00626FBD"/>
    <w:rsid w:val="0063070C"/>
    <w:rsid w:val="0063242B"/>
    <w:rsid w:val="00634F9F"/>
    <w:rsid w:val="006352A1"/>
    <w:rsid w:val="006372E5"/>
    <w:rsid w:val="006407D7"/>
    <w:rsid w:val="0064099B"/>
    <w:rsid w:val="00640B26"/>
    <w:rsid w:val="0064292F"/>
    <w:rsid w:val="00645EBB"/>
    <w:rsid w:val="006465CF"/>
    <w:rsid w:val="00647BAD"/>
    <w:rsid w:val="00652D0A"/>
    <w:rsid w:val="0065391C"/>
    <w:rsid w:val="00654889"/>
    <w:rsid w:val="00662BB6"/>
    <w:rsid w:val="00663B3A"/>
    <w:rsid w:val="00664F9E"/>
    <w:rsid w:val="00671B51"/>
    <w:rsid w:val="00671C7E"/>
    <w:rsid w:val="006731C7"/>
    <w:rsid w:val="0067362F"/>
    <w:rsid w:val="00675314"/>
    <w:rsid w:val="00676606"/>
    <w:rsid w:val="00680563"/>
    <w:rsid w:val="00682E86"/>
    <w:rsid w:val="00683612"/>
    <w:rsid w:val="0068459E"/>
    <w:rsid w:val="00684C21"/>
    <w:rsid w:val="006958E8"/>
    <w:rsid w:val="006A0BC2"/>
    <w:rsid w:val="006A2530"/>
    <w:rsid w:val="006A2748"/>
    <w:rsid w:val="006A46E9"/>
    <w:rsid w:val="006A7CA7"/>
    <w:rsid w:val="006B0475"/>
    <w:rsid w:val="006B4D98"/>
    <w:rsid w:val="006B4E99"/>
    <w:rsid w:val="006B4E9F"/>
    <w:rsid w:val="006B5488"/>
    <w:rsid w:val="006C3589"/>
    <w:rsid w:val="006C4609"/>
    <w:rsid w:val="006C70CD"/>
    <w:rsid w:val="006D37AF"/>
    <w:rsid w:val="006D4C02"/>
    <w:rsid w:val="006D51D0"/>
    <w:rsid w:val="006D5219"/>
    <w:rsid w:val="006D52CA"/>
    <w:rsid w:val="006D5FB9"/>
    <w:rsid w:val="006D658E"/>
    <w:rsid w:val="006E15CA"/>
    <w:rsid w:val="006E564B"/>
    <w:rsid w:val="006E7191"/>
    <w:rsid w:val="006E7863"/>
    <w:rsid w:val="006F0360"/>
    <w:rsid w:val="006F2D70"/>
    <w:rsid w:val="006F3D7F"/>
    <w:rsid w:val="0070003C"/>
    <w:rsid w:val="00702B9C"/>
    <w:rsid w:val="00703577"/>
    <w:rsid w:val="00703633"/>
    <w:rsid w:val="00704CB6"/>
    <w:rsid w:val="00705894"/>
    <w:rsid w:val="007072C1"/>
    <w:rsid w:val="007107A7"/>
    <w:rsid w:val="00715FB5"/>
    <w:rsid w:val="00716CB7"/>
    <w:rsid w:val="00720319"/>
    <w:rsid w:val="007219ED"/>
    <w:rsid w:val="007247D3"/>
    <w:rsid w:val="0072632A"/>
    <w:rsid w:val="00727B60"/>
    <w:rsid w:val="007304FA"/>
    <w:rsid w:val="00731186"/>
    <w:rsid w:val="007327D5"/>
    <w:rsid w:val="00735128"/>
    <w:rsid w:val="00736D05"/>
    <w:rsid w:val="00737569"/>
    <w:rsid w:val="007377C5"/>
    <w:rsid w:val="00740D04"/>
    <w:rsid w:val="00750B8D"/>
    <w:rsid w:val="00757F2F"/>
    <w:rsid w:val="0076035A"/>
    <w:rsid w:val="007629C8"/>
    <w:rsid w:val="0077047D"/>
    <w:rsid w:val="00775D04"/>
    <w:rsid w:val="00775F7C"/>
    <w:rsid w:val="0077691F"/>
    <w:rsid w:val="00790A9A"/>
    <w:rsid w:val="00792970"/>
    <w:rsid w:val="00793B94"/>
    <w:rsid w:val="007948F3"/>
    <w:rsid w:val="00795767"/>
    <w:rsid w:val="007A1FFD"/>
    <w:rsid w:val="007A238A"/>
    <w:rsid w:val="007A52E6"/>
    <w:rsid w:val="007B2A30"/>
    <w:rsid w:val="007B6BA5"/>
    <w:rsid w:val="007C0546"/>
    <w:rsid w:val="007C2E71"/>
    <w:rsid w:val="007C3390"/>
    <w:rsid w:val="007C3B1C"/>
    <w:rsid w:val="007C4F4B"/>
    <w:rsid w:val="007D0567"/>
    <w:rsid w:val="007D2276"/>
    <w:rsid w:val="007D24C3"/>
    <w:rsid w:val="007D4D27"/>
    <w:rsid w:val="007E01E9"/>
    <w:rsid w:val="007E3C7D"/>
    <w:rsid w:val="007E5E15"/>
    <w:rsid w:val="007E63F3"/>
    <w:rsid w:val="007F0E12"/>
    <w:rsid w:val="007F1133"/>
    <w:rsid w:val="007F3673"/>
    <w:rsid w:val="007F4485"/>
    <w:rsid w:val="007F53E5"/>
    <w:rsid w:val="007F6611"/>
    <w:rsid w:val="007F6FD3"/>
    <w:rsid w:val="00801D6A"/>
    <w:rsid w:val="00803BF8"/>
    <w:rsid w:val="00804C91"/>
    <w:rsid w:val="00806E1C"/>
    <w:rsid w:val="00811920"/>
    <w:rsid w:val="00815AD0"/>
    <w:rsid w:val="00815EDB"/>
    <w:rsid w:val="008163F1"/>
    <w:rsid w:val="00816704"/>
    <w:rsid w:val="008201B8"/>
    <w:rsid w:val="00822B44"/>
    <w:rsid w:val="008242D7"/>
    <w:rsid w:val="008257B1"/>
    <w:rsid w:val="00832334"/>
    <w:rsid w:val="008333FE"/>
    <w:rsid w:val="008339DF"/>
    <w:rsid w:val="00833D04"/>
    <w:rsid w:val="00835349"/>
    <w:rsid w:val="00835C20"/>
    <w:rsid w:val="00837D8A"/>
    <w:rsid w:val="00843767"/>
    <w:rsid w:val="00846374"/>
    <w:rsid w:val="00847CEC"/>
    <w:rsid w:val="00851184"/>
    <w:rsid w:val="00852982"/>
    <w:rsid w:val="0085492E"/>
    <w:rsid w:val="00854B2C"/>
    <w:rsid w:val="008562C9"/>
    <w:rsid w:val="00856494"/>
    <w:rsid w:val="00856FAA"/>
    <w:rsid w:val="00857209"/>
    <w:rsid w:val="00861117"/>
    <w:rsid w:val="0086135A"/>
    <w:rsid w:val="00863DFD"/>
    <w:rsid w:val="00865560"/>
    <w:rsid w:val="008663CE"/>
    <w:rsid w:val="008679D9"/>
    <w:rsid w:val="00872EA9"/>
    <w:rsid w:val="00873BB6"/>
    <w:rsid w:val="00875F24"/>
    <w:rsid w:val="008774E7"/>
    <w:rsid w:val="008809C1"/>
    <w:rsid w:val="00881AE2"/>
    <w:rsid w:val="00881F52"/>
    <w:rsid w:val="00883E85"/>
    <w:rsid w:val="00886679"/>
    <w:rsid w:val="00886690"/>
    <w:rsid w:val="008878DE"/>
    <w:rsid w:val="00896B38"/>
    <w:rsid w:val="00896B58"/>
    <w:rsid w:val="008979B1"/>
    <w:rsid w:val="00897C33"/>
    <w:rsid w:val="008A0372"/>
    <w:rsid w:val="008A05CB"/>
    <w:rsid w:val="008A137D"/>
    <w:rsid w:val="008A1ED5"/>
    <w:rsid w:val="008A402D"/>
    <w:rsid w:val="008A4091"/>
    <w:rsid w:val="008A5F7A"/>
    <w:rsid w:val="008A6467"/>
    <w:rsid w:val="008A6B25"/>
    <w:rsid w:val="008A6C4F"/>
    <w:rsid w:val="008B03AD"/>
    <w:rsid w:val="008B2335"/>
    <w:rsid w:val="008B279D"/>
    <w:rsid w:val="008B2E36"/>
    <w:rsid w:val="008D37F7"/>
    <w:rsid w:val="008D39EC"/>
    <w:rsid w:val="008D7558"/>
    <w:rsid w:val="008E05FB"/>
    <w:rsid w:val="008E0678"/>
    <w:rsid w:val="008E305A"/>
    <w:rsid w:val="008E6DB5"/>
    <w:rsid w:val="008E7431"/>
    <w:rsid w:val="008F31D2"/>
    <w:rsid w:val="008F4D26"/>
    <w:rsid w:val="008F5E28"/>
    <w:rsid w:val="0090098B"/>
    <w:rsid w:val="009014EE"/>
    <w:rsid w:val="00906A89"/>
    <w:rsid w:val="00915EF6"/>
    <w:rsid w:val="00920951"/>
    <w:rsid w:val="00920C5D"/>
    <w:rsid w:val="00921397"/>
    <w:rsid w:val="009223CA"/>
    <w:rsid w:val="009235EA"/>
    <w:rsid w:val="0092494D"/>
    <w:rsid w:val="0092535E"/>
    <w:rsid w:val="00927C2B"/>
    <w:rsid w:val="00934FAC"/>
    <w:rsid w:val="00940F93"/>
    <w:rsid w:val="0094307E"/>
    <w:rsid w:val="009448C3"/>
    <w:rsid w:val="00945A10"/>
    <w:rsid w:val="009465E1"/>
    <w:rsid w:val="0095793C"/>
    <w:rsid w:val="009629C4"/>
    <w:rsid w:val="00963752"/>
    <w:rsid w:val="00963BF3"/>
    <w:rsid w:val="00963E1A"/>
    <w:rsid w:val="0096421E"/>
    <w:rsid w:val="009650B1"/>
    <w:rsid w:val="00967ACA"/>
    <w:rsid w:val="00972EEF"/>
    <w:rsid w:val="00974C2D"/>
    <w:rsid w:val="009760F3"/>
    <w:rsid w:val="009764DA"/>
    <w:rsid w:val="00976CFB"/>
    <w:rsid w:val="00981AA1"/>
    <w:rsid w:val="00982DEB"/>
    <w:rsid w:val="00985228"/>
    <w:rsid w:val="00992774"/>
    <w:rsid w:val="0099285B"/>
    <w:rsid w:val="00997605"/>
    <w:rsid w:val="00997D09"/>
    <w:rsid w:val="009A0830"/>
    <w:rsid w:val="009A08AC"/>
    <w:rsid w:val="009A0E8D"/>
    <w:rsid w:val="009A1E55"/>
    <w:rsid w:val="009A26E0"/>
    <w:rsid w:val="009A4025"/>
    <w:rsid w:val="009A43DF"/>
    <w:rsid w:val="009A5E59"/>
    <w:rsid w:val="009A6914"/>
    <w:rsid w:val="009B26E7"/>
    <w:rsid w:val="009B5B90"/>
    <w:rsid w:val="009B64BB"/>
    <w:rsid w:val="009B69E9"/>
    <w:rsid w:val="009C2456"/>
    <w:rsid w:val="009C5020"/>
    <w:rsid w:val="009D133E"/>
    <w:rsid w:val="009D272C"/>
    <w:rsid w:val="009D4BEE"/>
    <w:rsid w:val="009D5431"/>
    <w:rsid w:val="009E15C8"/>
    <w:rsid w:val="009E5620"/>
    <w:rsid w:val="009E7B72"/>
    <w:rsid w:val="009F07C1"/>
    <w:rsid w:val="009F0B23"/>
    <w:rsid w:val="009F2CA6"/>
    <w:rsid w:val="009F36A3"/>
    <w:rsid w:val="009F71D1"/>
    <w:rsid w:val="00A00697"/>
    <w:rsid w:val="00A00A3F"/>
    <w:rsid w:val="00A01489"/>
    <w:rsid w:val="00A053B0"/>
    <w:rsid w:val="00A11337"/>
    <w:rsid w:val="00A14A4D"/>
    <w:rsid w:val="00A20DE2"/>
    <w:rsid w:val="00A23763"/>
    <w:rsid w:val="00A27E4A"/>
    <w:rsid w:val="00A3026E"/>
    <w:rsid w:val="00A32120"/>
    <w:rsid w:val="00A338F1"/>
    <w:rsid w:val="00A3529B"/>
    <w:rsid w:val="00A35BE0"/>
    <w:rsid w:val="00A4129A"/>
    <w:rsid w:val="00A44D34"/>
    <w:rsid w:val="00A508DF"/>
    <w:rsid w:val="00A51DCC"/>
    <w:rsid w:val="00A52B68"/>
    <w:rsid w:val="00A54EBE"/>
    <w:rsid w:val="00A574F6"/>
    <w:rsid w:val="00A6129C"/>
    <w:rsid w:val="00A62630"/>
    <w:rsid w:val="00A63E35"/>
    <w:rsid w:val="00A6507F"/>
    <w:rsid w:val="00A668CC"/>
    <w:rsid w:val="00A66EBD"/>
    <w:rsid w:val="00A70DD4"/>
    <w:rsid w:val="00A72F22"/>
    <w:rsid w:val="00A7360F"/>
    <w:rsid w:val="00A748A6"/>
    <w:rsid w:val="00A769F4"/>
    <w:rsid w:val="00A776B4"/>
    <w:rsid w:val="00A80D02"/>
    <w:rsid w:val="00A81C59"/>
    <w:rsid w:val="00A83C2D"/>
    <w:rsid w:val="00A85A67"/>
    <w:rsid w:val="00A86546"/>
    <w:rsid w:val="00A877CE"/>
    <w:rsid w:val="00A87C87"/>
    <w:rsid w:val="00A90194"/>
    <w:rsid w:val="00A925F4"/>
    <w:rsid w:val="00A94361"/>
    <w:rsid w:val="00A979DD"/>
    <w:rsid w:val="00AA293C"/>
    <w:rsid w:val="00AB01AB"/>
    <w:rsid w:val="00AB10D2"/>
    <w:rsid w:val="00AB19E3"/>
    <w:rsid w:val="00AB2364"/>
    <w:rsid w:val="00AB4689"/>
    <w:rsid w:val="00AB6EC7"/>
    <w:rsid w:val="00AB7BF6"/>
    <w:rsid w:val="00AC1563"/>
    <w:rsid w:val="00AC3244"/>
    <w:rsid w:val="00AC38EE"/>
    <w:rsid w:val="00AC3BEE"/>
    <w:rsid w:val="00AC3D15"/>
    <w:rsid w:val="00AC56C3"/>
    <w:rsid w:val="00AD0033"/>
    <w:rsid w:val="00AD0670"/>
    <w:rsid w:val="00AD087C"/>
    <w:rsid w:val="00AE02E1"/>
    <w:rsid w:val="00AE03EE"/>
    <w:rsid w:val="00AE59C2"/>
    <w:rsid w:val="00AE6437"/>
    <w:rsid w:val="00AF5118"/>
    <w:rsid w:val="00AF6850"/>
    <w:rsid w:val="00AF6B6C"/>
    <w:rsid w:val="00B048EE"/>
    <w:rsid w:val="00B21178"/>
    <w:rsid w:val="00B213A0"/>
    <w:rsid w:val="00B22EC9"/>
    <w:rsid w:val="00B238A5"/>
    <w:rsid w:val="00B253FC"/>
    <w:rsid w:val="00B25FAF"/>
    <w:rsid w:val="00B276F0"/>
    <w:rsid w:val="00B30179"/>
    <w:rsid w:val="00B33901"/>
    <w:rsid w:val="00B341FF"/>
    <w:rsid w:val="00B371CD"/>
    <w:rsid w:val="00B421C1"/>
    <w:rsid w:val="00B43821"/>
    <w:rsid w:val="00B44C89"/>
    <w:rsid w:val="00B47053"/>
    <w:rsid w:val="00B50BFB"/>
    <w:rsid w:val="00B50D1A"/>
    <w:rsid w:val="00B52507"/>
    <w:rsid w:val="00B53C21"/>
    <w:rsid w:val="00B55C71"/>
    <w:rsid w:val="00B56E37"/>
    <w:rsid w:val="00B56E4A"/>
    <w:rsid w:val="00B56E9C"/>
    <w:rsid w:val="00B61570"/>
    <w:rsid w:val="00B61A08"/>
    <w:rsid w:val="00B64B1F"/>
    <w:rsid w:val="00B6553F"/>
    <w:rsid w:val="00B73F39"/>
    <w:rsid w:val="00B74954"/>
    <w:rsid w:val="00B77D05"/>
    <w:rsid w:val="00B81206"/>
    <w:rsid w:val="00B8192C"/>
    <w:rsid w:val="00B81E12"/>
    <w:rsid w:val="00B845A8"/>
    <w:rsid w:val="00B8584A"/>
    <w:rsid w:val="00B924F0"/>
    <w:rsid w:val="00B928FA"/>
    <w:rsid w:val="00BA0141"/>
    <w:rsid w:val="00BA12BA"/>
    <w:rsid w:val="00BA22E5"/>
    <w:rsid w:val="00BA2B79"/>
    <w:rsid w:val="00BA51B3"/>
    <w:rsid w:val="00BA523F"/>
    <w:rsid w:val="00BA5FB8"/>
    <w:rsid w:val="00BA73AB"/>
    <w:rsid w:val="00BA770E"/>
    <w:rsid w:val="00BB214B"/>
    <w:rsid w:val="00BB290D"/>
    <w:rsid w:val="00BB646D"/>
    <w:rsid w:val="00BC14F0"/>
    <w:rsid w:val="00BC1657"/>
    <w:rsid w:val="00BC3FA0"/>
    <w:rsid w:val="00BC48C8"/>
    <w:rsid w:val="00BC6ABF"/>
    <w:rsid w:val="00BC74E9"/>
    <w:rsid w:val="00BC7E50"/>
    <w:rsid w:val="00BD0112"/>
    <w:rsid w:val="00BD1ED3"/>
    <w:rsid w:val="00BD577B"/>
    <w:rsid w:val="00BD6484"/>
    <w:rsid w:val="00BD6F32"/>
    <w:rsid w:val="00BE1BD5"/>
    <w:rsid w:val="00BE54D3"/>
    <w:rsid w:val="00BE584F"/>
    <w:rsid w:val="00BE7104"/>
    <w:rsid w:val="00BF071E"/>
    <w:rsid w:val="00BF5951"/>
    <w:rsid w:val="00BF68A8"/>
    <w:rsid w:val="00C0035E"/>
    <w:rsid w:val="00C04469"/>
    <w:rsid w:val="00C046F1"/>
    <w:rsid w:val="00C06463"/>
    <w:rsid w:val="00C0710B"/>
    <w:rsid w:val="00C074E5"/>
    <w:rsid w:val="00C11A03"/>
    <w:rsid w:val="00C15D44"/>
    <w:rsid w:val="00C22C0C"/>
    <w:rsid w:val="00C24EC4"/>
    <w:rsid w:val="00C24F50"/>
    <w:rsid w:val="00C26FD8"/>
    <w:rsid w:val="00C27BD6"/>
    <w:rsid w:val="00C27E9E"/>
    <w:rsid w:val="00C30E2E"/>
    <w:rsid w:val="00C31258"/>
    <w:rsid w:val="00C32F24"/>
    <w:rsid w:val="00C4058A"/>
    <w:rsid w:val="00C425BC"/>
    <w:rsid w:val="00C4340D"/>
    <w:rsid w:val="00C44C22"/>
    <w:rsid w:val="00C44FA6"/>
    <w:rsid w:val="00C4527F"/>
    <w:rsid w:val="00C463DD"/>
    <w:rsid w:val="00C46D20"/>
    <w:rsid w:val="00C4724C"/>
    <w:rsid w:val="00C51808"/>
    <w:rsid w:val="00C522C3"/>
    <w:rsid w:val="00C57E75"/>
    <w:rsid w:val="00C629A0"/>
    <w:rsid w:val="00C64574"/>
    <w:rsid w:val="00C64629"/>
    <w:rsid w:val="00C65898"/>
    <w:rsid w:val="00C6695D"/>
    <w:rsid w:val="00C67A88"/>
    <w:rsid w:val="00C67DB7"/>
    <w:rsid w:val="00C67F0F"/>
    <w:rsid w:val="00C7153B"/>
    <w:rsid w:val="00C73591"/>
    <w:rsid w:val="00C74128"/>
    <w:rsid w:val="00C745C3"/>
    <w:rsid w:val="00C752BA"/>
    <w:rsid w:val="00C7656E"/>
    <w:rsid w:val="00C81F83"/>
    <w:rsid w:val="00C83F48"/>
    <w:rsid w:val="00C843AA"/>
    <w:rsid w:val="00C844EE"/>
    <w:rsid w:val="00C85255"/>
    <w:rsid w:val="00C85C77"/>
    <w:rsid w:val="00C86E02"/>
    <w:rsid w:val="00C91017"/>
    <w:rsid w:val="00C953EC"/>
    <w:rsid w:val="00C96DF2"/>
    <w:rsid w:val="00C9755B"/>
    <w:rsid w:val="00CA032B"/>
    <w:rsid w:val="00CA2CD1"/>
    <w:rsid w:val="00CA3217"/>
    <w:rsid w:val="00CA622E"/>
    <w:rsid w:val="00CA6DDD"/>
    <w:rsid w:val="00CA711E"/>
    <w:rsid w:val="00CB3E03"/>
    <w:rsid w:val="00CB7013"/>
    <w:rsid w:val="00CC138B"/>
    <w:rsid w:val="00CC187A"/>
    <w:rsid w:val="00CC3C06"/>
    <w:rsid w:val="00CC4839"/>
    <w:rsid w:val="00CD2AAC"/>
    <w:rsid w:val="00CD4AA6"/>
    <w:rsid w:val="00CD730A"/>
    <w:rsid w:val="00CE4A8F"/>
    <w:rsid w:val="00CE5946"/>
    <w:rsid w:val="00CE7719"/>
    <w:rsid w:val="00CE7816"/>
    <w:rsid w:val="00CF1FA5"/>
    <w:rsid w:val="00CF263E"/>
    <w:rsid w:val="00CF2B7C"/>
    <w:rsid w:val="00CF2CD5"/>
    <w:rsid w:val="00CF7C95"/>
    <w:rsid w:val="00D03348"/>
    <w:rsid w:val="00D0541A"/>
    <w:rsid w:val="00D05E5E"/>
    <w:rsid w:val="00D12117"/>
    <w:rsid w:val="00D153A7"/>
    <w:rsid w:val="00D2031B"/>
    <w:rsid w:val="00D248B6"/>
    <w:rsid w:val="00D25FB2"/>
    <w:rsid w:val="00D25FE2"/>
    <w:rsid w:val="00D26E07"/>
    <w:rsid w:val="00D27713"/>
    <w:rsid w:val="00D32431"/>
    <w:rsid w:val="00D32DF8"/>
    <w:rsid w:val="00D342A8"/>
    <w:rsid w:val="00D40653"/>
    <w:rsid w:val="00D43252"/>
    <w:rsid w:val="00D4688A"/>
    <w:rsid w:val="00D46A88"/>
    <w:rsid w:val="00D46D61"/>
    <w:rsid w:val="00D47EEA"/>
    <w:rsid w:val="00D514CE"/>
    <w:rsid w:val="00D51801"/>
    <w:rsid w:val="00D53E7A"/>
    <w:rsid w:val="00D54E2A"/>
    <w:rsid w:val="00D57885"/>
    <w:rsid w:val="00D5792F"/>
    <w:rsid w:val="00D60A2A"/>
    <w:rsid w:val="00D66211"/>
    <w:rsid w:val="00D70083"/>
    <w:rsid w:val="00D709BA"/>
    <w:rsid w:val="00D75C92"/>
    <w:rsid w:val="00D773DF"/>
    <w:rsid w:val="00D84D4D"/>
    <w:rsid w:val="00D90F84"/>
    <w:rsid w:val="00D92E08"/>
    <w:rsid w:val="00D94543"/>
    <w:rsid w:val="00D95303"/>
    <w:rsid w:val="00D978C6"/>
    <w:rsid w:val="00DA2C03"/>
    <w:rsid w:val="00DA3C1C"/>
    <w:rsid w:val="00DA3C80"/>
    <w:rsid w:val="00DA3CA2"/>
    <w:rsid w:val="00DA6998"/>
    <w:rsid w:val="00DB0466"/>
    <w:rsid w:val="00DB1B2B"/>
    <w:rsid w:val="00DB259A"/>
    <w:rsid w:val="00DB3822"/>
    <w:rsid w:val="00DC022E"/>
    <w:rsid w:val="00DC3A93"/>
    <w:rsid w:val="00DC403F"/>
    <w:rsid w:val="00DC6D39"/>
    <w:rsid w:val="00DC7014"/>
    <w:rsid w:val="00DD01A8"/>
    <w:rsid w:val="00DD13A2"/>
    <w:rsid w:val="00DD19F5"/>
    <w:rsid w:val="00DD455F"/>
    <w:rsid w:val="00DD640F"/>
    <w:rsid w:val="00DE5FF7"/>
    <w:rsid w:val="00DF418A"/>
    <w:rsid w:val="00DF49B0"/>
    <w:rsid w:val="00E00FC9"/>
    <w:rsid w:val="00E03443"/>
    <w:rsid w:val="00E046DF"/>
    <w:rsid w:val="00E04BE9"/>
    <w:rsid w:val="00E1085B"/>
    <w:rsid w:val="00E109DD"/>
    <w:rsid w:val="00E118EB"/>
    <w:rsid w:val="00E2018A"/>
    <w:rsid w:val="00E201F4"/>
    <w:rsid w:val="00E2176E"/>
    <w:rsid w:val="00E22B0C"/>
    <w:rsid w:val="00E27346"/>
    <w:rsid w:val="00E319F7"/>
    <w:rsid w:val="00E320F1"/>
    <w:rsid w:val="00E325A3"/>
    <w:rsid w:val="00E33C21"/>
    <w:rsid w:val="00E34CD5"/>
    <w:rsid w:val="00E36EB6"/>
    <w:rsid w:val="00E40A45"/>
    <w:rsid w:val="00E42E80"/>
    <w:rsid w:val="00E466D9"/>
    <w:rsid w:val="00E47066"/>
    <w:rsid w:val="00E502E6"/>
    <w:rsid w:val="00E5085F"/>
    <w:rsid w:val="00E525B6"/>
    <w:rsid w:val="00E55173"/>
    <w:rsid w:val="00E560CA"/>
    <w:rsid w:val="00E60FB1"/>
    <w:rsid w:val="00E62CEA"/>
    <w:rsid w:val="00E6447E"/>
    <w:rsid w:val="00E655A5"/>
    <w:rsid w:val="00E70AF2"/>
    <w:rsid w:val="00E71BC8"/>
    <w:rsid w:val="00E71F79"/>
    <w:rsid w:val="00E7260F"/>
    <w:rsid w:val="00E73F5D"/>
    <w:rsid w:val="00E767AC"/>
    <w:rsid w:val="00E77E4E"/>
    <w:rsid w:val="00E83966"/>
    <w:rsid w:val="00E87504"/>
    <w:rsid w:val="00E9441D"/>
    <w:rsid w:val="00E96630"/>
    <w:rsid w:val="00E977BC"/>
    <w:rsid w:val="00EA04C1"/>
    <w:rsid w:val="00EA0FCE"/>
    <w:rsid w:val="00EA1A20"/>
    <w:rsid w:val="00EA2A77"/>
    <w:rsid w:val="00EA3786"/>
    <w:rsid w:val="00EA424E"/>
    <w:rsid w:val="00EA4B54"/>
    <w:rsid w:val="00EB215E"/>
    <w:rsid w:val="00EB3E7C"/>
    <w:rsid w:val="00EB44C5"/>
    <w:rsid w:val="00EC12CB"/>
    <w:rsid w:val="00EC5980"/>
    <w:rsid w:val="00EC5F72"/>
    <w:rsid w:val="00ED09AC"/>
    <w:rsid w:val="00ED46C6"/>
    <w:rsid w:val="00ED5F6E"/>
    <w:rsid w:val="00ED72B5"/>
    <w:rsid w:val="00ED754F"/>
    <w:rsid w:val="00ED7A2A"/>
    <w:rsid w:val="00EE0B1C"/>
    <w:rsid w:val="00EE3082"/>
    <w:rsid w:val="00EE40EF"/>
    <w:rsid w:val="00EE4993"/>
    <w:rsid w:val="00EE5FCD"/>
    <w:rsid w:val="00EF088A"/>
    <w:rsid w:val="00EF1D7F"/>
    <w:rsid w:val="00EF54BA"/>
    <w:rsid w:val="00EF6DC7"/>
    <w:rsid w:val="00F02C84"/>
    <w:rsid w:val="00F06159"/>
    <w:rsid w:val="00F11455"/>
    <w:rsid w:val="00F11A60"/>
    <w:rsid w:val="00F1224B"/>
    <w:rsid w:val="00F15DC0"/>
    <w:rsid w:val="00F20293"/>
    <w:rsid w:val="00F211B8"/>
    <w:rsid w:val="00F222A3"/>
    <w:rsid w:val="00F23709"/>
    <w:rsid w:val="00F24A28"/>
    <w:rsid w:val="00F2770E"/>
    <w:rsid w:val="00F31E5F"/>
    <w:rsid w:val="00F36B7B"/>
    <w:rsid w:val="00F435BD"/>
    <w:rsid w:val="00F452EF"/>
    <w:rsid w:val="00F45825"/>
    <w:rsid w:val="00F469F3"/>
    <w:rsid w:val="00F51A5B"/>
    <w:rsid w:val="00F5203B"/>
    <w:rsid w:val="00F54668"/>
    <w:rsid w:val="00F55ADC"/>
    <w:rsid w:val="00F57182"/>
    <w:rsid w:val="00F6100A"/>
    <w:rsid w:val="00F6777F"/>
    <w:rsid w:val="00F7336D"/>
    <w:rsid w:val="00F77774"/>
    <w:rsid w:val="00F80A68"/>
    <w:rsid w:val="00F81727"/>
    <w:rsid w:val="00F81AC8"/>
    <w:rsid w:val="00F836E5"/>
    <w:rsid w:val="00F86A82"/>
    <w:rsid w:val="00F9262F"/>
    <w:rsid w:val="00F93781"/>
    <w:rsid w:val="00F9407F"/>
    <w:rsid w:val="00F942A8"/>
    <w:rsid w:val="00F947D6"/>
    <w:rsid w:val="00F9569F"/>
    <w:rsid w:val="00F96D3C"/>
    <w:rsid w:val="00FA3475"/>
    <w:rsid w:val="00FA455A"/>
    <w:rsid w:val="00FA47C2"/>
    <w:rsid w:val="00FB0E26"/>
    <w:rsid w:val="00FB1056"/>
    <w:rsid w:val="00FB4C45"/>
    <w:rsid w:val="00FB4FEB"/>
    <w:rsid w:val="00FB613B"/>
    <w:rsid w:val="00FB664B"/>
    <w:rsid w:val="00FB67BC"/>
    <w:rsid w:val="00FC3ADB"/>
    <w:rsid w:val="00FC3AEF"/>
    <w:rsid w:val="00FC4DD3"/>
    <w:rsid w:val="00FC598C"/>
    <w:rsid w:val="00FC67B0"/>
    <w:rsid w:val="00FC68B7"/>
    <w:rsid w:val="00FC71C6"/>
    <w:rsid w:val="00FC772D"/>
    <w:rsid w:val="00FD14FA"/>
    <w:rsid w:val="00FD3F98"/>
    <w:rsid w:val="00FD4DDB"/>
    <w:rsid w:val="00FE106A"/>
    <w:rsid w:val="00FE2B53"/>
    <w:rsid w:val="00FE7450"/>
    <w:rsid w:val="00FF145D"/>
    <w:rsid w:val="00FF51D5"/>
    <w:rsid w:val="00FF5955"/>
    <w:rsid w:val="00FF6053"/>
    <w:rsid w:val="00FF6A8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49053C3"/>
  <w15:docId w15:val="{8C79FAAA-7A20-4D32-920B-CEE9D5361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228BD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"/>
    <w:link w:val="FootnoteText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rsid w:val="002B47CA"/>
    <w:rPr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AF5118"/>
    <w:pPr>
      <w:suppressAutoHyphens w:val="0"/>
      <w:spacing w:line="240" w:lineRule="auto"/>
      <w:ind w:left="720"/>
    </w:pPr>
    <w:rPr>
      <w:rFonts w:ascii="Calibri" w:eastAsia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AF5118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character" w:customStyle="1" w:styleId="WW-">
    <w:name w:val="WW-Основной шрифт абзаца"/>
    <w:rsid w:val="0092494D"/>
  </w:style>
  <w:style w:type="paragraph" w:customStyle="1" w:styleId="para">
    <w:name w:val="para"/>
    <w:basedOn w:val="Normal"/>
    <w:link w:val="paraChar"/>
    <w:rsid w:val="00226409"/>
    <w:pPr>
      <w:spacing w:after="120"/>
      <w:ind w:left="2268" w:right="1134" w:hanging="1134"/>
      <w:jc w:val="both"/>
    </w:pPr>
  </w:style>
  <w:style w:type="character" w:customStyle="1" w:styleId="paraChar">
    <w:name w:val="para Char"/>
    <w:link w:val="para"/>
    <w:rsid w:val="00226409"/>
    <w:rPr>
      <w:lang w:eastAsia="en-US"/>
    </w:rPr>
  </w:style>
  <w:style w:type="character" w:customStyle="1" w:styleId="Heading1Char">
    <w:name w:val="Heading 1 Char"/>
    <w:aliases w:val="Table_G Char"/>
    <w:link w:val="Heading1"/>
    <w:rsid w:val="00226409"/>
  </w:style>
  <w:style w:type="paragraph" w:customStyle="1" w:styleId="Para0">
    <w:name w:val="Para"/>
    <w:basedOn w:val="Normal"/>
    <w:qFormat/>
    <w:rsid w:val="00CB7013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5E817-2078-4422-8B57-39D625415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0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1800941</vt:lpstr>
      <vt:lpstr>United Nations</vt:lpstr>
    </vt:vector>
  </TitlesOfParts>
  <Company>ECE-ISU</Company>
  <LinksUpToDate>false</LinksUpToDate>
  <CharactersWithSpaces>2559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1800941</dc:title>
  <dc:subject>ECE/TRANS/WP.29/GRSG/2018/3</dc:subject>
  <dc:creator>Microsoft Office User</dc:creator>
  <cp:keywords/>
  <dc:description/>
  <cp:lastModifiedBy>Benedicte Boudol</cp:lastModifiedBy>
  <cp:revision>2</cp:revision>
  <cp:lastPrinted>2018-01-22T13:55:00Z</cp:lastPrinted>
  <dcterms:created xsi:type="dcterms:W3CDTF">2018-02-13T14:42:00Z</dcterms:created>
  <dcterms:modified xsi:type="dcterms:W3CDTF">2018-02-13T14:42:00Z</dcterms:modified>
</cp:coreProperties>
</file>