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5529"/>
        <w:gridCol w:w="4110"/>
      </w:tblGrid>
      <w:tr w:rsidR="00AF06B5" w:rsidRPr="006A7A69" w:rsidTr="00755C2A">
        <w:trPr>
          <w:trHeight w:val="855"/>
        </w:trPr>
        <w:tc>
          <w:tcPr>
            <w:tcW w:w="5529" w:type="dxa"/>
            <w:vAlign w:val="center"/>
          </w:tcPr>
          <w:p w:rsidR="00AF06B5" w:rsidRPr="00755C2A" w:rsidRDefault="003F0918" w:rsidP="007314E3">
            <w:pPr>
              <w:rPr>
                <w:caps/>
                <w:lang w:val="en-GB"/>
              </w:rPr>
            </w:pPr>
            <w:bookmarkStart w:id="0" w:name="_GoBack"/>
            <w:bookmarkEnd w:id="0"/>
            <w:r w:rsidRPr="00755C2A">
              <w:rPr>
                <w:lang w:val="en-GB"/>
              </w:rPr>
              <w:t xml:space="preserve">Transmitted by the Russian Federation </w:t>
            </w:r>
          </w:p>
          <w:p w:rsidR="00AF06B5" w:rsidRPr="00755C2A" w:rsidRDefault="00AF06B5" w:rsidP="00C41C1B">
            <w:pPr>
              <w:tabs>
                <w:tab w:val="center" w:pos="4677"/>
                <w:tab w:val="right" w:pos="9355"/>
              </w:tabs>
              <w:ind w:left="-108"/>
              <w:rPr>
                <w:lang w:val="en-GB"/>
              </w:rPr>
            </w:pPr>
          </w:p>
        </w:tc>
        <w:tc>
          <w:tcPr>
            <w:tcW w:w="4110" w:type="dxa"/>
          </w:tcPr>
          <w:p w:rsidR="002D2DBC" w:rsidRPr="00755C2A" w:rsidRDefault="007704B9" w:rsidP="00C41C1B">
            <w:pPr>
              <w:rPr>
                <w:u w:val="single"/>
                <w:lang w:val="en-GB"/>
              </w:rPr>
            </w:pPr>
            <w:r>
              <w:rPr>
                <w:u w:val="single"/>
                <w:lang w:val="en-GB"/>
              </w:rPr>
              <w:t>Informal document</w:t>
            </w:r>
            <w:r w:rsidRPr="007704B9">
              <w:rPr>
                <w:lang w:val="en-GB"/>
              </w:rPr>
              <w:t xml:space="preserve"> </w:t>
            </w:r>
            <w:r w:rsidRPr="007704B9">
              <w:rPr>
                <w:b/>
                <w:lang w:val="en-GB"/>
              </w:rPr>
              <w:t>GRRF-86-22</w:t>
            </w:r>
          </w:p>
          <w:p w:rsidR="00640FA4" w:rsidRPr="00755C2A" w:rsidRDefault="003F0918" w:rsidP="00640FA4">
            <w:pPr>
              <w:rPr>
                <w:lang w:val="en-GB"/>
              </w:rPr>
            </w:pPr>
            <w:r w:rsidRPr="00755C2A">
              <w:rPr>
                <w:lang w:val="en-GB"/>
              </w:rPr>
              <w:t>86</w:t>
            </w:r>
            <w:r w:rsidRPr="00755C2A">
              <w:rPr>
                <w:vertAlign w:val="superscript"/>
                <w:lang w:val="en-GB"/>
              </w:rPr>
              <w:t>th</w:t>
            </w:r>
            <w:r w:rsidRPr="00755C2A">
              <w:rPr>
                <w:lang w:val="en-GB"/>
              </w:rPr>
              <w:t xml:space="preserve"> GRRF session, </w:t>
            </w:r>
            <w:r w:rsidR="00640FA4" w:rsidRPr="006A7A69">
              <w:rPr>
                <w:bCs/>
                <w:lang w:val="en-GB"/>
              </w:rPr>
              <w:t>1</w:t>
            </w:r>
            <w:r w:rsidRPr="00755C2A">
              <w:rPr>
                <w:lang w:val="en-GB"/>
              </w:rPr>
              <w:t>2</w:t>
            </w:r>
            <w:r w:rsidR="00640FA4" w:rsidRPr="006A7A69">
              <w:rPr>
                <w:bCs/>
                <w:lang w:val="en-GB"/>
              </w:rPr>
              <w:t>-</w:t>
            </w:r>
            <w:r w:rsidRPr="00755C2A">
              <w:rPr>
                <w:lang w:val="en-GB"/>
              </w:rPr>
              <w:t>16</w:t>
            </w:r>
            <w:r w:rsidR="00640FA4" w:rsidRPr="006A7A69">
              <w:rPr>
                <w:bCs/>
                <w:lang w:val="en-GB"/>
              </w:rPr>
              <w:t xml:space="preserve"> </w:t>
            </w:r>
            <w:r w:rsidRPr="00755C2A">
              <w:rPr>
                <w:lang w:val="en-GB"/>
              </w:rPr>
              <w:t>February</w:t>
            </w:r>
            <w:r w:rsidR="00640FA4" w:rsidRPr="006A7A69">
              <w:rPr>
                <w:bCs/>
                <w:lang w:val="en-GB"/>
              </w:rPr>
              <w:t xml:space="preserve"> 2018</w:t>
            </w:r>
          </w:p>
          <w:p w:rsidR="00AF06B5" w:rsidRPr="00755C2A" w:rsidRDefault="003F0918" w:rsidP="00B94F2C">
            <w:pPr>
              <w:rPr>
                <w:lang w:val="en-GB"/>
              </w:rPr>
            </w:pPr>
            <w:r w:rsidRPr="00755C2A">
              <w:rPr>
                <w:lang w:val="en-GB"/>
              </w:rPr>
              <w:t>Agenda item 7(a)</w:t>
            </w:r>
          </w:p>
        </w:tc>
      </w:tr>
    </w:tbl>
    <w:p w:rsidR="00CB73FB" w:rsidRPr="006A7A69" w:rsidRDefault="00CB73FB" w:rsidP="00AF06B5">
      <w:pPr>
        <w:pStyle w:val="HChG"/>
        <w:rPr>
          <w:lang w:val="en-GB"/>
        </w:rPr>
      </w:pPr>
    </w:p>
    <w:p w:rsidR="00AF06B5" w:rsidRPr="006A7A69" w:rsidRDefault="00640FA4" w:rsidP="00CB73FB">
      <w:pPr>
        <w:pStyle w:val="HChG"/>
        <w:tabs>
          <w:tab w:val="clear" w:pos="851"/>
        </w:tabs>
        <w:spacing w:line="240" w:lineRule="auto"/>
        <w:ind w:left="567" w:right="708" w:firstLine="0"/>
        <w:rPr>
          <w:lang w:val="en-GB"/>
        </w:rPr>
      </w:pPr>
      <w:r w:rsidRPr="006A7A69">
        <w:rPr>
          <w:lang w:val="en-GB"/>
        </w:rPr>
        <w:t xml:space="preserve">Memorandum explaining introduction of global marks for tyres </w:t>
      </w:r>
      <w:r w:rsidRPr="006A7A69">
        <w:rPr>
          <w:lang w:val="en-GB"/>
        </w:rPr>
        <w:br/>
        <w:t>in UN GTR No. 16</w:t>
      </w:r>
    </w:p>
    <w:p w:rsidR="00CB73FB" w:rsidRPr="006A7A69" w:rsidRDefault="00640FA4" w:rsidP="00CB73FB">
      <w:pPr>
        <w:pStyle w:val="SingleTxtG"/>
        <w:tabs>
          <w:tab w:val="left" w:pos="2268"/>
        </w:tabs>
        <w:rPr>
          <w:lang w:val="en-GB"/>
        </w:rPr>
      </w:pPr>
      <w:r w:rsidRPr="006A7A69">
        <w:rPr>
          <w:u w:val="single"/>
          <w:lang w:val="en-GB"/>
        </w:rPr>
        <w:t>Note:</w:t>
      </w:r>
      <w:r w:rsidRPr="006A7A69">
        <w:rPr>
          <w:lang w:val="en-GB"/>
        </w:rPr>
        <w:t xml:space="preserve"> This document was prepared following the decision of the Informal Working Group</w:t>
      </w:r>
      <w:r w:rsidR="006A400A" w:rsidRPr="006A7A69">
        <w:rPr>
          <w:lang w:val="en-GB"/>
        </w:rPr>
        <w:t xml:space="preserve"> for development of UN GTR No. 16 (IWG TYREGTR) at its 17</w:t>
      </w:r>
      <w:r w:rsidR="006A400A" w:rsidRPr="006A7A69">
        <w:rPr>
          <w:vertAlign w:val="superscript"/>
          <w:lang w:val="en-GB"/>
        </w:rPr>
        <w:t>th</w:t>
      </w:r>
      <w:r w:rsidR="006A400A" w:rsidRPr="006A7A69">
        <w:rPr>
          <w:lang w:val="en-GB"/>
        </w:rPr>
        <w:t xml:space="preserve"> session</w:t>
      </w:r>
      <w:r w:rsidR="00DD707B" w:rsidRPr="006A7A69">
        <w:rPr>
          <w:lang w:val="en-GB"/>
        </w:rPr>
        <w:t>. This document is designed</w:t>
      </w:r>
      <w:r w:rsidR="006A400A" w:rsidRPr="006A7A69">
        <w:rPr>
          <w:lang w:val="en-GB"/>
        </w:rPr>
        <w:t xml:space="preserve"> to introduce a concept of “Global Tyre”</w:t>
      </w:r>
      <w:r w:rsidR="000C1FD2" w:rsidRPr="006A7A69">
        <w:rPr>
          <w:lang w:val="en-GB"/>
        </w:rPr>
        <w:t xml:space="preserve"> and</w:t>
      </w:r>
      <w:r w:rsidR="006A400A" w:rsidRPr="006A7A69">
        <w:rPr>
          <w:lang w:val="en-GB"/>
        </w:rPr>
        <w:t xml:space="preserve"> relevant marking </w:t>
      </w:r>
      <w:r w:rsidR="00DD707B" w:rsidRPr="006A7A69">
        <w:rPr>
          <w:lang w:val="en-GB"/>
        </w:rPr>
        <w:t>to open a dialogue among</w:t>
      </w:r>
      <w:r w:rsidR="006A400A" w:rsidRPr="006A7A69">
        <w:rPr>
          <w:lang w:val="en-GB"/>
        </w:rPr>
        <w:t xml:space="preserve"> the Contracting Parties to the 1998 Agreement</w:t>
      </w:r>
      <w:r w:rsidR="000C1FD2" w:rsidRPr="006A7A69">
        <w:rPr>
          <w:lang w:val="en-GB"/>
        </w:rPr>
        <w:t xml:space="preserve"> </w:t>
      </w:r>
      <w:r w:rsidR="00DD707B" w:rsidRPr="006A7A69">
        <w:rPr>
          <w:lang w:val="en-GB"/>
        </w:rPr>
        <w:t xml:space="preserve">to assess the feasibility </w:t>
      </w:r>
      <w:r w:rsidR="000C1FD2" w:rsidRPr="006A7A69">
        <w:rPr>
          <w:lang w:val="en-GB"/>
        </w:rPr>
        <w:t>of the proposed approach.</w:t>
      </w:r>
    </w:p>
    <w:p w:rsidR="00841D60" w:rsidRPr="006A7A69" w:rsidRDefault="003F0918" w:rsidP="00AF06B5">
      <w:pPr>
        <w:pStyle w:val="HChG"/>
        <w:tabs>
          <w:tab w:val="clear" w:pos="851"/>
        </w:tabs>
        <w:spacing w:line="240" w:lineRule="auto"/>
        <w:ind w:left="567" w:firstLine="0"/>
        <w:rPr>
          <w:lang w:val="en-GB"/>
        </w:rPr>
      </w:pPr>
      <w:r w:rsidRPr="00755C2A">
        <w:rPr>
          <w:lang w:val="en-GB"/>
        </w:rPr>
        <w:t>I.</w:t>
      </w:r>
      <w:r w:rsidR="00AF06B5" w:rsidRPr="006A7A69">
        <w:rPr>
          <w:sz w:val="24"/>
          <w:lang w:val="en-GB"/>
        </w:rPr>
        <w:tab/>
      </w:r>
      <w:r w:rsidR="000C1FD2" w:rsidRPr="006A7A69">
        <w:rPr>
          <w:lang w:val="en-GB"/>
        </w:rPr>
        <w:t>Background</w:t>
      </w:r>
    </w:p>
    <w:p w:rsidR="00FC7876" w:rsidRPr="006A7A69" w:rsidRDefault="00751624" w:rsidP="00FC7876">
      <w:pPr>
        <w:pStyle w:val="SingleTxtG"/>
        <w:rPr>
          <w:lang w:val="en-GB"/>
        </w:rPr>
      </w:pPr>
      <w:r w:rsidRPr="006A7A69">
        <w:rPr>
          <w:lang w:val="en-GB"/>
        </w:rPr>
        <w:t>1.</w:t>
      </w:r>
      <w:r w:rsidRPr="006A7A69">
        <w:rPr>
          <w:lang w:val="en-GB"/>
        </w:rPr>
        <w:tab/>
      </w:r>
      <w:r w:rsidR="00FC7876" w:rsidRPr="006A7A69">
        <w:rPr>
          <w:lang w:val="en-GB"/>
        </w:rPr>
        <w:t xml:space="preserve">In the </w:t>
      </w:r>
      <w:r w:rsidR="000D0435" w:rsidRPr="006A7A69">
        <w:rPr>
          <w:lang w:val="en-GB"/>
        </w:rPr>
        <w:t xml:space="preserve">very beginning of development of </w:t>
      </w:r>
      <w:r w:rsidR="007D3351" w:rsidRPr="006A7A69">
        <w:rPr>
          <w:lang w:val="en-GB"/>
        </w:rPr>
        <w:t>UN GTR on tyres the provisions for so called “tyre global marking” were included in the draft document, but the approach was not realized at that time because of taking care of harmonization of issues of higher priority and no legal provisions in the 1998 Agreement related to mutual recognition of product complian</w:t>
      </w:r>
      <w:r w:rsidR="00A04FF1" w:rsidRPr="006A7A69">
        <w:rPr>
          <w:lang w:val="en-GB"/>
        </w:rPr>
        <w:t>c</w:t>
      </w:r>
      <w:r w:rsidR="007D3351" w:rsidRPr="006A7A69">
        <w:rPr>
          <w:lang w:val="en-GB"/>
        </w:rPr>
        <w:t xml:space="preserve">e assessment results between the </w:t>
      </w:r>
      <w:r w:rsidR="002821A4" w:rsidRPr="006A7A69">
        <w:rPr>
          <w:lang w:val="en-GB"/>
        </w:rPr>
        <w:t>Contracting Parties to that Agreement.</w:t>
      </w:r>
      <w:r w:rsidR="007D3351" w:rsidRPr="006A7A69">
        <w:rPr>
          <w:lang w:val="en-GB"/>
        </w:rPr>
        <w:t xml:space="preserve"> </w:t>
      </w:r>
    </w:p>
    <w:p w:rsidR="00F01E73" w:rsidRPr="006A7A69" w:rsidRDefault="00751624" w:rsidP="00FC7876">
      <w:pPr>
        <w:pStyle w:val="SingleTxtG"/>
        <w:rPr>
          <w:lang w:val="en-GB"/>
        </w:rPr>
      </w:pPr>
      <w:r w:rsidRPr="006A7A69">
        <w:rPr>
          <w:lang w:val="en-GB"/>
        </w:rPr>
        <w:t>2.</w:t>
      </w:r>
      <w:r w:rsidRPr="006A7A69">
        <w:rPr>
          <w:lang w:val="en-GB"/>
        </w:rPr>
        <w:tab/>
      </w:r>
      <w:r w:rsidR="002821A4" w:rsidRPr="006A7A69">
        <w:rPr>
          <w:lang w:val="en-GB"/>
        </w:rPr>
        <w:t>The results of consideration are reflected in paragraph 27 of the Part I of the UN GTR No. 16:</w:t>
      </w:r>
    </w:p>
    <w:p w:rsidR="002821A4" w:rsidRPr="00755C2A" w:rsidRDefault="003F0918" w:rsidP="002821A4">
      <w:pPr>
        <w:pStyle w:val="SingleTxtG"/>
        <w:ind w:left="1701"/>
        <w:rPr>
          <w:lang w:val="en-GB"/>
        </w:rPr>
      </w:pPr>
      <w:r w:rsidRPr="00755C2A">
        <w:rPr>
          <w:lang w:val="en-GB"/>
        </w:rPr>
        <w:t>“27.</w:t>
      </w:r>
      <w:r w:rsidRPr="00755C2A">
        <w:rPr>
          <w:lang w:val="en-GB"/>
        </w:rPr>
        <w:tab/>
        <w:t xml:space="preserve">Consideration was given to harmonize the approval markings (both type approval and self-certification markings) and discussions on this issue were elevated to WP.29 and AC.3 meetings. It was concluded as not possible currently to adopt a harmonized approval marking since the compliance assessment procedures are not yet harmonized worldwide. So this </w:t>
      </w:r>
      <w:proofErr w:type="spellStart"/>
      <w:r w:rsidRPr="00755C2A">
        <w:rPr>
          <w:lang w:val="en-GB"/>
        </w:rPr>
        <w:t>gtr</w:t>
      </w:r>
      <w:proofErr w:type="spellEnd"/>
      <w:r w:rsidRPr="00755C2A">
        <w:rPr>
          <w:lang w:val="en-GB"/>
        </w:rPr>
        <w:t xml:space="preserve"> contains no administrative provisions on approval markings. In the absence of a harmonized marking, the Contracting Parties retain the option to assign markings to tyres, especially markings for a "global tyre", and these can be introduced within their national / regional compliance assessment systems.”</w:t>
      </w:r>
    </w:p>
    <w:p w:rsidR="0095242F" w:rsidRPr="006A7A69" w:rsidRDefault="00751624" w:rsidP="00FC7876">
      <w:pPr>
        <w:pStyle w:val="SingleTxtG"/>
        <w:rPr>
          <w:lang w:val="en-GB"/>
        </w:rPr>
      </w:pPr>
      <w:r w:rsidRPr="006A7A69">
        <w:rPr>
          <w:lang w:val="en-GB"/>
        </w:rPr>
        <w:t>3.</w:t>
      </w:r>
      <w:r w:rsidRPr="006A7A69">
        <w:rPr>
          <w:lang w:val="en-GB"/>
        </w:rPr>
        <w:tab/>
      </w:r>
      <w:r w:rsidR="00BB255B" w:rsidRPr="006A7A69">
        <w:rPr>
          <w:lang w:val="en-GB"/>
        </w:rPr>
        <w:t>One of the purposes of the 1998 Agreement is “</w:t>
      </w:r>
      <w:r w:rsidR="003F0918" w:rsidRPr="00755C2A">
        <w:rPr>
          <w:lang w:val="en-GB"/>
        </w:rPr>
        <w:t xml:space="preserve">to reduce technical barriers to international trade through harmonizing existing technical regulations of Contracting </w:t>
      </w:r>
      <w:proofErr w:type="gramStart"/>
      <w:r w:rsidR="003F0918" w:rsidRPr="00755C2A">
        <w:rPr>
          <w:lang w:val="en-GB"/>
        </w:rPr>
        <w:t>Parties,</w:t>
      </w:r>
      <w:proofErr w:type="gramEnd"/>
      <w:r w:rsidR="003F0918" w:rsidRPr="00755C2A">
        <w:rPr>
          <w:lang w:val="en-GB"/>
        </w:rPr>
        <w:t xml:space="preserve"> and UN/ECE Regulations...</w:t>
      </w:r>
      <w:r w:rsidR="00BB255B" w:rsidRPr="006A7A69">
        <w:rPr>
          <w:lang w:val="en-GB"/>
        </w:rPr>
        <w:t xml:space="preserve">” </w:t>
      </w:r>
      <w:proofErr w:type="gramStart"/>
      <w:r w:rsidR="00BB255B" w:rsidRPr="006A7A69">
        <w:rPr>
          <w:lang w:val="en-GB"/>
        </w:rPr>
        <w:t>(Article 1, paragraph 1.1.6</w:t>
      </w:r>
      <w:r w:rsidR="00335D8A" w:rsidRPr="006A7A69">
        <w:rPr>
          <w:lang w:val="en-GB"/>
        </w:rPr>
        <w:t>.</w:t>
      </w:r>
      <w:r w:rsidR="00BB255B" w:rsidRPr="006A7A69">
        <w:rPr>
          <w:lang w:val="en-GB"/>
        </w:rPr>
        <w:t>).</w:t>
      </w:r>
      <w:proofErr w:type="gramEnd"/>
      <w:r w:rsidR="00BB255B" w:rsidRPr="006A7A69">
        <w:rPr>
          <w:lang w:val="en-GB"/>
        </w:rPr>
        <w:t xml:space="preserve"> “</w:t>
      </w:r>
      <w:r w:rsidR="003F0918" w:rsidRPr="00755C2A">
        <w:rPr>
          <w:lang w:val="en-GB"/>
        </w:rPr>
        <w:t>A Contracting Party that votes in favour of establishing a global technical regulation under Article 6 of this Agreement shall be obligated to submit the technical Regulation to the process used by that Contracting Party to adopt such a technical Regulation into its own laws or regulations and shall seek to make a final decision expeditiously.</w:t>
      </w:r>
      <w:r w:rsidR="00BB255B" w:rsidRPr="006A7A69">
        <w:rPr>
          <w:lang w:val="en-GB"/>
        </w:rPr>
        <w:t xml:space="preserve"> ” </w:t>
      </w:r>
      <w:proofErr w:type="gramStart"/>
      <w:r w:rsidR="00BB255B" w:rsidRPr="006A7A69">
        <w:rPr>
          <w:lang w:val="en-GB"/>
        </w:rPr>
        <w:t>(Article 7, paragraph 7.1</w:t>
      </w:r>
      <w:r w:rsidR="00335D8A" w:rsidRPr="006A7A69">
        <w:rPr>
          <w:lang w:val="en-GB"/>
        </w:rPr>
        <w:t>.</w:t>
      </w:r>
      <w:r w:rsidR="00BB255B" w:rsidRPr="006A7A69">
        <w:rPr>
          <w:lang w:val="en-GB"/>
        </w:rPr>
        <w:t>)</w:t>
      </w:r>
      <w:r w:rsidR="00335D8A" w:rsidRPr="006A7A69">
        <w:rPr>
          <w:lang w:val="en-GB"/>
        </w:rPr>
        <w:t>.</w:t>
      </w:r>
      <w:proofErr w:type="gramEnd"/>
      <w:r w:rsidR="00335D8A" w:rsidRPr="006A7A69">
        <w:rPr>
          <w:lang w:val="en-GB"/>
        </w:rPr>
        <w:t xml:space="preserve"> According to those provisions of the 1998 Agreement, if global marking were introduced in UN GTR, it has to be transposed by the Contracting Parties to their national legislation.</w:t>
      </w:r>
    </w:p>
    <w:p w:rsidR="00384741" w:rsidRPr="006A7A69" w:rsidRDefault="00751624" w:rsidP="00FC7876">
      <w:pPr>
        <w:pStyle w:val="SingleTxtG"/>
        <w:rPr>
          <w:lang w:val="en-GB"/>
        </w:rPr>
      </w:pPr>
      <w:r w:rsidRPr="006A7A69">
        <w:rPr>
          <w:lang w:val="en-GB"/>
        </w:rPr>
        <w:t>4.</w:t>
      </w:r>
      <w:r w:rsidRPr="006A7A69">
        <w:rPr>
          <w:lang w:val="en-GB"/>
        </w:rPr>
        <w:tab/>
      </w:r>
      <w:r w:rsidR="00335D8A" w:rsidRPr="006A7A69">
        <w:rPr>
          <w:lang w:val="en-GB"/>
        </w:rPr>
        <w:t>The approach for introduction of tyre global marks was foreseen in paragraph 28 of the Part I of the UN GTR No. 16:</w:t>
      </w:r>
    </w:p>
    <w:p w:rsidR="00335D8A" w:rsidRPr="00755C2A" w:rsidRDefault="003F0918" w:rsidP="00335D8A">
      <w:pPr>
        <w:pStyle w:val="SingleTxtG"/>
        <w:ind w:left="1701"/>
        <w:rPr>
          <w:lang w:val="en-GB"/>
        </w:rPr>
      </w:pPr>
      <w:r w:rsidRPr="00755C2A">
        <w:rPr>
          <w:lang w:val="en-GB"/>
        </w:rPr>
        <w:t>“28.</w:t>
      </w:r>
      <w:r w:rsidRPr="00755C2A">
        <w:rPr>
          <w:lang w:val="en-GB"/>
        </w:rPr>
        <w:tab/>
        <w:t xml:space="preserve">It is anticipated that the Contracting Parties will incorporate the provisions of the </w:t>
      </w:r>
      <w:proofErr w:type="spellStart"/>
      <w:r w:rsidRPr="00755C2A">
        <w:rPr>
          <w:lang w:val="en-GB"/>
        </w:rPr>
        <w:t>gtr</w:t>
      </w:r>
      <w:proofErr w:type="spellEnd"/>
      <w:r w:rsidRPr="00755C2A">
        <w:rPr>
          <w:lang w:val="en-GB"/>
        </w:rPr>
        <w:t xml:space="preserve"> into regulations within their legal framework. This may include applying suitable tyre marking and so help provide for market recognition between the </w:t>
      </w:r>
      <w:r w:rsidRPr="00755C2A">
        <w:rPr>
          <w:lang w:val="en-GB"/>
        </w:rPr>
        <w:lastRenderedPageBreak/>
        <w:t xml:space="preserve">Contracting Parties of tyres complying with the provisions of this </w:t>
      </w:r>
      <w:proofErr w:type="spellStart"/>
      <w:r w:rsidRPr="00755C2A">
        <w:rPr>
          <w:lang w:val="en-GB"/>
        </w:rPr>
        <w:t>gtr.</w:t>
      </w:r>
      <w:proofErr w:type="spellEnd"/>
      <w:r w:rsidRPr="00755C2A">
        <w:rPr>
          <w:lang w:val="en-GB"/>
        </w:rPr>
        <w:t xml:space="preserve"> Such an approach might encourage wider recognition of harmonized markings and thus further the move towards a single global marking where tyres meet the full requirements established by this </w:t>
      </w:r>
      <w:proofErr w:type="spellStart"/>
      <w:r w:rsidRPr="00755C2A">
        <w:rPr>
          <w:lang w:val="en-GB"/>
        </w:rPr>
        <w:t>gtr.</w:t>
      </w:r>
      <w:proofErr w:type="spellEnd"/>
      <w:r w:rsidRPr="00755C2A">
        <w:rPr>
          <w:lang w:val="en-GB"/>
        </w:rPr>
        <w:t>”</w:t>
      </w:r>
    </w:p>
    <w:p w:rsidR="009D44E2" w:rsidRPr="006A7A69" w:rsidRDefault="003F0918" w:rsidP="009D44E2">
      <w:pPr>
        <w:pStyle w:val="HChG"/>
        <w:tabs>
          <w:tab w:val="clear" w:pos="851"/>
        </w:tabs>
        <w:spacing w:line="240" w:lineRule="auto"/>
        <w:ind w:left="567" w:firstLine="0"/>
        <w:rPr>
          <w:lang w:val="en-GB"/>
        </w:rPr>
      </w:pPr>
      <w:r w:rsidRPr="00755C2A">
        <w:rPr>
          <w:lang w:val="en-GB"/>
        </w:rPr>
        <w:t>II.</w:t>
      </w:r>
      <w:r w:rsidR="009D44E2" w:rsidRPr="006A7A69">
        <w:rPr>
          <w:sz w:val="24"/>
          <w:lang w:val="en-GB"/>
        </w:rPr>
        <w:tab/>
      </w:r>
      <w:r w:rsidR="005C26BC" w:rsidRPr="006A7A69">
        <w:rPr>
          <w:lang w:val="en-GB"/>
        </w:rPr>
        <w:t xml:space="preserve">What </w:t>
      </w:r>
      <w:proofErr w:type="gramStart"/>
      <w:r w:rsidR="005C26BC" w:rsidRPr="006A7A69">
        <w:rPr>
          <w:lang w:val="en-GB"/>
        </w:rPr>
        <w:t>is</w:t>
      </w:r>
      <w:proofErr w:type="gramEnd"/>
      <w:r w:rsidR="005C26BC" w:rsidRPr="006A7A69">
        <w:rPr>
          <w:lang w:val="en-GB"/>
        </w:rPr>
        <w:t xml:space="preserve"> </w:t>
      </w:r>
      <w:r w:rsidR="00A2672F" w:rsidRPr="006A7A69">
        <w:rPr>
          <w:lang w:val="en-GB"/>
        </w:rPr>
        <w:t xml:space="preserve">a </w:t>
      </w:r>
      <w:r w:rsidR="00372C94" w:rsidRPr="006A7A69">
        <w:rPr>
          <w:lang w:val="en-GB"/>
        </w:rPr>
        <w:t>“global tyre</w:t>
      </w:r>
      <w:r w:rsidR="008E7FF0" w:rsidRPr="006A7A69">
        <w:rPr>
          <w:lang w:val="en-GB"/>
        </w:rPr>
        <w:t xml:space="preserve">” and a </w:t>
      </w:r>
      <w:r w:rsidR="005C26BC" w:rsidRPr="006A7A69">
        <w:rPr>
          <w:lang w:val="en-GB"/>
        </w:rPr>
        <w:t>tyre global mark?</w:t>
      </w:r>
    </w:p>
    <w:p w:rsidR="004F6BD3" w:rsidRPr="006A7A69" w:rsidRDefault="00751624" w:rsidP="00FC7876">
      <w:pPr>
        <w:pStyle w:val="SingleTxtG"/>
        <w:rPr>
          <w:snapToGrid w:val="0"/>
          <w:lang w:val="en-GB" w:eastAsia="ja-JP"/>
        </w:rPr>
      </w:pPr>
      <w:r w:rsidRPr="006A7A69">
        <w:rPr>
          <w:snapToGrid w:val="0"/>
          <w:lang w:val="en-GB" w:eastAsia="ja-JP"/>
        </w:rPr>
        <w:t>5.</w:t>
      </w:r>
      <w:r w:rsidRPr="006A7A69">
        <w:rPr>
          <w:snapToGrid w:val="0"/>
          <w:lang w:val="en-GB" w:eastAsia="ja-JP"/>
        </w:rPr>
        <w:tab/>
      </w:r>
      <w:r w:rsidR="00263785" w:rsidRPr="006A7A69">
        <w:rPr>
          <w:snapToGrid w:val="0"/>
          <w:lang w:val="en-GB" w:eastAsia="ja-JP"/>
        </w:rPr>
        <w:t xml:space="preserve">It is understood that </w:t>
      </w:r>
      <w:r w:rsidR="00A2672F" w:rsidRPr="006A7A69">
        <w:rPr>
          <w:snapToGrid w:val="0"/>
          <w:lang w:val="en-GB" w:eastAsia="ja-JP"/>
        </w:rPr>
        <w:t>a “</w:t>
      </w:r>
      <w:r w:rsidR="0070788D" w:rsidRPr="006A7A69">
        <w:rPr>
          <w:snapToGrid w:val="0"/>
          <w:lang w:val="en-GB" w:eastAsia="ja-JP"/>
        </w:rPr>
        <w:t xml:space="preserve">global </w:t>
      </w:r>
      <w:r w:rsidR="00A2672F" w:rsidRPr="006A7A69">
        <w:rPr>
          <w:snapToGrid w:val="0"/>
          <w:lang w:val="en-GB" w:eastAsia="ja-JP"/>
        </w:rPr>
        <w:t xml:space="preserve">tyre” </w:t>
      </w:r>
      <w:r w:rsidR="0070788D" w:rsidRPr="006A7A69">
        <w:rPr>
          <w:snapToGrid w:val="0"/>
          <w:lang w:val="en-GB" w:eastAsia="ja-JP"/>
        </w:rPr>
        <w:t xml:space="preserve">is defined in the tyre GTR context as a tyre that </w:t>
      </w:r>
      <w:r w:rsidR="00A2672F" w:rsidRPr="006A7A69">
        <w:rPr>
          <w:snapToGrid w:val="0"/>
          <w:lang w:val="en-GB" w:eastAsia="ja-JP"/>
        </w:rPr>
        <w:t xml:space="preserve">meets all the </w:t>
      </w:r>
      <w:r w:rsidR="00651B11" w:rsidRPr="006A7A69">
        <w:rPr>
          <w:snapToGrid w:val="0"/>
          <w:lang w:val="en-GB" w:eastAsia="ja-JP"/>
        </w:rPr>
        <w:t xml:space="preserve">applicable </w:t>
      </w:r>
      <w:r w:rsidR="00A2672F" w:rsidRPr="006A7A69">
        <w:rPr>
          <w:snapToGrid w:val="0"/>
          <w:lang w:val="en-GB" w:eastAsia="ja-JP"/>
        </w:rPr>
        <w:t>requirements of the highest level of stringency (in the case of options) stipulated by the UN GTR No. 16. In the case of alternative requirements like endurance test for LT/C tyres, a tyre shall meet all of them.</w:t>
      </w:r>
      <w:r w:rsidR="002E32C1" w:rsidRPr="006A7A69">
        <w:rPr>
          <w:snapToGrid w:val="0"/>
          <w:lang w:val="en-GB" w:eastAsia="ja-JP"/>
        </w:rPr>
        <w:t xml:space="preserve"> </w:t>
      </w:r>
    </w:p>
    <w:p w:rsidR="002B3A12" w:rsidRPr="006A7A69" w:rsidRDefault="00751624" w:rsidP="002B3A12">
      <w:pPr>
        <w:pStyle w:val="SingleTxtG"/>
        <w:rPr>
          <w:snapToGrid w:val="0"/>
          <w:lang w:val="en-GB" w:eastAsia="ja-JP"/>
        </w:rPr>
      </w:pPr>
      <w:r w:rsidRPr="006A7A69">
        <w:rPr>
          <w:snapToGrid w:val="0"/>
          <w:lang w:val="en-GB" w:eastAsia="ja-JP"/>
        </w:rPr>
        <w:t>6.</w:t>
      </w:r>
      <w:r w:rsidRPr="006A7A69">
        <w:rPr>
          <w:snapToGrid w:val="0"/>
          <w:lang w:val="en-GB" w:eastAsia="ja-JP"/>
        </w:rPr>
        <w:tab/>
      </w:r>
      <w:r w:rsidR="00A2672F" w:rsidRPr="006A7A69">
        <w:rPr>
          <w:snapToGrid w:val="0"/>
          <w:lang w:val="en-GB" w:eastAsia="ja-JP"/>
        </w:rPr>
        <w:t>A “global tyre” may bear a specific “global mark”.</w:t>
      </w:r>
      <w:r w:rsidR="002B3A12" w:rsidRPr="006A7A69">
        <w:rPr>
          <w:snapToGrid w:val="0"/>
          <w:lang w:val="en-GB" w:eastAsia="ja-JP"/>
        </w:rPr>
        <w:t xml:space="preserve"> </w:t>
      </w:r>
      <w:r w:rsidR="0003461E" w:rsidRPr="006A7A69">
        <w:rPr>
          <w:snapToGrid w:val="0"/>
          <w:lang w:val="en-GB" w:eastAsia="ja-JP"/>
        </w:rPr>
        <w:t>In the context o</w:t>
      </w:r>
      <w:r w:rsidR="0070788D" w:rsidRPr="006A7A69">
        <w:rPr>
          <w:snapToGrid w:val="0"/>
          <w:lang w:val="en-GB" w:eastAsia="ja-JP"/>
        </w:rPr>
        <w:t>f</w:t>
      </w:r>
      <w:r w:rsidR="0003461E" w:rsidRPr="006A7A69">
        <w:rPr>
          <w:snapToGrid w:val="0"/>
          <w:lang w:val="en-GB" w:eastAsia="ja-JP"/>
        </w:rPr>
        <w:t xml:space="preserve"> UN GTR No. 16 a “global mark” just </w:t>
      </w:r>
      <w:r w:rsidR="0070788D" w:rsidRPr="006A7A69">
        <w:rPr>
          <w:snapToGrid w:val="0"/>
          <w:lang w:val="en-GB" w:eastAsia="ja-JP"/>
        </w:rPr>
        <w:t xml:space="preserve">indicates </w:t>
      </w:r>
      <w:r w:rsidR="0003461E" w:rsidRPr="006A7A69">
        <w:rPr>
          <w:snapToGrid w:val="0"/>
          <w:lang w:val="en-GB" w:eastAsia="ja-JP"/>
        </w:rPr>
        <w:t>compliance with the requirements regardless to the means of compliance assessment, which are still subject of national/regional legislation.</w:t>
      </w:r>
      <w:r w:rsidR="003C6D06" w:rsidRPr="006A7A69">
        <w:rPr>
          <w:snapToGrid w:val="0"/>
          <w:lang w:val="en-GB" w:eastAsia="ja-JP"/>
        </w:rPr>
        <w:t xml:space="preserve"> </w:t>
      </w:r>
      <w:r w:rsidR="00775503">
        <w:rPr>
          <w:snapToGrid w:val="0"/>
          <w:lang w:val="en-GB" w:eastAsia="ja-JP"/>
        </w:rPr>
        <w:t>Whether to apply the</w:t>
      </w:r>
      <w:r w:rsidR="003C6D06" w:rsidRPr="006A7A69">
        <w:rPr>
          <w:snapToGrid w:val="0"/>
          <w:lang w:val="en-GB" w:eastAsia="ja-JP"/>
        </w:rPr>
        <w:t xml:space="preserve"> “global mark” should be </w:t>
      </w:r>
      <w:r w:rsidR="0070788D" w:rsidRPr="006A7A69">
        <w:rPr>
          <w:snapToGrid w:val="0"/>
          <w:lang w:val="en-GB" w:eastAsia="ja-JP"/>
        </w:rPr>
        <w:t xml:space="preserve">the choice and the </w:t>
      </w:r>
      <w:r w:rsidR="003C6D06" w:rsidRPr="006A7A69">
        <w:rPr>
          <w:snapToGrid w:val="0"/>
          <w:lang w:val="en-GB" w:eastAsia="ja-JP"/>
        </w:rPr>
        <w:t xml:space="preserve">responsibility of </w:t>
      </w:r>
      <w:r w:rsidR="006A7A69" w:rsidRPr="006A7A69">
        <w:rPr>
          <w:snapToGrid w:val="0"/>
          <w:lang w:val="en-GB" w:eastAsia="ja-JP"/>
        </w:rPr>
        <w:t>the tyre</w:t>
      </w:r>
      <w:r w:rsidR="003C6D06" w:rsidRPr="006A7A69">
        <w:rPr>
          <w:snapToGrid w:val="0"/>
          <w:lang w:val="en-GB" w:eastAsia="ja-JP"/>
        </w:rPr>
        <w:t xml:space="preserve"> manufacturer.</w:t>
      </w:r>
    </w:p>
    <w:p w:rsidR="00966014" w:rsidRPr="00755C2A" w:rsidRDefault="00B33A4A" w:rsidP="00966014">
      <w:pPr>
        <w:pStyle w:val="SingleTxtG"/>
        <w:rPr>
          <w:lang w:val="en-GB"/>
        </w:rPr>
      </w:pPr>
      <w:r w:rsidRPr="006A7A69">
        <w:rPr>
          <w:lang w:val="en-GB"/>
        </w:rPr>
        <w:t>7</w:t>
      </w:r>
      <w:r w:rsidR="00966014" w:rsidRPr="006A7A69">
        <w:rPr>
          <w:lang w:val="en-GB"/>
        </w:rPr>
        <w:t>.</w:t>
      </w:r>
      <w:r w:rsidR="00966014" w:rsidRPr="006A7A69">
        <w:rPr>
          <w:lang w:val="en-GB"/>
        </w:rPr>
        <w:tab/>
      </w:r>
      <w:r w:rsidR="003F0918" w:rsidRPr="00755C2A">
        <w:rPr>
          <w:lang w:val="en-GB"/>
        </w:rPr>
        <w:t xml:space="preserve">If a </w:t>
      </w:r>
      <w:r w:rsidR="00966014" w:rsidRPr="006A7A69">
        <w:rPr>
          <w:snapToGrid w:val="0"/>
          <w:lang w:val="en-GB" w:eastAsia="ja-JP"/>
        </w:rPr>
        <w:t>“global mark” were introduced in UN GTR No.16</w:t>
      </w:r>
      <w:r w:rsidR="006A7A69" w:rsidRPr="006A7A69">
        <w:rPr>
          <w:snapToGrid w:val="0"/>
          <w:lang w:val="en-GB" w:eastAsia="ja-JP"/>
        </w:rPr>
        <w:t>, it</w:t>
      </w:r>
      <w:r w:rsidR="00966014" w:rsidRPr="006A7A69">
        <w:rPr>
          <w:snapToGrid w:val="0"/>
          <w:lang w:val="en-GB" w:eastAsia="ja-JP"/>
        </w:rPr>
        <w:t xml:space="preserve"> </w:t>
      </w:r>
      <w:r w:rsidR="00AF35A1" w:rsidRPr="006A7A69">
        <w:rPr>
          <w:snapToGrid w:val="0"/>
          <w:lang w:val="en-GB" w:eastAsia="ja-JP"/>
        </w:rPr>
        <w:t xml:space="preserve">would </w:t>
      </w:r>
      <w:r w:rsidR="00966014" w:rsidRPr="006A7A69">
        <w:rPr>
          <w:snapToGrid w:val="0"/>
          <w:lang w:val="en-GB" w:eastAsia="ja-JP"/>
        </w:rPr>
        <w:t xml:space="preserve">mean that </w:t>
      </w:r>
      <w:r w:rsidR="0070788D" w:rsidRPr="006A7A69">
        <w:rPr>
          <w:snapToGrid w:val="0"/>
          <w:lang w:val="en-GB" w:eastAsia="ja-JP"/>
        </w:rPr>
        <w:t xml:space="preserve">the </w:t>
      </w:r>
      <w:r w:rsidR="006A7A69" w:rsidRPr="006A7A69">
        <w:rPr>
          <w:snapToGrid w:val="0"/>
          <w:lang w:val="en-GB" w:eastAsia="ja-JP"/>
        </w:rPr>
        <w:t>subject tyre</w:t>
      </w:r>
      <w:r w:rsidR="00966014" w:rsidRPr="006A7A69">
        <w:rPr>
          <w:snapToGrid w:val="0"/>
          <w:lang w:val="en-GB" w:eastAsia="ja-JP"/>
        </w:rPr>
        <w:t xml:space="preserve"> meets all the provisions of UN GTR No. 16 and, in case of options, the most severe of those. </w:t>
      </w:r>
    </w:p>
    <w:p w:rsidR="009B629D" w:rsidRPr="006A7A69" w:rsidRDefault="009B629D" w:rsidP="007E44C2">
      <w:pPr>
        <w:pStyle w:val="HChG"/>
        <w:tabs>
          <w:tab w:val="clear" w:pos="851"/>
        </w:tabs>
        <w:spacing w:line="240" w:lineRule="auto"/>
        <w:ind w:left="567" w:firstLine="0"/>
        <w:rPr>
          <w:lang w:val="en-GB"/>
        </w:rPr>
      </w:pPr>
      <w:r w:rsidRPr="006A7A69">
        <w:rPr>
          <w:lang w:val="en-GB"/>
        </w:rPr>
        <w:t>III.</w:t>
      </w:r>
      <w:r w:rsidRPr="006A7A69">
        <w:rPr>
          <w:lang w:val="en-GB"/>
        </w:rPr>
        <w:tab/>
      </w:r>
      <w:r w:rsidR="00CD1FA4" w:rsidRPr="006A7A69">
        <w:rPr>
          <w:lang w:val="en-GB"/>
        </w:rPr>
        <w:t>Assessment of feasibility and a</w:t>
      </w:r>
      <w:r w:rsidRPr="006A7A69">
        <w:rPr>
          <w:lang w:val="en-GB"/>
        </w:rPr>
        <w:t xml:space="preserve">nticipated benefits </w:t>
      </w:r>
    </w:p>
    <w:p w:rsidR="002B3A12" w:rsidRPr="006A7A69" w:rsidRDefault="00B33A4A" w:rsidP="002B3A12">
      <w:pPr>
        <w:pStyle w:val="SingleTxtG"/>
        <w:rPr>
          <w:snapToGrid w:val="0"/>
          <w:lang w:val="en-GB" w:eastAsia="ja-JP"/>
        </w:rPr>
      </w:pPr>
      <w:r w:rsidRPr="006A7A69">
        <w:rPr>
          <w:snapToGrid w:val="0"/>
          <w:lang w:val="en-GB" w:eastAsia="ja-JP"/>
        </w:rPr>
        <w:t>8</w:t>
      </w:r>
      <w:r w:rsidR="00AD664B" w:rsidRPr="006A7A69">
        <w:rPr>
          <w:snapToGrid w:val="0"/>
          <w:lang w:val="en-GB" w:eastAsia="ja-JP"/>
        </w:rPr>
        <w:t>.</w:t>
      </w:r>
      <w:r w:rsidR="00AD664B" w:rsidRPr="006A7A69">
        <w:rPr>
          <w:snapToGrid w:val="0"/>
          <w:lang w:val="en-GB" w:eastAsia="ja-JP"/>
        </w:rPr>
        <w:tab/>
      </w:r>
      <w:r w:rsidR="009B629D" w:rsidRPr="006A7A69">
        <w:rPr>
          <w:snapToGrid w:val="0"/>
          <w:lang w:val="en-GB" w:eastAsia="ja-JP"/>
        </w:rPr>
        <w:t>Sin</w:t>
      </w:r>
      <w:r w:rsidR="0070788D" w:rsidRPr="006A7A69">
        <w:rPr>
          <w:snapToGrid w:val="0"/>
          <w:lang w:val="en-GB" w:eastAsia="ja-JP"/>
        </w:rPr>
        <w:t>c</w:t>
      </w:r>
      <w:r w:rsidR="009B629D" w:rsidRPr="006A7A69">
        <w:rPr>
          <w:snapToGrid w:val="0"/>
          <w:lang w:val="en-GB" w:eastAsia="ja-JP"/>
        </w:rPr>
        <w:t xml:space="preserve">e the requirements of UN GTR No. 16 are basically harmonized </w:t>
      </w:r>
      <w:r w:rsidR="00AF35A1" w:rsidRPr="006A7A69">
        <w:rPr>
          <w:snapToGrid w:val="0"/>
          <w:lang w:val="en-GB" w:eastAsia="ja-JP"/>
        </w:rPr>
        <w:t xml:space="preserve">among </w:t>
      </w:r>
      <w:r w:rsidR="009B629D" w:rsidRPr="006A7A69">
        <w:rPr>
          <w:snapToGrid w:val="0"/>
          <w:lang w:val="en-GB" w:eastAsia="ja-JP"/>
        </w:rPr>
        <w:t>the most advanced provisions of UN Regulations Nos. 30, 54 and 117 and US FMVSS 139, it can be assumed that a “global tyre” (</w:t>
      </w:r>
      <w:proofErr w:type="spellStart"/>
      <w:r w:rsidR="009B629D" w:rsidRPr="006A7A69">
        <w:rPr>
          <w:snapToGrid w:val="0"/>
          <w:lang w:val="en-GB" w:eastAsia="ja-JP"/>
        </w:rPr>
        <w:t>i</w:t>
      </w:r>
      <w:proofErr w:type="spellEnd"/>
      <w:r w:rsidR="009B629D" w:rsidRPr="006A7A69">
        <w:rPr>
          <w:snapToGrid w:val="0"/>
          <w:lang w:val="en-GB" w:eastAsia="ja-JP"/>
        </w:rPr>
        <w:t>) would meet the requirements of the countries and regions applying the mentioned UN Regulations and FMVSS or requirements similar to those and (ii) would be also acceptable in all markets in the rest of the world, where the requirements of lower stringency are applied.</w:t>
      </w:r>
    </w:p>
    <w:p w:rsidR="002B3A12" w:rsidRPr="006A7A69" w:rsidRDefault="00B33A4A" w:rsidP="002B3A12">
      <w:pPr>
        <w:pStyle w:val="SingleTxtG"/>
        <w:rPr>
          <w:snapToGrid w:val="0"/>
          <w:lang w:val="en-GB" w:eastAsia="ja-JP"/>
        </w:rPr>
      </w:pPr>
      <w:r w:rsidRPr="006A7A69">
        <w:rPr>
          <w:snapToGrid w:val="0"/>
          <w:lang w:val="en-GB" w:eastAsia="ja-JP"/>
        </w:rPr>
        <w:t>9</w:t>
      </w:r>
      <w:r w:rsidR="00AD664B" w:rsidRPr="006A7A69">
        <w:rPr>
          <w:snapToGrid w:val="0"/>
          <w:lang w:val="en-GB" w:eastAsia="ja-JP"/>
        </w:rPr>
        <w:t>.</w:t>
      </w:r>
      <w:r w:rsidR="00AD664B" w:rsidRPr="006A7A69">
        <w:rPr>
          <w:snapToGrid w:val="0"/>
          <w:lang w:val="en-GB" w:eastAsia="ja-JP"/>
        </w:rPr>
        <w:tab/>
      </w:r>
      <w:r w:rsidR="003C6D06" w:rsidRPr="006A7A69">
        <w:rPr>
          <w:snapToGrid w:val="0"/>
          <w:lang w:val="en-GB" w:eastAsia="ja-JP"/>
        </w:rPr>
        <w:t xml:space="preserve">The potential candidates for “global tyres” are </w:t>
      </w:r>
      <w:r w:rsidR="00CA4D38" w:rsidRPr="006A7A69">
        <w:rPr>
          <w:snapToGrid w:val="0"/>
          <w:lang w:val="en-GB" w:eastAsia="ja-JP"/>
        </w:rPr>
        <w:t>tyres</w:t>
      </w:r>
      <w:r w:rsidR="003C6D06" w:rsidRPr="006A7A69">
        <w:rPr>
          <w:snapToGrid w:val="0"/>
          <w:lang w:val="en-GB" w:eastAsia="ja-JP"/>
        </w:rPr>
        <w:t xml:space="preserve"> bearing</w:t>
      </w:r>
      <w:r w:rsidR="00CD1FA4" w:rsidRPr="006A7A69">
        <w:rPr>
          <w:snapToGrid w:val="0"/>
          <w:lang w:val="en-GB" w:eastAsia="ja-JP"/>
        </w:rPr>
        <w:t xml:space="preserve"> the both markings “E” and “DOT”</w:t>
      </w:r>
      <w:r w:rsidR="003F0918" w:rsidRPr="00755C2A">
        <w:rPr>
          <w:lang w:val="en-GB"/>
        </w:rPr>
        <w:t xml:space="preserve"> </w:t>
      </w:r>
      <w:r w:rsidR="003C6D06" w:rsidRPr="006A7A69">
        <w:rPr>
          <w:snapToGrid w:val="0"/>
          <w:lang w:val="en-GB" w:eastAsia="ja-JP"/>
        </w:rPr>
        <w:t xml:space="preserve">of compliance with the provisions of the said UN Regulations and </w:t>
      </w:r>
      <w:r w:rsidR="00CA4D38" w:rsidRPr="006A7A69">
        <w:rPr>
          <w:snapToGrid w:val="0"/>
          <w:lang w:val="en-GB" w:eastAsia="ja-JP"/>
        </w:rPr>
        <w:t>FMVSS respectively.</w:t>
      </w:r>
      <w:r w:rsidR="003C6D06" w:rsidRPr="006A7A69">
        <w:rPr>
          <w:snapToGrid w:val="0"/>
          <w:lang w:val="en-GB" w:eastAsia="ja-JP"/>
        </w:rPr>
        <w:t xml:space="preserve"> </w:t>
      </w:r>
      <w:r w:rsidR="00FC6D26">
        <w:rPr>
          <w:snapToGrid w:val="0"/>
          <w:lang w:val="en-GB" w:eastAsia="ja-JP"/>
        </w:rPr>
        <w:t xml:space="preserve">Tyre industry analysed </w:t>
      </w:r>
      <w:r w:rsidR="00B10DCB" w:rsidRPr="006A7A69">
        <w:rPr>
          <w:snapToGrid w:val="0"/>
          <w:lang w:val="en-GB" w:eastAsia="ja-JP"/>
        </w:rPr>
        <w:t xml:space="preserve">the </w:t>
      </w:r>
      <w:r w:rsidR="00FC6D26">
        <w:rPr>
          <w:snapToGrid w:val="0"/>
          <w:lang w:val="en-GB" w:eastAsia="ja-JP"/>
        </w:rPr>
        <w:t>stock keeping units (SKUs)</w:t>
      </w:r>
      <w:r w:rsidR="00B10DCB" w:rsidRPr="006A7A69">
        <w:rPr>
          <w:snapToGrid w:val="0"/>
          <w:lang w:val="en-GB" w:eastAsia="ja-JP"/>
        </w:rPr>
        <w:t xml:space="preserve"> and concluded that</w:t>
      </w:r>
      <w:r w:rsidR="00AE244D" w:rsidRPr="006A7A69">
        <w:rPr>
          <w:snapToGrid w:val="0"/>
          <w:lang w:val="en-GB" w:eastAsia="ja-JP"/>
        </w:rPr>
        <w:t xml:space="preserve"> </w:t>
      </w:r>
      <w:r w:rsidR="00B10DCB" w:rsidRPr="006A7A69">
        <w:rPr>
          <w:snapToGrid w:val="0"/>
          <w:lang w:val="en-GB" w:eastAsia="ja-JP"/>
        </w:rPr>
        <w:t>[50</w:t>
      </w:r>
      <w:r w:rsidR="00FC6D26">
        <w:rPr>
          <w:snapToGrid w:val="0"/>
          <w:lang w:val="en-GB" w:eastAsia="ja-JP"/>
        </w:rPr>
        <w:t>%] of the products currently offered</w:t>
      </w:r>
      <w:r w:rsidR="00AE244D" w:rsidRPr="006A7A69">
        <w:rPr>
          <w:snapToGrid w:val="0"/>
          <w:lang w:val="en-GB" w:eastAsia="ja-JP"/>
        </w:rPr>
        <w:t xml:space="preserve"> </w:t>
      </w:r>
      <w:r w:rsidR="00FC6D26">
        <w:rPr>
          <w:snapToGrid w:val="0"/>
          <w:lang w:val="en-GB" w:eastAsia="ja-JP"/>
        </w:rPr>
        <w:t>contain both a DOT and an E mark</w:t>
      </w:r>
      <w:r w:rsidR="00AE244D" w:rsidRPr="006A7A69">
        <w:rPr>
          <w:snapToGrid w:val="0"/>
          <w:lang w:val="en-GB" w:eastAsia="ja-JP"/>
        </w:rPr>
        <w:t>. That makes reasonable the development of an approach for unified compliance assessment marking.</w:t>
      </w:r>
    </w:p>
    <w:p w:rsidR="00D50936" w:rsidRPr="006A7A69" w:rsidRDefault="00B33A4A" w:rsidP="00D50936">
      <w:pPr>
        <w:pStyle w:val="SingleTxtG"/>
        <w:rPr>
          <w:lang w:val="en-GB"/>
        </w:rPr>
      </w:pPr>
      <w:r w:rsidRPr="006A7A69">
        <w:rPr>
          <w:lang w:val="en-GB"/>
        </w:rPr>
        <w:t>10</w:t>
      </w:r>
      <w:r w:rsidR="00AD664B" w:rsidRPr="006A7A69">
        <w:rPr>
          <w:lang w:val="en-GB"/>
        </w:rPr>
        <w:t>.</w:t>
      </w:r>
      <w:r w:rsidR="00AD664B" w:rsidRPr="006A7A69">
        <w:rPr>
          <w:lang w:val="en-GB"/>
        </w:rPr>
        <w:tab/>
      </w:r>
      <w:r w:rsidR="00D50936" w:rsidRPr="006A7A69">
        <w:rPr>
          <w:lang w:val="en-GB"/>
        </w:rPr>
        <w:t xml:space="preserve">The </w:t>
      </w:r>
      <w:r w:rsidR="00AE244D" w:rsidRPr="006A7A69">
        <w:rPr>
          <w:lang w:val="en-GB"/>
        </w:rPr>
        <w:t xml:space="preserve">following </w:t>
      </w:r>
      <w:r w:rsidR="00AF35A1" w:rsidRPr="006A7A69">
        <w:rPr>
          <w:lang w:val="en-GB"/>
        </w:rPr>
        <w:t>cost reductions and other benefits should be assessed</w:t>
      </w:r>
      <w:r w:rsidR="00AE244D" w:rsidRPr="006A7A69">
        <w:rPr>
          <w:lang w:val="en-GB"/>
        </w:rPr>
        <w:t>:</w:t>
      </w:r>
    </w:p>
    <w:p w:rsidR="00AE244D" w:rsidRPr="006A7A69" w:rsidRDefault="00AE244D" w:rsidP="00AE244D">
      <w:pPr>
        <w:pStyle w:val="SingleTxtG"/>
        <w:numPr>
          <w:ilvl w:val="0"/>
          <w:numId w:val="38"/>
        </w:numPr>
        <w:rPr>
          <w:lang w:val="en-GB"/>
        </w:rPr>
      </w:pPr>
      <w:r w:rsidRPr="006A7A69">
        <w:rPr>
          <w:lang w:val="en-GB"/>
        </w:rPr>
        <w:t xml:space="preserve">For tyre industry: </w:t>
      </w:r>
      <w:r w:rsidR="00AF35A1" w:rsidRPr="006A7A69">
        <w:rPr>
          <w:lang w:val="en-GB"/>
        </w:rPr>
        <w:t xml:space="preserve">potential </w:t>
      </w:r>
      <w:r w:rsidRPr="006A7A69">
        <w:rPr>
          <w:lang w:val="en-GB"/>
        </w:rPr>
        <w:t xml:space="preserve">reduction of costs for </w:t>
      </w:r>
      <w:r w:rsidR="00651B11" w:rsidRPr="006A7A69">
        <w:rPr>
          <w:lang w:val="en-GB"/>
        </w:rPr>
        <w:t xml:space="preserve">qualification </w:t>
      </w:r>
      <w:r w:rsidRPr="006A7A69">
        <w:rPr>
          <w:lang w:val="en-GB"/>
        </w:rPr>
        <w:t xml:space="preserve">of product meeting </w:t>
      </w:r>
      <w:r w:rsidR="001E3656" w:rsidRPr="006A7A69">
        <w:rPr>
          <w:lang w:val="en-GB"/>
        </w:rPr>
        <w:t>harmonized state-of-the-art requirements</w:t>
      </w:r>
      <w:r w:rsidR="006A52D0" w:rsidRPr="006A7A69">
        <w:rPr>
          <w:lang w:val="en-GB"/>
        </w:rPr>
        <w:t>,</w:t>
      </w:r>
      <w:r w:rsidRPr="006A7A69">
        <w:rPr>
          <w:lang w:val="en-GB"/>
        </w:rPr>
        <w:t xml:space="preserve"> introduction on the worldwide market </w:t>
      </w:r>
      <w:r w:rsidR="001E3656" w:rsidRPr="006A7A69">
        <w:rPr>
          <w:lang w:val="en-GB"/>
        </w:rPr>
        <w:t>t</w:t>
      </w:r>
      <w:r w:rsidR="00F14836">
        <w:rPr>
          <w:lang w:val="en-GB"/>
        </w:rPr>
        <w:t>y</w:t>
      </w:r>
      <w:r w:rsidR="001E3656" w:rsidRPr="006A7A69">
        <w:rPr>
          <w:lang w:val="en-GB"/>
        </w:rPr>
        <w:t xml:space="preserve">res </w:t>
      </w:r>
      <w:bookmarkStart w:id="1" w:name="_Hlk505676318"/>
      <w:r w:rsidR="001E3656" w:rsidRPr="006A7A69">
        <w:rPr>
          <w:lang w:val="en-GB"/>
        </w:rPr>
        <w:t>assuring contemporary top-level</w:t>
      </w:r>
      <w:r w:rsidRPr="006A7A69">
        <w:rPr>
          <w:lang w:val="en-GB"/>
        </w:rPr>
        <w:t xml:space="preserve"> </w:t>
      </w:r>
      <w:r w:rsidR="001E3656" w:rsidRPr="006A7A69">
        <w:rPr>
          <w:lang w:val="en-GB"/>
        </w:rPr>
        <w:t>of safety</w:t>
      </w:r>
      <w:r w:rsidR="002F754A" w:rsidRPr="006A7A69">
        <w:rPr>
          <w:lang w:val="en-GB"/>
        </w:rPr>
        <w:t xml:space="preserve">, </w:t>
      </w:r>
      <w:bookmarkEnd w:id="1"/>
      <w:r w:rsidR="00FC6D26" w:rsidRPr="006A7A69">
        <w:rPr>
          <w:lang w:val="en-GB"/>
        </w:rPr>
        <w:t>demonstrating</w:t>
      </w:r>
      <w:r w:rsidR="002F754A" w:rsidRPr="006A7A69">
        <w:rPr>
          <w:lang w:val="en-GB"/>
        </w:rPr>
        <w:t xml:space="preserve"> a compromise in reaching different performance characteristics</w:t>
      </w:r>
      <w:r w:rsidR="006A52D0" w:rsidRPr="006A7A69">
        <w:rPr>
          <w:lang w:val="en-GB"/>
        </w:rPr>
        <w:t xml:space="preserve"> and improvement of credibility to the products bearing such marking</w:t>
      </w:r>
      <w:r w:rsidR="001E3656" w:rsidRPr="006A7A69">
        <w:rPr>
          <w:lang w:val="en-GB"/>
        </w:rPr>
        <w:t>;</w:t>
      </w:r>
    </w:p>
    <w:p w:rsidR="001E3656" w:rsidRPr="006A7A69" w:rsidRDefault="001E3656" w:rsidP="00AE244D">
      <w:pPr>
        <w:pStyle w:val="SingleTxtG"/>
        <w:numPr>
          <w:ilvl w:val="0"/>
          <w:numId w:val="38"/>
        </w:numPr>
        <w:rPr>
          <w:lang w:val="en-GB"/>
        </w:rPr>
      </w:pPr>
      <w:r w:rsidRPr="006A7A69">
        <w:rPr>
          <w:lang w:val="en-GB"/>
        </w:rPr>
        <w:t>For governments: ensuring access to national/regional markets bear</w:t>
      </w:r>
      <w:r w:rsidR="00AF35A1" w:rsidRPr="006A7A69">
        <w:rPr>
          <w:lang w:val="en-GB"/>
        </w:rPr>
        <w:t>ing the</w:t>
      </w:r>
      <w:r w:rsidRPr="006A7A69">
        <w:rPr>
          <w:lang w:val="en-GB"/>
        </w:rPr>
        <w:t xml:space="preserve"> “global” marking and facilitating upgrade of national/regional </w:t>
      </w:r>
      <w:r w:rsidR="002F754A" w:rsidRPr="006A7A69">
        <w:rPr>
          <w:lang w:val="en-GB"/>
        </w:rPr>
        <w:t xml:space="preserve">technical </w:t>
      </w:r>
      <w:r w:rsidRPr="006A7A69">
        <w:rPr>
          <w:lang w:val="en-GB"/>
        </w:rPr>
        <w:t xml:space="preserve">requirements </w:t>
      </w:r>
      <w:r w:rsidR="002F754A" w:rsidRPr="006A7A69">
        <w:rPr>
          <w:lang w:val="en-GB"/>
        </w:rPr>
        <w:t>to the level corresponding that stipulated in GTR No. 16;</w:t>
      </w:r>
    </w:p>
    <w:p w:rsidR="002F754A" w:rsidRPr="006A7A69" w:rsidRDefault="002F754A" w:rsidP="00F14836">
      <w:pPr>
        <w:pStyle w:val="SingleTxtG"/>
        <w:numPr>
          <w:ilvl w:val="0"/>
          <w:numId w:val="38"/>
        </w:numPr>
        <w:rPr>
          <w:lang w:val="en-GB"/>
        </w:rPr>
      </w:pPr>
      <w:r w:rsidRPr="006A7A69">
        <w:rPr>
          <w:lang w:val="en-GB"/>
        </w:rPr>
        <w:t>For consumers: ensuring</w:t>
      </w:r>
      <w:r w:rsidR="00F14836" w:rsidRPr="00F14836">
        <w:rPr>
          <w:lang w:val="en-GB"/>
        </w:rPr>
        <w:t xml:space="preserve"> contemporary top-level </w:t>
      </w:r>
      <w:proofErr w:type="gramStart"/>
      <w:r w:rsidR="00F14836" w:rsidRPr="00F14836">
        <w:rPr>
          <w:lang w:val="en-GB"/>
        </w:rPr>
        <w:t xml:space="preserve">of </w:t>
      </w:r>
      <w:r>
        <w:rPr>
          <w:lang w:val="en-GB"/>
        </w:rPr>
        <w:t xml:space="preserve"> safety</w:t>
      </w:r>
      <w:proofErr w:type="gramEnd"/>
      <w:r w:rsidRPr="006A7A69">
        <w:rPr>
          <w:lang w:val="en-GB"/>
        </w:rPr>
        <w:t xml:space="preserve"> </w:t>
      </w:r>
      <w:r w:rsidR="00F14836">
        <w:rPr>
          <w:lang w:val="en-GB"/>
        </w:rPr>
        <w:t xml:space="preserve">requirements </w:t>
      </w:r>
      <w:r w:rsidRPr="006A7A69">
        <w:rPr>
          <w:lang w:val="en-GB"/>
        </w:rPr>
        <w:t>and perfor</w:t>
      </w:r>
      <w:r w:rsidR="00442F22" w:rsidRPr="006A7A69">
        <w:rPr>
          <w:lang w:val="en-GB"/>
        </w:rPr>
        <w:t>mance</w:t>
      </w:r>
      <w:r w:rsidR="00F14836">
        <w:rPr>
          <w:lang w:val="en-GB"/>
        </w:rPr>
        <w:t>s</w:t>
      </w:r>
      <w:r w:rsidR="00442F22" w:rsidRPr="006A7A69">
        <w:rPr>
          <w:lang w:val="en-GB"/>
        </w:rPr>
        <w:t xml:space="preserve"> for tyres bearing “global</w:t>
      </w:r>
      <w:r w:rsidRPr="006A7A69">
        <w:rPr>
          <w:lang w:val="en-GB"/>
        </w:rPr>
        <w:t xml:space="preserve"> marking</w:t>
      </w:r>
      <w:r w:rsidR="00442F22" w:rsidRPr="006A7A69">
        <w:rPr>
          <w:lang w:val="en-GB"/>
        </w:rPr>
        <w:t>”</w:t>
      </w:r>
      <w:r w:rsidRPr="006A7A69">
        <w:rPr>
          <w:lang w:val="en-GB"/>
        </w:rPr>
        <w:t xml:space="preserve">. </w:t>
      </w:r>
    </w:p>
    <w:p w:rsidR="00B64E9A" w:rsidRPr="006A7A69" w:rsidRDefault="00DE6407" w:rsidP="00DE6407">
      <w:pPr>
        <w:pStyle w:val="HChG"/>
        <w:tabs>
          <w:tab w:val="clear" w:pos="851"/>
        </w:tabs>
        <w:spacing w:line="240" w:lineRule="auto"/>
        <w:ind w:hanging="567"/>
        <w:rPr>
          <w:lang w:val="en-GB"/>
        </w:rPr>
      </w:pPr>
      <w:bookmarkStart w:id="2" w:name="OLE_LINK16"/>
      <w:bookmarkStart w:id="3" w:name="OLE_LINK17"/>
      <w:r w:rsidRPr="006A7A69">
        <w:rPr>
          <w:lang w:val="en-GB"/>
        </w:rPr>
        <w:lastRenderedPageBreak/>
        <w:t>IV.</w:t>
      </w:r>
      <w:r w:rsidRPr="006A7A69">
        <w:rPr>
          <w:lang w:val="en-GB"/>
        </w:rPr>
        <w:tab/>
      </w:r>
      <w:r w:rsidR="00B33A4A" w:rsidRPr="006A7A69">
        <w:rPr>
          <w:lang w:val="en-GB"/>
        </w:rPr>
        <w:t>P</w:t>
      </w:r>
      <w:r w:rsidRPr="006A7A69">
        <w:rPr>
          <w:lang w:val="en-GB"/>
        </w:rPr>
        <w:t xml:space="preserve">ossible </w:t>
      </w:r>
      <w:r w:rsidR="00B33A4A" w:rsidRPr="006A7A69">
        <w:rPr>
          <w:lang w:val="en-GB"/>
        </w:rPr>
        <w:t>implementation</w:t>
      </w:r>
    </w:p>
    <w:p w:rsidR="00F969DE" w:rsidRPr="006A7A69" w:rsidRDefault="00AD664B" w:rsidP="00F969DE">
      <w:pPr>
        <w:pStyle w:val="SingleTxtG"/>
        <w:rPr>
          <w:snapToGrid w:val="0"/>
          <w:lang w:val="en-GB" w:eastAsia="ja-JP"/>
        </w:rPr>
      </w:pPr>
      <w:r w:rsidRPr="006A7A69">
        <w:rPr>
          <w:snapToGrid w:val="0"/>
          <w:lang w:val="en-GB" w:eastAsia="ja-JP"/>
        </w:rPr>
        <w:t>11.</w:t>
      </w:r>
      <w:r w:rsidRPr="006A7A69">
        <w:rPr>
          <w:snapToGrid w:val="0"/>
          <w:lang w:val="en-GB" w:eastAsia="ja-JP"/>
        </w:rPr>
        <w:tab/>
      </w:r>
      <w:r w:rsidR="00F969DE" w:rsidRPr="006A7A69">
        <w:rPr>
          <w:snapToGrid w:val="0"/>
          <w:lang w:val="en-GB" w:eastAsia="ja-JP"/>
        </w:rPr>
        <w:t>According to the 1998 Agreement (Article 7, paragraph 7.1.), a Contracting Party that votes in favour of establishing a global technical regulation shall be obligated to submit that technical regulation to the process used by that Contracting Party to adopt such a technical regulation into its own laws or regulations and shall seek to make a final decision expeditiously.</w:t>
      </w:r>
      <w:r w:rsidR="000F0B51" w:rsidRPr="006A7A69">
        <w:rPr>
          <w:snapToGrid w:val="0"/>
          <w:lang w:val="en-GB" w:eastAsia="ja-JP"/>
        </w:rPr>
        <w:t xml:space="preserve"> The aforesaid means that Contracting Parties vo</w:t>
      </w:r>
      <w:r w:rsidR="00DB0D93" w:rsidRPr="006A7A69">
        <w:rPr>
          <w:snapToGrid w:val="0"/>
          <w:lang w:val="en-GB" w:eastAsia="ja-JP"/>
        </w:rPr>
        <w:t>t</w:t>
      </w:r>
      <w:r w:rsidR="000F0B51" w:rsidRPr="006A7A69">
        <w:rPr>
          <w:snapToGrid w:val="0"/>
          <w:lang w:val="en-GB" w:eastAsia="ja-JP"/>
        </w:rPr>
        <w:t>ed for establishment of GTR No. 16 in Global Registry shall transpose its provisions, including those concerning “global marking” in their national/regional legislation.</w:t>
      </w:r>
    </w:p>
    <w:p w:rsidR="00751624" w:rsidRPr="006A7A69" w:rsidRDefault="00AD664B" w:rsidP="00D50936">
      <w:pPr>
        <w:pStyle w:val="SingleTxtG"/>
        <w:rPr>
          <w:snapToGrid w:val="0"/>
          <w:lang w:val="en-GB" w:eastAsia="ja-JP"/>
        </w:rPr>
      </w:pPr>
      <w:r w:rsidRPr="006A7A69">
        <w:rPr>
          <w:snapToGrid w:val="0"/>
          <w:lang w:val="en-GB" w:eastAsia="ja-JP"/>
        </w:rPr>
        <w:t>12.</w:t>
      </w:r>
      <w:r w:rsidRPr="006A7A69">
        <w:rPr>
          <w:snapToGrid w:val="0"/>
          <w:lang w:val="en-GB" w:eastAsia="ja-JP"/>
        </w:rPr>
        <w:tab/>
      </w:r>
      <w:r w:rsidR="000F0B51" w:rsidRPr="006A7A69">
        <w:rPr>
          <w:snapToGrid w:val="0"/>
          <w:lang w:val="en-GB" w:eastAsia="ja-JP"/>
        </w:rPr>
        <w:t>According to the practice, for the Contracting Parties to the 1958 Agreement, the provisions of GTRs are usually transposed into UN Regulations, which ensures the uniform application of their provisions by the Contracting Parties. Consequently, if “global marking” were transposed in a UN Regulation, it shall be mutually recognized by the Contracting Parties to the 1958 Agreement.</w:t>
      </w:r>
      <w:r w:rsidR="00BA1331" w:rsidRPr="006A7A69">
        <w:rPr>
          <w:snapToGrid w:val="0"/>
          <w:lang w:val="en-GB" w:eastAsia="ja-JP"/>
        </w:rPr>
        <w:t xml:space="preserve"> That </w:t>
      </w:r>
      <w:r w:rsidR="00DB0D93" w:rsidRPr="006A7A69">
        <w:rPr>
          <w:snapToGrid w:val="0"/>
          <w:lang w:val="en-GB" w:eastAsia="ja-JP"/>
        </w:rPr>
        <w:t xml:space="preserve">would </w:t>
      </w:r>
      <w:r w:rsidR="00BA1331" w:rsidRPr="006A7A69">
        <w:rPr>
          <w:snapToGrid w:val="0"/>
          <w:lang w:val="en-GB" w:eastAsia="ja-JP"/>
        </w:rPr>
        <w:t>mean a tyre bearing such marking is in compliance with national/regional laws of the Contracting Parties.</w:t>
      </w:r>
    </w:p>
    <w:bookmarkEnd w:id="2"/>
    <w:bookmarkEnd w:id="3"/>
    <w:p w:rsidR="00BA1331" w:rsidRPr="006A7A69" w:rsidRDefault="00BA1331" w:rsidP="00D50936">
      <w:pPr>
        <w:pStyle w:val="SingleTxtG"/>
        <w:rPr>
          <w:snapToGrid w:val="0"/>
          <w:lang w:val="en-GB" w:eastAsia="ja-JP"/>
        </w:rPr>
      </w:pPr>
      <w:r w:rsidRPr="006A7A69">
        <w:rPr>
          <w:snapToGrid w:val="0"/>
          <w:lang w:val="en-GB" w:eastAsia="ja-JP"/>
        </w:rPr>
        <w:t xml:space="preserve">13. </w:t>
      </w:r>
      <w:r w:rsidR="00B73BB6" w:rsidRPr="006A7A69">
        <w:rPr>
          <w:snapToGrid w:val="0"/>
          <w:lang w:val="en-GB" w:eastAsia="ja-JP"/>
        </w:rPr>
        <w:tab/>
      </w:r>
      <w:r w:rsidRPr="006A7A69">
        <w:rPr>
          <w:snapToGrid w:val="0"/>
          <w:lang w:val="en-GB" w:eastAsia="ja-JP"/>
        </w:rPr>
        <w:t xml:space="preserve">The large number </w:t>
      </w:r>
      <w:r w:rsidR="00FC6D26" w:rsidRPr="006A7A69">
        <w:rPr>
          <w:snapToGrid w:val="0"/>
          <w:lang w:val="en-GB" w:eastAsia="ja-JP"/>
        </w:rPr>
        <w:t>of the</w:t>
      </w:r>
      <w:r w:rsidRPr="006A7A69">
        <w:rPr>
          <w:snapToGrid w:val="0"/>
          <w:lang w:val="en-GB" w:eastAsia="ja-JP"/>
        </w:rPr>
        <w:t xml:space="preserve"> countries – Contracting Parties to the 1998 Agreement </w:t>
      </w:r>
      <w:proofErr w:type="gramStart"/>
      <w:r w:rsidRPr="006A7A69">
        <w:rPr>
          <w:snapToGrid w:val="0"/>
          <w:lang w:val="en-GB" w:eastAsia="ja-JP"/>
        </w:rPr>
        <w:t>are</w:t>
      </w:r>
      <w:proofErr w:type="gramEnd"/>
      <w:r w:rsidRPr="006A7A69">
        <w:rPr>
          <w:snapToGrid w:val="0"/>
          <w:lang w:val="en-GB" w:eastAsia="ja-JP"/>
        </w:rPr>
        <w:t xml:space="preserve"> also Co</w:t>
      </w:r>
      <w:r w:rsidR="00A04FF1" w:rsidRPr="006A7A69">
        <w:rPr>
          <w:snapToGrid w:val="0"/>
          <w:lang w:val="en-GB" w:eastAsia="ja-JP"/>
        </w:rPr>
        <w:t>n</w:t>
      </w:r>
      <w:r w:rsidRPr="006A7A69">
        <w:rPr>
          <w:snapToGrid w:val="0"/>
          <w:lang w:val="en-GB" w:eastAsia="ja-JP"/>
        </w:rPr>
        <w:t>tracting Parties to the 1958 Agreement. So, they could implement the proposed “global marking” by application of a relevant UN Regulation.</w:t>
      </w:r>
    </w:p>
    <w:p w:rsidR="00FC1E39" w:rsidRPr="006A7A69" w:rsidRDefault="0015622D" w:rsidP="00D50936">
      <w:pPr>
        <w:pStyle w:val="SingleTxtG"/>
        <w:rPr>
          <w:snapToGrid w:val="0"/>
          <w:lang w:val="en-GB" w:eastAsia="ja-JP"/>
        </w:rPr>
      </w:pPr>
      <w:r w:rsidRPr="006A7A69">
        <w:rPr>
          <w:snapToGrid w:val="0"/>
          <w:lang w:val="en-GB" w:eastAsia="ja-JP"/>
        </w:rPr>
        <w:t>14.</w:t>
      </w:r>
      <w:r w:rsidRPr="006A7A69">
        <w:rPr>
          <w:snapToGrid w:val="0"/>
          <w:lang w:val="en-GB" w:eastAsia="ja-JP"/>
        </w:rPr>
        <w:tab/>
        <w:t>The countries – Contracting Parties to the 1998 Agreement and not Co</w:t>
      </w:r>
      <w:r w:rsidR="00A04FF1" w:rsidRPr="006A7A69">
        <w:rPr>
          <w:snapToGrid w:val="0"/>
          <w:lang w:val="en-GB" w:eastAsia="ja-JP"/>
        </w:rPr>
        <w:t>n</w:t>
      </w:r>
      <w:r w:rsidRPr="006A7A69">
        <w:rPr>
          <w:snapToGrid w:val="0"/>
          <w:lang w:val="en-GB" w:eastAsia="ja-JP"/>
        </w:rPr>
        <w:t>tracting Parties to the 1958 Agreement could implement the tyre “global marking” by introduction of the relevant provisions in their national legislation</w:t>
      </w:r>
      <w:r w:rsidR="00FC1E39" w:rsidRPr="006A7A69">
        <w:rPr>
          <w:snapToGrid w:val="0"/>
          <w:lang w:val="en-GB" w:eastAsia="ja-JP"/>
        </w:rPr>
        <w:t>.</w:t>
      </w:r>
    </w:p>
    <w:p w:rsidR="00FC1E39" w:rsidRPr="00755C2A" w:rsidRDefault="00FC1E39" w:rsidP="00D50936">
      <w:pPr>
        <w:pStyle w:val="SingleTxtG"/>
        <w:rPr>
          <w:lang w:val="en-GB"/>
        </w:rPr>
      </w:pPr>
      <w:r w:rsidRPr="006A7A69">
        <w:rPr>
          <w:snapToGrid w:val="0"/>
          <w:lang w:val="en-GB" w:eastAsia="ja-JP"/>
        </w:rPr>
        <w:t xml:space="preserve">The list of such countries (reference: Status document of the 1998 Agreement </w:t>
      </w:r>
      <w:r w:rsidR="003F0918" w:rsidRPr="00755C2A">
        <w:rPr>
          <w:lang w:val="en-GB"/>
        </w:rPr>
        <w:t>(ECE/TRANS/WP.29/1073/Rev.18):</w:t>
      </w:r>
      <w:r w:rsidRPr="006A7A69">
        <w:rPr>
          <w:snapToGrid w:val="0"/>
          <w:lang w:val="en-GB" w:eastAsia="ja-JP"/>
        </w:rPr>
        <w:t xml:space="preserve"> Canada, China, India, Moldova, San-Marino, Tajikistan</w:t>
      </w:r>
      <w:r w:rsidR="00FC6D26">
        <w:rPr>
          <w:snapToGrid w:val="0"/>
          <w:lang w:val="en-GB" w:eastAsia="ja-JP"/>
        </w:rPr>
        <w:t xml:space="preserve"> and</w:t>
      </w:r>
      <w:r w:rsidRPr="006A7A69">
        <w:rPr>
          <w:snapToGrid w:val="0"/>
          <w:lang w:val="en-GB" w:eastAsia="ja-JP"/>
        </w:rPr>
        <w:t xml:space="preserve"> the United States.</w:t>
      </w:r>
    </w:p>
    <w:p w:rsidR="00B73BB6" w:rsidRPr="006A7A69" w:rsidRDefault="0015622D" w:rsidP="00D50936">
      <w:pPr>
        <w:pStyle w:val="SingleTxtG"/>
        <w:rPr>
          <w:snapToGrid w:val="0"/>
          <w:lang w:val="en-GB" w:eastAsia="ja-JP"/>
        </w:rPr>
      </w:pPr>
      <w:r w:rsidRPr="006A7A69">
        <w:rPr>
          <w:snapToGrid w:val="0"/>
          <w:lang w:val="en-GB" w:eastAsia="ja-JP"/>
        </w:rPr>
        <w:t xml:space="preserve"> </w:t>
      </w:r>
      <w:r w:rsidR="00B73BB6" w:rsidRPr="006A7A69">
        <w:rPr>
          <w:snapToGrid w:val="0"/>
          <w:lang w:val="en-GB" w:eastAsia="ja-JP"/>
        </w:rPr>
        <w:t>1</w:t>
      </w:r>
      <w:r w:rsidRPr="006A7A69">
        <w:rPr>
          <w:snapToGrid w:val="0"/>
          <w:lang w:val="en-GB" w:eastAsia="ja-JP"/>
        </w:rPr>
        <w:t>5</w:t>
      </w:r>
      <w:r w:rsidR="00B73BB6" w:rsidRPr="006A7A69">
        <w:rPr>
          <w:snapToGrid w:val="0"/>
          <w:lang w:val="en-GB" w:eastAsia="ja-JP"/>
        </w:rPr>
        <w:t>.</w:t>
      </w:r>
      <w:r w:rsidR="00B73BB6" w:rsidRPr="006A7A69">
        <w:rPr>
          <w:snapToGrid w:val="0"/>
          <w:lang w:val="en-GB" w:eastAsia="ja-JP"/>
        </w:rPr>
        <w:tab/>
      </w:r>
      <w:r w:rsidR="005A33E1" w:rsidRPr="006A7A69">
        <w:rPr>
          <w:snapToGrid w:val="0"/>
          <w:lang w:val="en-GB" w:eastAsia="ja-JP"/>
        </w:rPr>
        <w:t xml:space="preserve">Such implementation of the tyre ‘global marking” </w:t>
      </w:r>
      <w:r w:rsidR="00DB0D93" w:rsidRPr="006A7A69">
        <w:rPr>
          <w:snapToGrid w:val="0"/>
          <w:lang w:val="en-GB" w:eastAsia="ja-JP"/>
        </w:rPr>
        <w:t xml:space="preserve">would </w:t>
      </w:r>
      <w:r w:rsidR="005A33E1" w:rsidRPr="006A7A69">
        <w:rPr>
          <w:snapToGrid w:val="0"/>
          <w:lang w:val="en-GB" w:eastAsia="ja-JP"/>
        </w:rPr>
        <w:t xml:space="preserve">not affect national procedures for allowance of an access of tyres to the national markets, the only </w:t>
      </w:r>
      <w:r w:rsidR="00DB0D93" w:rsidRPr="006A7A69">
        <w:rPr>
          <w:snapToGrid w:val="0"/>
          <w:lang w:val="en-GB" w:eastAsia="ja-JP"/>
        </w:rPr>
        <w:t xml:space="preserve">allowance </w:t>
      </w:r>
      <w:r w:rsidR="005A33E1" w:rsidRPr="006A7A69">
        <w:rPr>
          <w:snapToGrid w:val="0"/>
          <w:lang w:val="en-GB" w:eastAsia="ja-JP"/>
        </w:rPr>
        <w:t xml:space="preserve">would be recognition of  </w:t>
      </w:r>
      <w:r w:rsidR="00DB0D93" w:rsidRPr="006A7A69">
        <w:rPr>
          <w:snapToGrid w:val="0"/>
          <w:lang w:val="en-GB" w:eastAsia="ja-JP"/>
        </w:rPr>
        <w:t xml:space="preserve">the </w:t>
      </w:r>
      <w:r w:rsidR="005A33E1" w:rsidRPr="006A7A69">
        <w:rPr>
          <w:snapToGrid w:val="0"/>
          <w:lang w:val="en-GB" w:eastAsia="ja-JP"/>
        </w:rPr>
        <w:t>tyre</w:t>
      </w:r>
      <w:r w:rsidR="00DB0D93" w:rsidRPr="006A7A69">
        <w:rPr>
          <w:snapToGrid w:val="0"/>
          <w:lang w:val="en-GB" w:eastAsia="ja-JP"/>
        </w:rPr>
        <w:t xml:space="preserve"> </w:t>
      </w:r>
      <w:r w:rsidR="005A33E1" w:rsidRPr="006A7A69">
        <w:rPr>
          <w:snapToGrid w:val="0"/>
          <w:lang w:val="en-GB" w:eastAsia="ja-JP"/>
        </w:rPr>
        <w:t xml:space="preserve">“global marking” as an alternative to </w:t>
      </w:r>
      <w:r w:rsidR="00DB0D93" w:rsidRPr="006A7A69">
        <w:rPr>
          <w:snapToGrid w:val="0"/>
          <w:lang w:val="en-GB" w:eastAsia="ja-JP"/>
        </w:rPr>
        <w:t xml:space="preserve">the </w:t>
      </w:r>
      <w:r w:rsidR="005A33E1" w:rsidRPr="006A7A69">
        <w:rPr>
          <w:snapToGrid w:val="0"/>
          <w:lang w:val="en-GB" w:eastAsia="ja-JP"/>
        </w:rPr>
        <w:t xml:space="preserve">marking already stipulated in national </w:t>
      </w:r>
      <w:r w:rsidR="00FC6D26" w:rsidRPr="006A7A69">
        <w:rPr>
          <w:snapToGrid w:val="0"/>
          <w:lang w:val="en-GB" w:eastAsia="ja-JP"/>
        </w:rPr>
        <w:t>legislation</w:t>
      </w:r>
      <w:r w:rsidR="005A33E1" w:rsidRPr="006A7A69">
        <w:rPr>
          <w:snapToGrid w:val="0"/>
          <w:lang w:val="en-GB" w:eastAsia="ja-JP"/>
        </w:rPr>
        <w:t>, like “DOT”, “CCC”, etc.</w:t>
      </w:r>
      <w:r w:rsidR="009B6DE0" w:rsidRPr="006A7A69">
        <w:rPr>
          <w:snapToGrid w:val="0"/>
          <w:lang w:val="en-GB" w:eastAsia="ja-JP"/>
        </w:rPr>
        <w:t xml:space="preserve"> Tyre manufacturers w</w:t>
      </w:r>
      <w:r w:rsidR="00DB0D93" w:rsidRPr="006A7A69">
        <w:rPr>
          <w:snapToGrid w:val="0"/>
          <w:lang w:val="en-GB" w:eastAsia="ja-JP"/>
        </w:rPr>
        <w:t>ould</w:t>
      </w:r>
      <w:r w:rsidR="009B6DE0" w:rsidRPr="006A7A69">
        <w:rPr>
          <w:snapToGrid w:val="0"/>
          <w:lang w:val="en-GB" w:eastAsia="ja-JP"/>
        </w:rPr>
        <w:t xml:space="preserve"> remain obliged to provide for compliance of the products on the national/regional markets as stipulated by the relevant legislation of the Contracting Parties to the 1998 Agreement.</w:t>
      </w:r>
    </w:p>
    <w:p w:rsidR="00625C80" w:rsidRPr="006A7A69" w:rsidRDefault="00625C80" w:rsidP="00D50936">
      <w:pPr>
        <w:pStyle w:val="SingleTxtG"/>
        <w:rPr>
          <w:snapToGrid w:val="0"/>
          <w:lang w:val="en-GB" w:eastAsia="ja-JP"/>
        </w:rPr>
      </w:pPr>
      <w:r w:rsidRPr="006A7A69">
        <w:rPr>
          <w:snapToGrid w:val="0"/>
          <w:lang w:val="en-GB" w:eastAsia="ja-JP"/>
        </w:rPr>
        <w:t xml:space="preserve">16. </w:t>
      </w:r>
      <w:r w:rsidRPr="006A7A69">
        <w:rPr>
          <w:snapToGrid w:val="0"/>
          <w:lang w:val="en-GB" w:eastAsia="ja-JP"/>
        </w:rPr>
        <w:tab/>
        <w:t xml:space="preserve">When the tyre “global marking” </w:t>
      </w:r>
      <w:r w:rsidR="00DB0D93" w:rsidRPr="006A7A69">
        <w:rPr>
          <w:snapToGrid w:val="0"/>
          <w:lang w:val="en-GB" w:eastAsia="ja-JP"/>
        </w:rPr>
        <w:t>is</w:t>
      </w:r>
      <w:r w:rsidRPr="006A7A69">
        <w:rPr>
          <w:snapToGrid w:val="0"/>
          <w:lang w:val="en-GB" w:eastAsia="ja-JP"/>
        </w:rPr>
        <w:t xml:space="preserve"> implemented </w:t>
      </w:r>
      <w:r w:rsidR="00DB0D93" w:rsidRPr="006A7A69">
        <w:rPr>
          <w:snapToGrid w:val="0"/>
          <w:lang w:val="en-GB" w:eastAsia="ja-JP"/>
        </w:rPr>
        <w:t xml:space="preserve">in </w:t>
      </w:r>
      <w:r w:rsidRPr="006A7A69">
        <w:rPr>
          <w:snapToGrid w:val="0"/>
          <w:lang w:val="en-GB" w:eastAsia="ja-JP"/>
        </w:rPr>
        <w:t>the way</w:t>
      </w:r>
      <w:r w:rsidR="00DB0D93" w:rsidRPr="006A7A69">
        <w:rPr>
          <w:snapToGrid w:val="0"/>
          <w:lang w:val="en-GB" w:eastAsia="ja-JP"/>
        </w:rPr>
        <w:t xml:space="preserve"> described</w:t>
      </w:r>
      <w:r w:rsidRPr="006A7A69">
        <w:rPr>
          <w:snapToGrid w:val="0"/>
          <w:lang w:val="en-GB" w:eastAsia="ja-JP"/>
        </w:rPr>
        <w:t>, that would lea</w:t>
      </w:r>
      <w:r w:rsidR="00A04FF1" w:rsidRPr="006A7A69">
        <w:rPr>
          <w:snapToGrid w:val="0"/>
          <w:lang w:val="en-GB" w:eastAsia="ja-JP"/>
        </w:rPr>
        <w:t>d</w:t>
      </w:r>
      <w:r w:rsidRPr="006A7A69">
        <w:rPr>
          <w:snapToGrid w:val="0"/>
          <w:lang w:val="en-GB" w:eastAsia="ja-JP"/>
        </w:rPr>
        <w:t xml:space="preserve"> to mutual recognition of such marking amongst the Contracting Parties to the 1998 Agreement, although no specific provisions directly requesting such mechanism would be introduced.</w:t>
      </w:r>
    </w:p>
    <w:p w:rsidR="00690E2D" w:rsidRPr="00755C2A" w:rsidRDefault="00690E2D" w:rsidP="00D50936">
      <w:pPr>
        <w:pStyle w:val="SingleTxtG"/>
        <w:rPr>
          <w:lang w:val="en-GB"/>
        </w:rPr>
      </w:pPr>
      <w:r w:rsidRPr="006A7A69">
        <w:rPr>
          <w:snapToGrid w:val="0"/>
          <w:lang w:val="en-GB" w:eastAsia="ja-JP"/>
        </w:rPr>
        <w:t xml:space="preserve">17. </w:t>
      </w:r>
      <w:r w:rsidRPr="006A7A69">
        <w:rPr>
          <w:snapToGrid w:val="0"/>
          <w:lang w:val="en-GB" w:eastAsia="ja-JP"/>
        </w:rPr>
        <w:tab/>
        <w:t xml:space="preserve">If the Contracting Parties to the 1998 Agreement would </w:t>
      </w:r>
      <w:r w:rsidR="00DB0D93" w:rsidRPr="006A7A69">
        <w:rPr>
          <w:snapToGrid w:val="0"/>
          <w:lang w:val="en-GB" w:eastAsia="ja-JP"/>
        </w:rPr>
        <w:t>agree</w:t>
      </w:r>
      <w:r w:rsidRPr="006A7A69">
        <w:rPr>
          <w:snapToGrid w:val="0"/>
          <w:lang w:val="en-GB" w:eastAsia="ja-JP"/>
        </w:rPr>
        <w:t xml:space="preserve"> with the proposed approach, </w:t>
      </w:r>
      <w:r w:rsidR="00DB0D93" w:rsidRPr="006A7A69">
        <w:rPr>
          <w:snapToGrid w:val="0"/>
          <w:lang w:val="en-GB" w:eastAsia="ja-JP"/>
        </w:rPr>
        <w:t xml:space="preserve">it </w:t>
      </w:r>
      <w:r w:rsidRPr="006A7A69">
        <w:rPr>
          <w:snapToGrid w:val="0"/>
          <w:lang w:val="en-GB" w:eastAsia="ja-JP"/>
        </w:rPr>
        <w:t>could be realised throu</w:t>
      </w:r>
      <w:r w:rsidR="00A04FF1" w:rsidRPr="006A7A69">
        <w:rPr>
          <w:snapToGrid w:val="0"/>
          <w:lang w:val="en-GB" w:eastAsia="ja-JP"/>
        </w:rPr>
        <w:t>g</w:t>
      </w:r>
      <w:r w:rsidRPr="006A7A69">
        <w:rPr>
          <w:snapToGrid w:val="0"/>
          <w:lang w:val="en-GB" w:eastAsia="ja-JP"/>
        </w:rPr>
        <w:t>h the following</w:t>
      </w:r>
      <w:r w:rsidR="00EA07A5" w:rsidRPr="006A7A69">
        <w:rPr>
          <w:snapToGrid w:val="0"/>
          <w:lang w:val="en-GB" w:eastAsia="ja-JP"/>
        </w:rPr>
        <w:t xml:space="preserve"> steps</w:t>
      </w:r>
      <w:r w:rsidR="003F0918" w:rsidRPr="00755C2A">
        <w:rPr>
          <w:lang w:val="en-GB"/>
        </w:rPr>
        <w:t>:</w:t>
      </w:r>
    </w:p>
    <w:p w:rsidR="00EA07A5" w:rsidRPr="00755C2A" w:rsidRDefault="003F0918" w:rsidP="00EA07A5">
      <w:pPr>
        <w:pStyle w:val="SingleTxtG"/>
        <w:ind w:left="2268" w:hanging="567"/>
        <w:rPr>
          <w:lang w:val="en-GB"/>
        </w:rPr>
      </w:pPr>
      <w:r w:rsidRPr="00755C2A">
        <w:rPr>
          <w:lang w:val="en-GB"/>
        </w:rPr>
        <w:t xml:space="preserve">(1) </w:t>
      </w:r>
      <w:r w:rsidRPr="00755C2A">
        <w:rPr>
          <w:lang w:val="en-GB"/>
        </w:rPr>
        <w:tab/>
        <w:t>Introduction of provisions concerning tyre “global marking” in UN GTR No. 16;</w:t>
      </w:r>
    </w:p>
    <w:p w:rsidR="00EA07A5" w:rsidRPr="00755C2A" w:rsidRDefault="003F0918" w:rsidP="00EA07A5">
      <w:pPr>
        <w:pStyle w:val="SingleTxtG"/>
        <w:ind w:left="2268" w:hanging="567"/>
        <w:rPr>
          <w:lang w:val="en-GB"/>
        </w:rPr>
      </w:pPr>
      <w:r w:rsidRPr="00755C2A">
        <w:rPr>
          <w:lang w:val="en-GB"/>
        </w:rPr>
        <w:t xml:space="preserve">(2) </w:t>
      </w:r>
      <w:r w:rsidRPr="00755C2A">
        <w:rPr>
          <w:lang w:val="en-GB"/>
        </w:rPr>
        <w:tab/>
      </w:r>
      <w:bookmarkStart w:id="4" w:name="OLE_LINK1"/>
      <w:bookmarkStart w:id="5" w:name="OLE_LINK2"/>
      <w:bookmarkStart w:id="6" w:name="OLE_LINK3"/>
      <w:r w:rsidRPr="00755C2A">
        <w:rPr>
          <w:lang w:val="en-GB"/>
        </w:rPr>
        <w:t xml:space="preserve">Transposition of those provisions into the relevant </w:t>
      </w:r>
      <w:bookmarkEnd w:id="4"/>
      <w:bookmarkEnd w:id="5"/>
      <w:bookmarkEnd w:id="6"/>
      <w:r w:rsidRPr="00755C2A">
        <w:rPr>
          <w:lang w:val="en-GB"/>
        </w:rPr>
        <w:t xml:space="preserve">UN Regulation(s). </w:t>
      </w:r>
      <w:bookmarkStart w:id="7" w:name="OLE_LINK4"/>
      <w:bookmarkStart w:id="8" w:name="OLE_LINK5"/>
      <w:bookmarkStart w:id="9" w:name="OLE_LINK6"/>
      <w:r w:rsidRPr="00755C2A">
        <w:rPr>
          <w:lang w:val="en-GB"/>
        </w:rPr>
        <w:t>With this step</w:t>
      </w:r>
      <w:r w:rsidR="00DB0D93" w:rsidRPr="006A7A69">
        <w:rPr>
          <w:snapToGrid w:val="0"/>
          <w:lang w:val="en-GB" w:eastAsia="ja-JP"/>
        </w:rPr>
        <w:t>,</w:t>
      </w:r>
      <w:r w:rsidRPr="00755C2A">
        <w:rPr>
          <w:lang w:val="en-GB"/>
        </w:rPr>
        <w:t xml:space="preserve"> </w:t>
      </w:r>
      <w:bookmarkEnd w:id="7"/>
      <w:bookmarkEnd w:id="8"/>
      <w:bookmarkEnd w:id="9"/>
      <w:r w:rsidRPr="00755C2A">
        <w:rPr>
          <w:lang w:val="en-GB"/>
        </w:rPr>
        <w:t xml:space="preserve">the </w:t>
      </w:r>
      <w:r w:rsidR="00DB0D93" w:rsidRPr="006A7A69">
        <w:rPr>
          <w:snapToGrid w:val="0"/>
          <w:lang w:val="en-GB" w:eastAsia="ja-JP"/>
        </w:rPr>
        <w:t>acceptance</w:t>
      </w:r>
      <w:r w:rsidRPr="00755C2A">
        <w:rPr>
          <w:lang w:val="en-GB"/>
        </w:rPr>
        <w:t xml:space="preserve"> of tyre </w:t>
      </w:r>
      <w:bookmarkStart w:id="10" w:name="OLE_LINK7"/>
      <w:bookmarkStart w:id="11" w:name="OLE_LINK8"/>
      <w:bookmarkStart w:id="12" w:name="OLE_LINK9"/>
      <w:bookmarkStart w:id="13" w:name="OLE_LINK10"/>
      <w:r w:rsidRPr="00755C2A">
        <w:rPr>
          <w:lang w:val="en-GB"/>
        </w:rPr>
        <w:t xml:space="preserve">“global marking” </w:t>
      </w:r>
      <w:bookmarkEnd w:id="10"/>
      <w:bookmarkEnd w:id="11"/>
      <w:bookmarkEnd w:id="12"/>
      <w:bookmarkEnd w:id="13"/>
      <w:r w:rsidR="00DB0D93" w:rsidRPr="006A7A69">
        <w:rPr>
          <w:snapToGrid w:val="0"/>
          <w:lang w:val="en-GB" w:eastAsia="ja-JP"/>
        </w:rPr>
        <w:t xml:space="preserve">would </w:t>
      </w:r>
      <w:r w:rsidR="00EA07A5" w:rsidRPr="006A7A69">
        <w:rPr>
          <w:snapToGrid w:val="0"/>
          <w:lang w:val="en-GB" w:eastAsia="ja-JP"/>
        </w:rPr>
        <w:t>become</w:t>
      </w:r>
      <w:r w:rsidRPr="00755C2A">
        <w:rPr>
          <w:lang w:val="en-GB"/>
        </w:rPr>
        <w:t xml:space="preserve"> mandatory for the Contracting Parties to the 1958 Agreement applying such UN Regulation(s) and </w:t>
      </w:r>
      <w:r w:rsidR="000620D8" w:rsidRPr="006A7A69">
        <w:rPr>
          <w:snapToGrid w:val="0"/>
          <w:lang w:val="en-GB" w:eastAsia="ja-JP"/>
        </w:rPr>
        <w:t>would become</w:t>
      </w:r>
      <w:r w:rsidR="000620D8" w:rsidRPr="00755C2A">
        <w:rPr>
          <w:lang w:val="en-GB"/>
        </w:rPr>
        <w:t xml:space="preserve"> </w:t>
      </w:r>
      <w:r w:rsidRPr="00755C2A">
        <w:rPr>
          <w:lang w:val="en-GB"/>
        </w:rPr>
        <w:t>mutually recognized between those Contracting Parties;</w:t>
      </w:r>
    </w:p>
    <w:p w:rsidR="002C0ADE" w:rsidRPr="00755C2A" w:rsidRDefault="003F0918" w:rsidP="00EA07A5">
      <w:pPr>
        <w:pStyle w:val="SingleTxtG"/>
        <w:ind w:left="2268" w:hanging="567"/>
        <w:rPr>
          <w:lang w:val="en-GB"/>
        </w:rPr>
      </w:pPr>
      <w:r w:rsidRPr="00755C2A">
        <w:rPr>
          <w:lang w:val="en-GB"/>
        </w:rPr>
        <w:t>(3)</w:t>
      </w:r>
      <w:r w:rsidRPr="00755C2A">
        <w:rPr>
          <w:lang w:val="en-GB"/>
        </w:rPr>
        <w:tab/>
        <w:t xml:space="preserve">Transposition of those provisions into the relevant national legislation of the Contracting Parties to the 1998 Agreement not covered by the item (2). With this step such </w:t>
      </w:r>
      <w:bookmarkStart w:id="14" w:name="OLE_LINK11"/>
      <w:bookmarkStart w:id="15" w:name="OLE_LINK12"/>
      <w:bookmarkStart w:id="16" w:name="OLE_LINK13"/>
      <w:r w:rsidRPr="00755C2A">
        <w:rPr>
          <w:lang w:val="en-GB"/>
        </w:rPr>
        <w:t>Contracting Parties</w:t>
      </w:r>
      <w:bookmarkEnd w:id="14"/>
      <w:bookmarkEnd w:id="15"/>
      <w:bookmarkEnd w:id="16"/>
      <w:r w:rsidRPr="00755C2A">
        <w:rPr>
          <w:lang w:val="en-GB"/>
        </w:rPr>
        <w:t xml:space="preserve">, at least, should recognize the “global marking” as alternative to their national marking confirming compliance assessment provided that national compliance assessment procedure are </w:t>
      </w:r>
      <w:r w:rsidRPr="00755C2A">
        <w:rPr>
          <w:lang w:val="en-GB"/>
        </w:rPr>
        <w:lastRenderedPageBreak/>
        <w:t>fulfilled. It also may be expected that such Contracting Parties could come to the idea of recognition of compliance assessment results confirmed by other Contracting Parties.</w:t>
      </w:r>
    </w:p>
    <w:p w:rsidR="004F68AA" w:rsidRPr="006A7A69" w:rsidRDefault="002D33D1" w:rsidP="00FB04D8">
      <w:pPr>
        <w:pStyle w:val="SingleTxtG"/>
        <w:rPr>
          <w:snapToGrid w:val="0"/>
          <w:lang w:val="en-GB" w:eastAsia="ja-JP"/>
        </w:rPr>
      </w:pPr>
      <w:r w:rsidRPr="006A7A69">
        <w:rPr>
          <w:snapToGrid w:val="0"/>
          <w:lang w:val="en-GB" w:eastAsia="ja-JP"/>
        </w:rPr>
        <w:t>18.</w:t>
      </w:r>
      <w:r w:rsidRPr="006A7A69">
        <w:rPr>
          <w:snapToGrid w:val="0"/>
          <w:lang w:val="en-GB" w:eastAsia="ja-JP"/>
        </w:rPr>
        <w:tab/>
      </w:r>
      <w:r w:rsidR="00FB04D8" w:rsidRPr="006A7A69">
        <w:rPr>
          <w:snapToGrid w:val="0"/>
          <w:lang w:val="en-GB" w:eastAsia="ja-JP"/>
        </w:rPr>
        <w:t>The launch of the UN secure internet database for exchange of type approval documentation (DETA) w</w:t>
      </w:r>
      <w:r w:rsidR="00DB0D93" w:rsidRPr="006A7A69">
        <w:rPr>
          <w:snapToGrid w:val="0"/>
          <w:lang w:val="en-GB" w:eastAsia="ja-JP"/>
        </w:rPr>
        <w:t>ould</w:t>
      </w:r>
      <w:r w:rsidR="00FB04D8" w:rsidRPr="006A7A69">
        <w:rPr>
          <w:snapToGrid w:val="0"/>
          <w:lang w:val="en-GB" w:eastAsia="ja-JP"/>
        </w:rPr>
        <w:t xml:space="preserve"> open new opportunities for implementation and recognition of the tyre “global marking</w:t>
      </w:r>
      <w:bookmarkStart w:id="17" w:name="OLE_LINK14"/>
      <w:bookmarkStart w:id="18" w:name="OLE_LINK15"/>
      <w:r w:rsidR="00FB04D8" w:rsidRPr="006A7A69">
        <w:rPr>
          <w:snapToGrid w:val="0"/>
          <w:lang w:val="en-GB" w:eastAsia="ja-JP"/>
        </w:rPr>
        <w:t>”</w:t>
      </w:r>
      <w:r w:rsidR="00E30E84">
        <w:rPr>
          <w:snapToGrid w:val="0"/>
          <w:lang w:val="en-GB" w:eastAsia="ja-JP"/>
        </w:rPr>
        <w:t xml:space="preserve"> </w:t>
      </w:r>
      <w:r w:rsidR="00E30E84" w:rsidRPr="00FB04D8">
        <w:rPr>
          <w:snapToGrid w:val="0"/>
          <w:lang w:val="en-GB" w:eastAsia="ja-JP"/>
        </w:rPr>
        <w:t>(Reference: Revision 3 of the 1958 Agreement, Schedule 5 – document ECE/TRANS/WP.29/2016/2).</w:t>
      </w:r>
      <w:r w:rsidR="00DD707B" w:rsidRPr="006A7A69">
        <w:rPr>
          <w:snapToGrid w:val="0"/>
          <w:lang w:val="en-GB" w:eastAsia="ja-JP"/>
        </w:rPr>
        <w:t xml:space="preserve"> The possibilities for applications related to the </w:t>
      </w:r>
      <w:bookmarkEnd w:id="17"/>
      <w:bookmarkEnd w:id="18"/>
      <w:r w:rsidR="00DD707B" w:rsidRPr="006A7A69">
        <w:rPr>
          <w:snapToGrid w:val="0"/>
          <w:lang w:val="en-GB" w:eastAsia="ja-JP"/>
        </w:rPr>
        <w:t>tyre “global marking” could be further explored in the future</w:t>
      </w:r>
      <w:r w:rsidR="00FC6D26">
        <w:rPr>
          <w:snapToGrid w:val="0"/>
          <w:lang w:val="en-GB" w:eastAsia="ja-JP"/>
        </w:rPr>
        <w:t>.</w:t>
      </w:r>
    </w:p>
    <w:p w:rsidR="00753272" w:rsidRPr="006A7A69" w:rsidRDefault="00753272" w:rsidP="00753272">
      <w:pPr>
        <w:pStyle w:val="HChG"/>
        <w:tabs>
          <w:tab w:val="clear" w:pos="851"/>
        </w:tabs>
        <w:spacing w:line="240" w:lineRule="auto"/>
        <w:ind w:hanging="567"/>
        <w:rPr>
          <w:lang w:val="en-GB"/>
        </w:rPr>
      </w:pPr>
      <w:r w:rsidRPr="006A7A69">
        <w:rPr>
          <w:lang w:val="en-GB"/>
        </w:rPr>
        <w:t>V.</w:t>
      </w:r>
      <w:r w:rsidRPr="006A7A69">
        <w:rPr>
          <w:lang w:val="en-GB"/>
        </w:rPr>
        <w:tab/>
        <w:t>Request to the Contracting Parties</w:t>
      </w:r>
    </w:p>
    <w:p w:rsidR="00753272" w:rsidRPr="006A7A69" w:rsidRDefault="00753272" w:rsidP="00753272">
      <w:pPr>
        <w:pStyle w:val="SingleTxtG"/>
        <w:rPr>
          <w:snapToGrid w:val="0"/>
          <w:lang w:val="en-GB" w:eastAsia="ja-JP"/>
        </w:rPr>
      </w:pPr>
      <w:r w:rsidRPr="006A7A69">
        <w:rPr>
          <w:snapToGrid w:val="0"/>
          <w:lang w:val="en-GB" w:eastAsia="ja-JP"/>
        </w:rPr>
        <w:t>1</w:t>
      </w:r>
      <w:r w:rsidR="007C3EA2" w:rsidRPr="006A7A69">
        <w:rPr>
          <w:snapToGrid w:val="0"/>
          <w:lang w:val="en-GB" w:eastAsia="ja-JP"/>
        </w:rPr>
        <w:t>9</w:t>
      </w:r>
      <w:r w:rsidRPr="006A7A69">
        <w:rPr>
          <w:snapToGrid w:val="0"/>
          <w:lang w:val="en-GB" w:eastAsia="ja-JP"/>
        </w:rPr>
        <w:t>.</w:t>
      </w:r>
      <w:r w:rsidRPr="006A7A69">
        <w:rPr>
          <w:snapToGrid w:val="0"/>
          <w:lang w:val="en-GB" w:eastAsia="ja-JP"/>
        </w:rPr>
        <w:tab/>
      </w:r>
      <w:r w:rsidR="00EA0EDF" w:rsidRPr="006A7A69">
        <w:rPr>
          <w:snapToGrid w:val="0"/>
          <w:lang w:val="en-GB" w:eastAsia="ja-JP"/>
        </w:rPr>
        <w:t xml:space="preserve">The Russian Federation </w:t>
      </w:r>
      <w:r w:rsidR="00126F36">
        <w:rPr>
          <w:snapToGrid w:val="0"/>
          <w:lang w:val="en-GB" w:eastAsia="ja-JP"/>
        </w:rPr>
        <w:t>invites</w:t>
      </w:r>
      <w:r w:rsidR="00EA0EDF" w:rsidRPr="006A7A69">
        <w:rPr>
          <w:snapToGrid w:val="0"/>
          <w:lang w:val="en-GB" w:eastAsia="ja-JP"/>
        </w:rPr>
        <w:t xml:space="preserve"> the Contracting Parties to the 1998 Agreement to review this memorandum and assess, whether the approach for tyre “global marking” in UN GTR No. 16 can be supported and whether </w:t>
      </w:r>
      <w:r w:rsidR="00EB086B" w:rsidRPr="006A7A69">
        <w:rPr>
          <w:snapToGrid w:val="0"/>
          <w:lang w:val="en-GB" w:eastAsia="ja-JP"/>
        </w:rPr>
        <w:t xml:space="preserve">it </w:t>
      </w:r>
      <w:r w:rsidR="00EA0EDF" w:rsidRPr="006A7A69">
        <w:rPr>
          <w:snapToGrid w:val="0"/>
          <w:lang w:val="en-GB" w:eastAsia="ja-JP"/>
        </w:rPr>
        <w:t>would be reasonable</w:t>
      </w:r>
      <w:r w:rsidR="00EB086B" w:rsidRPr="006A7A69">
        <w:rPr>
          <w:snapToGrid w:val="0"/>
          <w:lang w:val="en-GB" w:eastAsia="ja-JP"/>
        </w:rPr>
        <w:t xml:space="preserve"> to </w:t>
      </w:r>
      <w:bookmarkStart w:id="19" w:name="OLE_LINK18"/>
      <w:bookmarkStart w:id="20" w:name="OLE_LINK19"/>
      <w:r w:rsidR="00EB086B" w:rsidRPr="006A7A69">
        <w:rPr>
          <w:snapToGrid w:val="0"/>
          <w:lang w:val="en-GB" w:eastAsia="ja-JP"/>
        </w:rPr>
        <w:t>recogni</w:t>
      </w:r>
      <w:r w:rsidR="007A2100" w:rsidRPr="006A7A69">
        <w:rPr>
          <w:snapToGrid w:val="0"/>
          <w:lang w:val="en-GB" w:eastAsia="ja-JP"/>
        </w:rPr>
        <w:t>z</w:t>
      </w:r>
      <w:r w:rsidR="00EB086B" w:rsidRPr="006A7A69">
        <w:rPr>
          <w:snapToGrid w:val="0"/>
          <w:lang w:val="en-GB" w:eastAsia="ja-JP"/>
        </w:rPr>
        <w:t xml:space="preserve">e </w:t>
      </w:r>
      <w:bookmarkEnd w:id="19"/>
      <w:bookmarkEnd w:id="20"/>
      <w:r w:rsidR="00EB086B" w:rsidRPr="006A7A69">
        <w:rPr>
          <w:snapToGrid w:val="0"/>
          <w:lang w:val="en-GB" w:eastAsia="ja-JP"/>
        </w:rPr>
        <w:t>tyre “global mark</w:t>
      </w:r>
      <w:r w:rsidR="003F0918" w:rsidRPr="00755C2A">
        <w:rPr>
          <w:lang w:val="en-GB"/>
        </w:rPr>
        <w:t>ing”</w:t>
      </w:r>
      <w:r w:rsidR="00EB086B" w:rsidRPr="006A7A69">
        <w:rPr>
          <w:snapToGrid w:val="0"/>
          <w:lang w:val="en-GB" w:eastAsia="ja-JP"/>
        </w:rPr>
        <w:t xml:space="preserve"> as alternative to </w:t>
      </w:r>
      <w:r w:rsidR="00242D32">
        <w:rPr>
          <w:snapToGrid w:val="0"/>
          <w:lang w:val="en-GB" w:eastAsia="ja-JP"/>
        </w:rPr>
        <w:t xml:space="preserve">the existing </w:t>
      </w:r>
      <w:r w:rsidR="00EB086B" w:rsidRPr="006A7A69">
        <w:rPr>
          <w:snapToGrid w:val="0"/>
          <w:lang w:val="en-GB" w:eastAsia="ja-JP"/>
        </w:rPr>
        <w:t>national</w:t>
      </w:r>
      <w:r w:rsidR="00242D32">
        <w:rPr>
          <w:snapToGrid w:val="0"/>
          <w:lang w:val="en-GB" w:eastAsia="ja-JP"/>
        </w:rPr>
        <w:t>/regional</w:t>
      </w:r>
      <w:r w:rsidR="00EB086B" w:rsidRPr="006A7A69">
        <w:rPr>
          <w:snapToGrid w:val="0"/>
          <w:lang w:val="en-GB" w:eastAsia="ja-JP"/>
        </w:rPr>
        <w:t xml:space="preserve"> marking confirming compliance assessment.</w:t>
      </w:r>
    </w:p>
    <w:p w:rsidR="007A2100" w:rsidRPr="00755C2A" w:rsidRDefault="007456F8" w:rsidP="007A2100">
      <w:pPr>
        <w:pStyle w:val="SingleTxtG"/>
        <w:rPr>
          <w:lang w:val="en-GB"/>
        </w:rPr>
      </w:pPr>
      <w:bookmarkStart w:id="21" w:name="OLE_LINK20"/>
      <w:bookmarkStart w:id="22" w:name="OLE_LINK21"/>
      <w:r>
        <w:rPr>
          <w:iCs/>
          <w:snapToGrid w:val="0"/>
          <w:lang w:val="en-GB" w:eastAsia="ja-JP"/>
        </w:rPr>
        <w:t xml:space="preserve">The comments of GRRF experts are very much welcomed. </w:t>
      </w:r>
      <w:r w:rsidR="007A2100" w:rsidRPr="006A7A69">
        <w:rPr>
          <w:iCs/>
          <w:snapToGrid w:val="0"/>
          <w:lang w:val="en-GB" w:eastAsia="ja-JP"/>
        </w:rPr>
        <w:t xml:space="preserve">Please send your feedback, especially in case of opposition to this approach, to Mr. Andrei </w:t>
      </w:r>
      <w:bookmarkEnd w:id="21"/>
      <w:bookmarkEnd w:id="22"/>
      <w:proofErr w:type="spellStart"/>
      <w:r w:rsidR="007A2100" w:rsidRPr="006A7A69">
        <w:rPr>
          <w:iCs/>
          <w:snapToGrid w:val="0"/>
          <w:lang w:val="en-GB" w:eastAsia="ja-JP"/>
        </w:rPr>
        <w:t>Bocharov</w:t>
      </w:r>
      <w:proofErr w:type="spellEnd"/>
      <w:r w:rsidR="007A2100" w:rsidRPr="006A7A69">
        <w:rPr>
          <w:iCs/>
          <w:snapToGrid w:val="0"/>
          <w:lang w:val="en-GB" w:eastAsia="ja-JP"/>
        </w:rPr>
        <w:t xml:space="preserve"> (ab@satrfond.ru).</w:t>
      </w:r>
    </w:p>
    <w:p w:rsidR="00753272" w:rsidRPr="00755C2A" w:rsidRDefault="00753272" w:rsidP="00753272">
      <w:pPr>
        <w:pStyle w:val="SingleTxtG"/>
        <w:rPr>
          <w:lang w:val="en-GB"/>
        </w:rPr>
      </w:pPr>
    </w:p>
    <w:p w:rsidR="00EA07A5" w:rsidRPr="006A7A69" w:rsidRDefault="002C0ADE" w:rsidP="002D33D1">
      <w:pPr>
        <w:pStyle w:val="SingleTxtG"/>
        <w:rPr>
          <w:snapToGrid w:val="0"/>
          <w:lang w:val="en-GB" w:eastAsia="ja-JP"/>
        </w:rPr>
      </w:pPr>
      <w:r w:rsidRPr="006A7A69">
        <w:rPr>
          <w:snapToGrid w:val="0"/>
          <w:lang w:val="en-GB" w:eastAsia="ja-JP"/>
        </w:rPr>
        <w:tab/>
        <w:t xml:space="preserve"> </w:t>
      </w:r>
    </w:p>
    <w:p w:rsidR="004F6BD3" w:rsidRPr="00755C2A" w:rsidRDefault="004F6BD3" w:rsidP="00AB0FC7">
      <w:pPr>
        <w:pStyle w:val="SingleTxtG"/>
        <w:rPr>
          <w:lang w:val="en-GB"/>
        </w:rPr>
      </w:pPr>
    </w:p>
    <w:p w:rsidR="00CB73FB" w:rsidRPr="006A7A69" w:rsidRDefault="00CB73FB" w:rsidP="00841D60">
      <w:pPr>
        <w:pStyle w:val="SingleTxtG"/>
        <w:jc w:val="center"/>
        <w:rPr>
          <w:bCs/>
          <w:lang w:val="en-GB"/>
        </w:rPr>
      </w:pPr>
    </w:p>
    <w:p w:rsidR="0041067B" w:rsidRPr="006A7A69" w:rsidRDefault="00841D60" w:rsidP="00841D60">
      <w:pPr>
        <w:pStyle w:val="SingleTxtG"/>
        <w:jc w:val="center"/>
        <w:rPr>
          <w:bCs/>
          <w:lang w:val="en-GB"/>
        </w:rPr>
      </w:pPr>
      <w:r w:rsidRPr="006A7A69">
        <w:rPr>
          <w:bCs/>
          <w:lang w:val="en-GB"/>
        </w:rPr>
        <w:t>_____</w:t>
      </w:r>
      <w:r w:rsidR="00004D54" w:rsidRPr="006A7A69">
        <w:rPr>
          <w:bCs/>
          <w:lang w:val="en-GB"/>
        </w:rPr>
        <w:t>_</w:t>
      </w:r>
      <w:r w:rsidRPr="006A7A69">
        <w:rPr>
          <w:bCs/>
          <w:lang w:val="en-GB"/>
        </w:rPr>
        <w:t>_____</w:t>
      </w:r>
    </w:p>
    <w:sectPr w:rsidR="0041067B" w:rsidRPr="006A7A69" w:rsidSect="00AF06B5">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D5" w:rsidRDefault="008439D5"/>
  </w:endnote>
  <w:endnote w:type="continuationSeparator" w:id="0">
    <w:p w:rsidR="008439D5" w:rsidRDefault="008439D5"/>
  </w:endnote>
  <w:endnote w:type="continuationNotice" w:id="1">
    <w:p w:rsidR="008439D5" w:rsidRDefault="00843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9D" w:rsidRPr="009A6A9E" w:rsidRDefault="003F0918" w:rsidP="009A6A9E">
    <w:pPr>
      <w:pStyle w:val="Footer"/>
      <w:tabs>
        <w:tab w:val="right" w:pos="9638"/>
      </w:tabs>
    </w:pPr>
    <w:r w:rsidRPr="009A6A9E">
      <w:rPr>
        <w:b/>
        <w:sz w:val="18"/>
      </w:rPr>
      <w:fldChar w:fldCharType="begin"/>
    </w:r>
    <w:r w:rsidR="009B629D" w:rsidRPr="009A6A9E">
      <w:rPr>
        <w:b/>
        <w:sz w:val="18"/>
      </w:rPr>
      <w:instrText xml:space="preserve"> PAGE  \* MERGEFORMAT </w:instrText>
    </w:r>
    <w:r w:rsidRPr="009A6A9E">
      <w:rPr>
        <w:b/>
        <w:sz w:val="18"/>
      </w:rPr>
      <w:fldChar w:fldCharType="separate"/>
    </w:r>
    <w:r w:rsidR="007704B9">
      <w:rPr>
        <w:b/>
        <w:noProof/>
        <w:sz w:val="18"/>
      </w:rPr>
      <w:t>2</w:t>
    </w:r>
    <w:r w:rsidRPr="009A6A9E">
      <w:rPr>
        <w:b/>
        <w:sz w:val="18"/>
      </w:rPr>
      <w:fldChar w:fldCharType="end"/>
    </w:r>
    <w:r w:rsidR="009B629D">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9D" w:rsidRPr="009A6A9E" w:rsidRDefault="009B629D" w:rsidP="009A6A9E">
    <w:pPr>
      <w:pStyle w:val="Footer"/>
      <w:tabs>
        <w:tab w:val="right" w:pos="9638"/>
      </w:tabs>
      <w:rPr>
        <w:b/>
        <w:sz w:val="18"/>
      </w:rPr>
    </w:pPr>
    <w:r>
      <w:tab/>
    </w:r>
    <w:r w:rsidR="003F0918" w:rsidRPr="009A6A9E">
      <w:rPr>
        <w:b/>
        <w:sz w:val="18"/>
      </w:rPr>
      <w:fldChar w:fldCharType="begin"/>
    </w:r>
    <w:r w:rsidRPr="009A6A9E">
      <w:rPr>
        <w:b/>
        <w:sz w:val="18"/>
      </w:rPr>
      <w:instrText xml:space="preserve"> PAGE  \* MERGEFORMAT </w:instrText>
    </w:r>
    <w:r w:rsidR="003F0918" w:rsidRPr="009A6A9E">
      <w:rPr>
        <w:b/>
        <w:sz w:val="18"/>
      </w:rPr>
      <w:fldChar w:fldCharType="separate"/>
    </w:r>
    <w:r w:rsidR="007704B9">
      <w:rPr>
        <w:b/>
        <w:noProof/>
        <w:sz w:val="18"/>
      </w:rPr>
      <w:t>1</w:t>
    </w:r>
    <w:r w:rsidR="003F0918"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9D" w:rsidRPr="00106C6B" w:rsidRDefault="00D25052" w:rsidP="00070A6D">
    <w:pPr>
      <w:pStyle w:val="Footer"/>
      <w:rPr>
        <w:sz w:val="20"/>
      </w:rPr>
    </w:pPr>
    <w:r w:rsidRPr="00755C2A">
      <w:rPr>
        <w:noProof/>
        <w:sz w:val="20"/>
        <w:lang w:val="en-US"/>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0"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r w:rsidR="009B629D" w:rsidRPr="004660E3">
      <w:rPr>
        <w:sz w:val="20"/>
      </w:rPr>
      <w:t>GE.1</w:t>
    </w:r>
    <w:r w:rsidR="009B629D">
      <w:rP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D5" w:rsidRPr="00D27D5E" w:rsidRDefault="008439D5" w:rsidP="00D27D5E">
      <w:pPr>
        <w:tabs>
          <w:tab w:val="right" w:pos="2155"/>
        </w:tabs>
        <w:spacing w:after="80"/>
        <w:ind w:left="680"/>
        <w:rPr>
          <w:u w:val="single"/>
        </w:rPr>
      </w:pPr>
      <w:r>
        <w:rPr>
          <w:u w:val="single"/>
        </w:rPr>
        <w:tab/>
      </w:r>
    </w:p>
  </w:footnote>
  <w:footnote w:type="continuationSeparator" w:id="0">
    <w:p w:rsidR="008439D5" w:rsidRDefault="008439D5">
      <w:r>
        <w:rPr>
          <w:u w:val="single"/>
        </w:rPr>
        <w:tab/>
      </w:r>
      <w:r>
        <w:rPr>
          <w:u w:val="single"/>
        </w:rPr>
        <w:tab/>
      </w:r>
      <w:r>
        <w:rPr>
          <w:u w:val="single"/>
        </w:rPr>
        <w:tab/>
      </w:r>
      <w:r>
        <w:rPr>
          <w:u w:val="single"/>
        </w:rPr>
        <w:tab/>
      </w:r>
    </w:p>
  </w:footnote>
  <w:footnote w:type="continuationNotice" w:id="1">
    <w:p w:rsidR="008439D5" w:rsidRDefault="008439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9D" w:rsidRPr="00AF06B5" w:rsidRDefault="009B629D" w:rsidP="00AF06B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9D" w:rsidRPr="00AF06B5" w:rsidRDefault="009B629D" w:rsidP="00AF06B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408DC4"/>
    <w:lvl w:ilvl="0">
      <w:start w:val="1"/>
      <w:numFmt w:val="decimal"/>
      <w:lvlText w:val="%1."/>
      <w:lvlJc w:val="left"/>
      <w:pPr>
        <w:tabs>
          <w:tab w:val="num" w:pos="1492"/>
        </w:tabs>
        <w:ind w:left="1492" w:hanging="360"/>
      </w:pPr>
    </w:lvl>
  </w:abstractNum>
  <w:abstractNum w:abstractNumId="1">
    <w:nsid w:val="FFFFFF7D"/>
    <w:multiLevelType w:val="singleLevel"/>
    <w:tmpl w:val="6DE69DB0"/>
    <w:lvl w:ilvl="0">
      <w:start w:val="1"/>
      <w:numFmt w:val="decimal"/>
      <w:lvlText w:val="%1."/>
      <w:lvlJc w:val="left"/>
      <w:pPr>
        <w:tabs>
          <w:tab w:val="num" w:pos="1209"/>
        </w:tabs>
        <w:ind w:left="1209" w:hanging="360"/>
      </w:pPr>
    </w:lvl>
  </w:abstractNum>
  <w:abstractNum w:abstractNumId="2">
    <w:nsid w:val="FFFFFF7E"/>
    <w:multiLevelType w:val="singleLevel"/>
    <w:tmpl w:val="1F0EBAF8"/>
    <w:lvl w:ilvl="0">
      <w:start w:val="1"/>
      <w:numFmt w:val="decimal"/>
      <w:lvlText w:val="%1."/>
      <w:lvlJc w:val="left"/>
      <w:pPr>
        <w:tabs>
          <w:tab w:val="num" w:pos="926"/>
        </w:tabs>
        <w:ind w:left="926" w:hanging="360"/>
      </w:pPr>
    </w:lvl>
  </w:abstractNum>
  <w:abstractNum w:abstractNumId="3">
    <w:nsid w:val="FFFFFF7F"/>
    <w:multiLevelType w:val="singleLevel"/>
    <w:tmpl w:val="D974F4A0"/>
    <w:lvl w:ilvl="0">
      <w:start w:val="1"/>
      <w:numFmt w:val="decimal"/>
      <w:lvlText w:val="%1."/>
      <w:lvlJc w:val="left"/>
      <w:pPr>
        <w:tabs>
          <w:tab w:val="num" w:pos="643"/>
        </w:tabs>
        <w:ind w:left="643" w:hanging="360"/>
      </w:pPr>
    </w:lvl>
  </w:abstractNum>
  <w:abstractNum w:abstractNumId="4">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CA9A2C"/>
    <w:lvl w:ilvl="0">
      <w:start w:val="1"/>
      <w:numFmt w:val="decimal"/>
      <w:lvlText w:val="%1."/>
      <w:lvlJc w:val="left"/>
      <w:pPr>
        <w:tabs>
          <w:tab w:val="num" w:pos="360"/>
        </w:tabs>
        <w:ind w:left="360" w:hanging="360"/>
      </w:pPr>
    </w:lvl>
  </w:abstractNum>
  <w:abstractNum w:abstractNumId="9">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nsid w:val="044F05EA"/>
    <w:multiLevelType w:val="hybridMultilevel"/>
    <w:tmpl w:val="0A500744"/>
    <w:lvl w:ilvl="0" w:tplc="0E620822">
      <w:start w:val="1"/>
      <w:numFmt w:val="bullet"/>
      <w:lvlText w:val="•"/>
      <w:lvlJc w:val="left"/>
      <w:pPr>
        <w:tabs>
          <w:tab w:val="num" w:pos="720"/>
        </w:tabs>
        <w:ind w:left="720" w:hanging="360"/>
      </w:pPr>
      <w:rPr>
        <w:rFonts w:ascii="Arial" w:hAnsi="Arial" w:hint="default"/>
      </w:rPr>
    </w:lvl>
    <w:lvl w:ilvl="1" w:tplc="4AF63622" w:tentative="1">
      <w:start w:val="1"/>
      <w:numFmt w:val="bullet"/>
      <w:lvlText w:val="•"/>
      <w:lvlJc w:val="left"/>
      <w:pPr>
        <w:tabs>
          <w:tab w:val="num" w:pos="1440"/>
        </w:tabs>
        <w:ind w:left="1440" w:hanging="360"/>
      </w:pPr>
      <w:rPr>
        <w:rFonts w:ascii="Arial" w:hAnsi="Arial" w:hint="default"/>
      </w:rPr>
    </w:lvl>
    <w:lvl w:ilvl="2" w:tplc="297A9758" w:tentative="1">
      <w:start w:val="1"/>
      <w:numFmt w:val="bullet"/>
      <w:lvlText w:val="•"/>
      <w:lvlJc w:val="left"/>
      <w:pPr>
        <w:tabs>
          <w:tab w:val="num" w:pos="2160"/>
        </w:tabs>
        <w:ind w:left="2160" w:hanging="360"/>
      </w:pPr>
      <w:rPr>
        <w:rFonts w:ascii="Arial" w:hAnsi="Arial" w:hint="default"/>
      </w:rPr>
    </w:lvl>
    <w:lvl w:ilvl="3" w:tplc="800027D0" w:tentative="1">
      <w:start w:val="1"/>
      <w:numFmt w:val="bullet"/>
      <w:lvlText w:val="•"/>
      <w:lvlJc w:val="left"/>
      <w:pPr>
        <w:tabs>
          <w:tab w:val="num" w:pos="2880"/>
        </w:tabs>
        <w:ind w:left="2880" w:hanging="360"/>
      </w:pPr>
      <w:rPr>
        <w:rFonts w:ascii="Arial" w:hAnsi="Arial" w:hint="default"/>
      </w:rPr>
    </w:lvl>
    <w:lvl w:ilvl="4" w:tplc="DC424FC2" w:tentative="1">
      <w:start w:val="1"/>
      <w:numFmt w:val="bullet"/>
      <w:lvlText w:val="•"/>
      <w:lvlJc w:val="left"/>
      <w:pPr>
        <w:tabs>
          <w:tab w:val="num" w:pos="3600"/>
        </w:tabs>
        <w:ind w:left="3600" w:hanging="360"/>
      </w:pPr>
      <w:rPr>
        <w:rFonts w:ascii="Arial" w:hAnsi="Arial" w:hint="default"/>
      </w:rPr>
    </w:lvl>
    <w:lvl w:ilvl="5" w:tplc="530A05B0" w:tentative="1">
      <w:start w:val="1"/>
      <w:numFmt w:val="bullet"/>
      <w:lvlText w:val="•"/>
      <w:lvlJc w:val="left"/>
      <w:pPr>
        <w:tabs>
          <w:tab w:val="num" w:pos="4320"/>
        </w:tabs>
        <w:ind w:left="4320" w:hanging="360"/>
      </w:pPr>
      <w:rPr>
        <w:rFonts w:ascii="Arial" w:hAnsi="Arial" w:hint="default"/>
      </w:rPr>
    </w:lvl>
    <w:lvl w:ilvl="6" w:tplc="879028F0" w:tentative="1">
      <w:start w:val="1"/>
      <w:numFmt w:val="bullet"/>
      <w:lvlText w:val="•"/>
      <w:lvlJc w:val="left"/>
      <w:pPr>
        <w:tabs>
          <w:tab w:val="num" w:pos="5040"/>
        </w:tabs>
        <w:ind w:left="5040" w:hanging="360"/>
      </w:pPr>
      <w:rPr>
        <w:rFonts w:ascii="Arial" w:hAnsi="Arial" w:hint="default"/>
      </w:rPr>
    </w:lvl>
    <w:lvl w:ilvl="7" w:tplc="D528E1F4" w:tentative="1">
      <w:start w:val="1"/>
      <w:numFmt w:val="bullet"/>
      <w:lvlText w:val="•"/>
      <w:lvlJc w:val="left"/>
      <w:pPr>
        <w:tabs>
          <w:tab w:val="num" w:pos="5760"/>
        </w:tabs>
        <w:ind w:left="5760" w:hanging="360"/>
      </w:pPr>
      <w:rPr>
        <w:rFonts w:ascii="Arial" w:hAnsi="Arial" w:hint="default"/>
      </w:rPr>
    </w:lvl>
    <w:lvl w:ilvl="8" w:tplc="CB8C4FCC" w:tentative="1">
      <w:start w:val="1"/>
      <w:numFmt w:val="bullet"/>
      <w:lvlText w:val="•"/>
      <w:lvlJc w:val="left"/>
      <w:pPr>
        <w:tabs>
          <w:tab w:val="num" w:pos="6480"/>
        </w:tabs>
        <w:ind w:left="6480" w:hanging="360"/>
      </w:pPr>
      <w:rPr>
        <w:rFonts w:ascii="Arial" w:hAnsi="Arial" w:hint="default"/>
      </w:rPr>
    </w:lvl>
  </w:abstractNum>
  <w:abstractNum w:abstractNumId="11">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5">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6">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1">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2EE82852"/>
    <w:multiLevelType w:val="hybridMultilevel"/>
    <w:tmpl w:val="D97CFDCE"/>
    <w:lvl w:ilvl="0" w:tplc="9376B6C8">
      <w:start w:val="1"/>
      <w:numFmt w:val="bullet"/>
      <w:lvlText w:val="•"/>
      <w:lvlJc w:val="left"/>
      <w:pPr>
        <w:tabs>
          <w:tab w:val="num" w:pos="720"/>
        </w:tabs>
        <w:ind w:left="720" w:hanging="360"/>
      </w:pPr>
      <w:rPr>
        <w:rFonts w:ascii="Arial" w:hAnsi="Arial" w:hint="default"/>
      </w:rPr>
    </w:lvl>
    <w:lvl w:ilvl="1" w:tplc="90B87AD6" w:tentative="1">
      <w:start w:val="1"/>
      <w:numFmt w:val="bullet"/>
      <w:lvlText w:val="•"/>
      <w:lvlJc w:val="left"/>
      <w:pPr>
        <w:tabs>
          <w:tab w:val="num" w:pos="1440"/>
        </w:tabs>
        <w:ind w:left="1440" w:hanging="360"/>
      </w:pPr>
      <w:rPr>
        <w:rFonts w:ascii="Arial" w:hAnsi="Arial" w:hint="default"/>
      </w:rPr>
    </w:lvl>
    <w:lvl w:ilvl="2" w:tplc="C80E7214" w:tentative="1">
      <w:start w:val="1"/>
      <w:numFmt w:val="bullet"/>
      <w:lvlText w:val="•"/>
      <w:lvlJc w:val="left"/>
      <w:pPr>
        <w:tabs>
          <w:tab w:val="num" w:pos="2160"/>
        </w:tabs>
        <w:ind w:left="2160" w:hanging="360"/>
      </w:pPr>
      <w:rPr>
        <w:rFonts w:ascii="Arial" w:hAnsi="Arial" w:hint="default"/>
      </w:rPr>
    </w:lvl>
    <w:lvl w:ilvl="3" w:tplc="E9169DDA" w:tentative="1">
      <w:start w:val="1"/>
      <w:numFmt w:val="bullet"/>
      <w:lvlText w:val="•"/>
      <w:lvlJc w:val="left"/>
      <w:pPr>
        <w:tabs>
          <w:tab w:val="num" w:pos="2880"/>
        </w:tabs>
        <w:ind w:left="2880" w:hanging="360"/>
      </w:pPr>
      <w:rPr>
        <w:rFonts w:ascii="Arial" w:hAnsi="Arial" w:hint="default"/>
      </w:rPr>
    </w:lvl>
    <w:lvl w:ilvl="4" w:tplc="63148F6C" w:tentative="1">
      <w:start w:val="1"/>
      <w:numFmt w:val="bullet"/>
      <w:lvlText w:val="•"/>
      <w:lvlJc w:val="left"/>
      <w:pPr>
        <w:tabs>
          <w:tab w:val="num" w:pos="3600"/>
        </w:tabs>
        <w:ind w:left="3600" w:hanging="360"/>
      </w:pPr>
      <w:rPr>
        <w:rFonts w:ascii="Arial" w:hAnsi="Arial" w:hint="default"/>
      </w:rPr>
    </w:lvl>
    <w:lvl w:ilvl="5" w:tplc="B7FE0998" w:tentative="1">
      <w:start w:val="1"/>
      <w:numFmt w:val="bullet"/>
      <w:lvlText w:val="•"/>
      <w:lvlJc w:val="left"/>
      <w:pPr>
        <w:tabs>
          <w:tab w:val="num" w:pos="4320"/>
        </w:tabs>
        <w:ind w:left="4320" w:hanging="360"/>
      </w:pPr>
      <w:rPr>
        <w:rFonts w:ascii="Arial" w:hAnsi="Arial" w:hint="default"/>
      </w:rPr>
    </w:lvl>
    <w:lvl w:ilvl="6" w:tplc="61208728" w:tentative="1">
      <w:start w:val="1"/>
      <w:numFmt w:val="bullet"/>
      <w:lvlText w:val="•"/>
      <w:lvlJc w:val="left"/>
      <w:pPr>
        <w:tabs>
          <w:tab w:val="num" w:pos="5040"/>
        </w:tabs>
        <w:ind w:left="5040" w:hanging="360"/>
      </w:pPr>
      <w:rPr>
        <w:rFonts w:ascii="Arial" w:hAnsi="Arial" w:hint="default"/>
      </w:rPr>
    </w:lvl>
    <w:lvl w:ilvl="7" w:tplc="70444BD4" w:tentative="1">
      <w:start w:val="1"/>
      <w:numFmt w:val="bullet"/>
      <w:lvlText w:val="•"/>
      <w:lvlJc w:val="left"/>
      <w:pPr>
        <w:tabs>
          <w:tab w:val="num" w:pos="5760"/>
        </w:tabs>
        <w:ind w:left="5760" w:hanging="360"/>
      </w:pPr>
      <w:rPr>
        <w:rFonts w:ascii="Arial" w:hAnsi="Arial" w:hint="default"/>
      </w:rPr>
    </w:lvl>
    <w:lvl w:ilvl="8" w:tplc="8E70E254" w:tentative="1">
      <w:start w:val="1"/>
      <w:numFmt w:val="bullet"/>
      <w:lvlText w:val="•"/>
      <w:lvlJc w:val="left"/>
      <w:pPr>
        <w:tabs>
          <w:tab w:val="num" w:pos="6480"/>
        </w:tabs>
        <w:ind w:left="6480" w:hanging="360"/>
      </w:pPr>
      <w:rPr>
        <w:rFonts w:ascii="Arial" w:hAnsi="Arial" w:hint="default"/>
      </w:rPr>
    </w:lvl>
  </w:abstractNum>
  <w:abstractNum w:abstractNumId="23">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8">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1">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2">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3">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39A2519"/>
    <w:multiLevelType w:val="hybridMultilevel"/>
    <w:tmpl w:val="F0EE7226"/>
    <w:lvl w:ilvl="0" w:tplc="04190017">
      <w:start w:val="1"/>
      <w:numFmt w:val="lowerLetter"/>
      <w:lvlText w:val="%1)"/>
      <w:lvlJc w:val="left"/>
      <w:pPr>
        <w:ind w:left="2061" w:hanging="360"/>
      </w:p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8">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6"/>
  </w:num>
  <w:num w:numId="2">
    <w:abstractNumId w:val="2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28"/>
  </w:num>
  <w:num w:numId="17">
    <w:abstractNumId w:val="26"/>
  </w:num>
  <w:num w:numId="18">
    <w:abstractNumId w:val="30"/>
  </w:num>
  <w:num w:numId="19">
    <w:abstractNumId w:val="23"/>
  </w:num>
  <w:num w:numId="20">
    <w:abstractNumId w:val="21"/>
  </w:num>
  <w:num w:numId="21">
    <w:abstractNumId w:val="24"/>
  </w:num>
  <w:num w:numId="22">
    <w:abstractNumId w:val="29"/>
  </w:num>
  <w:num w:numId="23">
    <w:abstractNumId w:val="32"/>
  </w:num>
  <w:num w:numId="24">
    <w:abstractNumId w:val="15"/>
  </w:num>
  <w:num w:numId="25">
    <w:abstractNumId w:val="18"/>
  </w:num>
  <w:num w:numId="26">
    <w:abstractNumId w:val="34"/>
  </w:num>
  <w:num w:numId="27">
    <w:abstractNumId w:val="31"/>
  </w:num>
  <w:num w:numId="28">
    <w:abstractNumId w:val="20"/>
  </w:num>
  <w:num w:numId="29">
    <w:abstractNumId w:val="16"/>
  </w:num>
  <w:num w:numId="30">
    <w:abstractNumId w:val="38"/>
  </w:num>
  <w:num w:numId="31">
    <w:abstractNumId w:val="17"/>
  </w:num>
  <w:num w:numId="32">
    <w:abstractNumId w:val="35"/>
  </w:num>
  <w:num w:numId="33">
    <w:abstractNumId w:val="33"/>
  </w:num>
  <w:num w:numId="34">
    <w:abstractNumId w:val="19"/>
  </w:num>
  <w:num w:numId="35">
    <w:abstractNumId w:val="39"/>
  </w:num>
  <w:num w:numId="36">
    <w:abstractNumId w:val="12"/>
  </w:num>
  <w:num w:numId="37">
    <w:abstractNumId w:val="27"/>
  </w:num>
  <w:num w:numId="38">
    <w:abstractNumId w:val="37"/>
  </w:num>
  <w:num w:numId="39">
    <w:abstractNumId w:val="22"/>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2"/>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461E"/>
    <w:rsid w:val="00035F50"/>
    <w:rsid w:val="00035FF2"/>
    <w:rsid w:val="000403DA"/>
    <w:rsid w:val="00040DFF"/>
    <w:rsid w:val="000434A9"/>
    <w:rsid w:val="00044002"/>
    <w:rsid w:val="0004680B"/>
    <w:rsid w:val="00052C97"/>
    <w:rsid w:val="00052F65"/>
    <w:rsid w:val="00053AD5"/>
    <w:rsid w:val="00056173"/>
    <w:rsid w:val="00056841"/>
    <w:rsid w:val="000571C0"/>
    <w:rsid w:val="00057396"/>
    <w:rsid w:val="00057CFF"/>
    <w:rsid w:val="000620D8"/>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1FD2"/>
    <w:rsid w:val="000C2850"/>
    <w:rsid w:val="000C376D"/>
    <w:rsid w:val="000C62A5"/>
    <w:rsid w:val="000D0093"/>
    <w:rsid w:val="000D0435"/>
    <w:rsid w:val="000D053C"/>
    <w:rsid w:val="000D1046"/>
    <w:rsid w:val="000D22C8"/>
    <w:rsid w:val="000D2C26"/>
    <w:rsid w:val="000D4C4A"/>
    <w:rsid w:val="000E2333"/>
    <w:rsid w:val="000E40FD"/>
    <w:rsid w:val="000E4DEA"/>
    <w:rsid w:val="000E5B23"/>
    <w:rsid w:val="000F0B51"/>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6F36"/>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622D"/>
    <w:rsid w:val="001570A0"/>
    <w:rsid w:val="00160540"/>
    <w:rsid w:val="00161A5C"/>
    <w:rsid w:val="00162C1A"/>
    <w:rsid w:val="00163702"/>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1A4D"/>
    <w:rsid w:val="001B2B2E"/>
    <w:rsid w:val="001B6F40"/>
    <w:rsid w:val="001C1595"/>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656"/>
    <w:rsid w:val="001E3E19"/>
    <w:rsid w:val="001E3EB5"/>
    <w:rsid w:val="001E3FEB"/>
    <w:rsid w:val="001E4A02"/>
    <w:rsid w:val="001E4BA1"/>
    <w:rsid w:val="001E733B"/>
    <w:rsid w:val="001E758F"/>
    <w:rsid w:val="001E7907"/>
    <w:rsid w:val="001E7B6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945"/>
    <w:rsid w:val="00234F39"/>
    <w:rsid w:val="00235EA2"/>
    <w:rsid w:val="00236080"/>
    <w:rsid w:val="00236A96"/>
    <w:rsid w:val="00236B01"/>
    <w:rsid w:val="002375DC"/>
    <w:rsid w:val="00237DEF"/>
    <w:rsid w:val="00240CE4"/>
    <w:rsid w:val="002414BC"/>
    <w:rsid w:val="0024298F"/>
    <w:rsid w:val="00242D32"/>
    <w:rsid w:val="00244494"/>
    <w:rsid w:val="00244861"/>
    <w:rsid w:val="00244B9C"/>
    <w:rsid w:val="00246D93"/>
    <w:rsid w:val="00247143"/>
    <w:rsid w:val="00251356"/>
    <w:rsid w:val="00251FEA"/>
    <w:rsid w:val="002528D2"/>
    <w:rsid w:val="002558B3"/>
    <w:rsid w:val="00255B35"/>
    <w:rsid w:val="00256BE1"/>
    <w:rsid w:val="00256C32"/>
    <w:rsid w:val="002571D9"/>
    <w:rsid w:val="00257EDD"/>
    <w:rsid w:val="0026002A"/>
    <w:rsid w:val="0026282B"/>
    <w:rsid w:val="0026323B"/>
    <w:rsid w:val="00263785"/>
    <w:rsid w:val="00264ABF"/>
    <w:rsid w:val="002659F1"/>
    <w:rsid w:val="0026653D"/>
    <w:rsid w:val="00266AA5"/>
    <w:rsid w:val="00267552"/>
    <w:rsid w:val="00271C7C"/>
    <w:rsid w:val="00273210"/>
    <w:rsid w:val="002736BC"/>
    <w:rsid w:val="00275704"/>
    <w:rsid w:val="00275CE6"/>
    <w:rsid w:val="00280B52"/>
    <w:rsid w:val="00281F8D"/>
    <w:rsid w:val="002821A4"/>
    <w:rsid w:val="00282B0D"/>
    <w:rsid w:val="00283062"/>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620"/>
    <w:rsid w:val="002A478E"/>
    <w:rsid w:val="002A49E3"/>
    <w:rsid w:val="002A566E"/>
    <w:rsid w:val="002A5775"/>
    <w:rsid w:val="002A58DE"/>
    <w:rsid w:val="002A5D07"/>
    <w:rsid w:val="002B1A69"/>
    <w:rsid w:val="002B2097"/>
    <w:rsid w:val="002B3A12"/>
    <w:rsid w:val="002B49CF"/>
    <w:rsid w:val="002B4C06"/>
    <w:rsid w:val="002B50B3"/>
    <w:rsid w:val="002B5D55"/>
    <w:rsid w:val="002B678A"/>
    <w:rsid w:val="002B6B5B"/>
    <w:rsid w:val="002C0ADE"/>
    <w:rsid w:val="002C2BCA"/>
    <w:rsid w:val="002C2DDE"/>
    <w:rsid w:val="002C3770"/>
    <w:rsid w:val="002C48F0"/>
    <w:rsid w:val="002C52F8"/>
    <w:rsid w:val="002D194A"/>
    <w:rsid w:val="002D1E85"/>
    <w:rsid w:val="002D25F8"/>
    <w:rsid w:val="002D2D6F"/>
    <w:rsid w:val="002D2DBC"/>
    <w:rsid w:val="002D30C5"/>
    <w:rsid w:val="002D33D1"/>
    <w:rsid w:val="002D505E"/>
    <w:rsid w:val="002D51FA"/>
    <w:rsid w:val="002D5BA8"/>
    <w:rsid w:val="002D7E40"/>
    <w:rsid w:val="002E0FCE"/>
    <w:rsid w:val="002E130D"/>
    <w:rsid w:val="002E289D"/>
    <w:rsid w:val="002E32C1"/>
    <w:rsid w:val="002E36D6"/>
    <w:rsid w:val="002E6364"/>
    <w:rsid w:val="002F03FC"/>
    <w:rsid w:val="002F149D"/>
    <w:rsid w:val="002F32A9"/>
    <w:rsid w:val="002F7163"/>
    <w:rsid w:val="002F754A"/>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4FA6"/>
    <w:rsid w:val="00335D8A"/>
    <w:rsid w:val="003360FB"/>
    <w:rsid w:val="00336E96"/>
    <w:rsid w:val="003373EC"/>
    <w:rsid w:val="00337A82"/>
    <w:rsid w:val="00340C35"/>
    <w:rsid w:val="003417C9"/>
    <w:rsid w:val="00341A51"/>
    <w:rsid w:val="00342FE6"/>
    <w:rsid w:val="003433EF"/>
    <w:rsid w:val="00343EC0"/>
    <w:rsid w:val="00344278"/>
    <w:rsid w:val="0034723B"/>
    <w:rsid w:val="003479CF"/>
    <w:rsid w:val="003505CC"/>
    <w:rsid w:val="003515AA"/>
    <w:rsid w:val="003516B6"/>
    <w:rsid w:val="00351D4F"/>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2C94"/>
    <w:rsid w:val="0037364C"/>
    <w:rsid w:val="00374106"/>
    <w:rsid w:val="003759C0"/>
    <w:rsid w:val="00377B82"/>
    <w:rsid w:val="00380AF9"/>
    <w:rsid w:val="003810F1"/>
    <w:rsid w:val="0038132C"/>
    <w:rsid w:val="00381537"/>
    <w:rsid w:val="00382247"/>
    <w:rsid w:val="003822EB"/>
    <w:rsid w:val="00382712"/>
    <w:rsid w:val="00382C2B"/>
    <w:rsid w:val="00384741"/>
    <w:rsid w:val="00384E17"/>
    <w:rsid w:val="00385095"/>
    <w:rsid w:val="00385A09"/>
    <w:rsid w:val="00385AD0"/>
    <w:rsid w:val="003865FE"/>
    <w:rsid w:val="0038715D"/>
    <w:rsid w:val="00387337"/>
    <w:rsid w:val="0039205C"/>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6D06"/>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0918"/>
    <w:rsid w:val="003F143E"/>
    <w:rsid w:val="003F30A4"/>
    <w:rsid w:val="003F411D"/>
    <w:rsid w:val="003F6314"/>
    <w:rsid w:val="003F77CD"/>
    <w:rsid w:val="00400B00"/>
    <w:rsid w:val="00400C93"/>
    <w:rsid w:val="004023B6"/>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2F22"/>
    <w:rsid w:val="00444638"/>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B5395"/>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4F68AA"/>
    <w:rsid w:val="004F6BD3"/>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3E1"/>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26BC"/>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584"/>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80"/>
    <w:rsid w:val="00627DD4"/>
    <w:rsid w:val="00630D9B"/>
    <w:rsid w:val="00630ECA"/>
    <w:rsid w:val="0063153B"/>
    <w:rsid w:val="00631953"/>
    <w:rsid w:val="00632658"/>
    <w:rsid w:val="006331C2"/>
    <w:rsid w:val="006346E8"/>
    <w:rsid w:val="00634E1A"/>
    <w:rsid w:val="00637019"/>
    <w:rsid w:val="006373CC"/>
    <w:rsid w:val="006373FD"/>
    <w:rsid w:val="00637C73"/>
    <w:rsid w:val="00640C0C"/>
    <w:rsid w:val="00640FA4"/>
    <w:rsid w:val="00641056"/>
    <w:rsid w:val="006434AD"/>
    <w:rsid w:val="006439EC"/>
    <w:rsid w:val="00644577"/>
    <w:rsid w:val="00644813"/>
    <w:rsid w:val="00647831"/>
    <w:rsid w:val="00651A05"/>
    <w:rsid w:val="00651B11"/>
    <w:rsid w:val="006523E9"/>
    <w:rsid w:val="00653AC8"/>
    <w:rsid w:val="00653DFE"/>
    <w:rsid w:val="006543D8"/>
    <w:rsid w:val="00654A53"/>
    <w:rsid w:val="00654A61"/>
    <w:rsid w:val="0065530F"/>
    <w:rsid w:val="00656290"/>
    <w:rsid w:val="00661205"/>
    <w:rsid w:val="00661275"/>
    <w:rsid w:val="00662497"/>
    <w:rsid w:val="006635D1"/>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0E2D"/>
    <w:rsid w:val="006919F2"/>
    <w:rsid w:val="006942B2"/>
    <w:rsid w:val="00696277"/>
    <w:rsid w:val="00696525"/>
    <w:rsid w:val="0069778A"/>
    <w:rsid w:val="006A12E1"/>
    <w:rsid w:val="006A14F9"/>
    <w:rsid w:val="006A400A"/>
    <w:rsid w:val="006A4E46"/>
    <w:rsid w:val="006A52D0"/>
    <w:rsid w:val="006A57AE"/>
    <w:rsid w:val="006A5867"/>
    <w:rsid w:val="006A7A69"/>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5D16"/>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8A0"/>
    <w:rsid w:val="0070249B"/>
    <w:rsid w:val="00702644"/>
    <w:rsid w:val="007033DB"/>
    <w:rsid w:val="0070347C"/>
    <w:rsid w:val="00703CD1"/>
    <w:rsid w:val="00704148"/>
    <w:rsid w:val="00706101"/>
    <w:rsid w:val="00706385"/>
    <w:rsid w:val="00706D5A"/>
    <w:rsid w:val="007077CC"/>
    <w:rsid w:val="0070788D"/>
    <w:rsid w:val="00710302"/>
    <w:rsid w:val="00712A3F"/>
    <w:rsid w:val="00712A77"/>
    <w:rsid w:val="007133A6"/>
    <w:rsid w:val="007133B7"/>
    <w:rsid w:val="00715587"/>
    <w:rsid w:val="007156AB"/>
    <w:rsid w:val="007176C1"/>
    <w:rsid w:val="0072047B"/>
    <w:rsid w:val="00721699"/>
    <w:rsid w:val="00722EA0"/>
    <w:rsid w:val="00724DA7"/>
    <w:rsid w:val="0072796F"/>
    <w:rsid w:val="007279A6"/>
    <w:rsid w:val="0073032F"/>
    <w:rsid w:val="00730966"/>
    <w:rsid w:val="007314E3"/>
    <w:rsid w:val="00732610"/>
    <w:rsid w:val="007338CE"/>
    <w:rsid w:val="0073571D"/>
    <w:rsid w:val="00736313"/>
    <w:rsid w:val="007365F5"/>
    <w:rsid w:val="00737C31"/>
    <w:rsid w:val="00741615"/>
    <w:rsid w:val="00741B68"/>
    <w:rsid w:val="00742B2A"/>
    <w:rsid w:val="007456F8"/>
    <w:rsid w:val="00746F5E"/>
    <w:rsid w:val="007501F7"/>
    <w:rsid w:val="007512D2"/>
    <w:rsid w:val="00751624"/>
    <w:rsid w:val="00752303"/>
    <w:rsid w:val="00752869"/>
    <w:rsid w:val="00752E98"/>
    <w:rsid w:val="00753272"/>
    <w:rsid w:val="0075478B"/>
    <w:rsid w:val="00754D6F"/>
    <w:rsid w:val="00754FCB"/>
    <w:rsid w:val="00755C2A"/>
    <w:rsid w:val="00755E58"/>
    <w:rsid w:val="00756FE9"/>
    <w:rsid w:val="00760E48"/>
    <w:rsid w:val="00762229"/>
    <w:rsid w:val="00763866"/>
    <w:rsid w:val="00763C21"/>
    <w:rsid w:val="00764136"/>
    <w:rsid w:val="00765A25"/>
    <w:rsid w:val="00766D06"/>
    <w:rsid w:val="00766E2D"/>
    <w:rsid w:val="0077044E"/>
    <w:rsid w:val="007704B9"/>
    <w:rsid w:val="00770873"/>
    <w:rsid w:val="00772505"/>
    <w:rsid w:val="00772738"/>
    <w:rsid w:val="00773B1A"/>
    <w:rsid w:val="00774992"/>
    <w:rsid w:val="00774A6C"/>
    <w:rsid w:val="00775503"/>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2100"/>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3EA2"/>
    <w:rsid w:val="007C43A7"/>
    <w:rsid w:val="007C43F5"/>
    <w:rsid w:val="007C4CE0"/>
    <w:rsid w:val="007C4F41"/>
    <w:rsid w:val="007C62F4"/>
    <w:rsid w:val="007D11F5"/>
    <w:rsid w:val="007D1A04"/>
    <w:rsid w:val="007D3351"/>
    <w:rsid w:val="007D3BCA"/>
    <w:rsid w:val="007D476D"/>
    <w:rsid w:val="007D4E20"/>
    <w:rsid w:val="007D6D51"/>
    <w:rsid w:val="007D72CE"/>
    <w:rsid w:val="007D7D70"/>
    <w:rsid w:val="007E16C6"/>
    <w:rsid w:val="007E1B56"/>
    <w:rsid w:val="007E24F5"/>
    <w:rsid w:val="007E336B"/>
    <w:rsid w:val="007E44C2"/>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39D5"/>
    <w:rsid w:val="00844750"/>
    <w:rsid w:val="0084488A"/>
    <w:rsid w:val="0084609A"/>
    <w:rsid w:val="008475EC"/>
    <w:rsid w:val="008555F7"/>
    <w:rsid w:val="00855B64"/>
    <w:rsid w:val="00856B6B"/>
    <w:rsid w:val="00856D39"/>
    <w:rsid w:val="00857E87"/>
    <w:rsid w:val="00860332"/>
    <w:rsid w:val="00861E74"/>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4C56"/>
    <w:rsid w:val="008D633C"/>
    <w:rsid w:val="008E23EB"/>
    <w:rsid w:val="008E254C"/>
    <w:rsid w:val="008E421A"/>
    <w:rsid w:val="008E4410"/>
    <w:rsid w:val="008E4B22"/>
    <w:rsid w:val="008E65BE"/>
    <w:rsid w:val="008E7FAE"/>
    <w:rsid w:val="008E7FF0"/>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3557"/>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30CF6"/>
    <w:rsid w:val="00932E6A"/>
    <w:rsid w:val="00933855"/>
    <w:rsid w:val="00933F43"/>
    <w:rsid w:val="00934D4C"/>
    <w:rsid w:val="009356B2"/>
    <w:rsid w:val="00936F5A"/>
    <w:rsid w:val="00940018"/>
    <w:rsid w:val="009403B5"/>
    <w:rsid w:val="00940519"/>
    <w:rsid w:val="00942898"/>
    <w:rsid w:val="00947028"/>
    <w:rsid w:val="009470BD"/>
    <w:rsid w:val="009470D4"/>
    <w:rsid w:val="00947FEC"/>
    <w:rsid w:val="009509B5"/>
    <w:rsid w:val="0095242F"/>
    <w:rsid w:val="00952FDB"/>
    <w:rsid w:val="00955275"/>
    <w:rsid w:val="009556DB"/>
    <w:rsid w:val="00955888"/>
    <w:rsid w:val="00955E22"/>
    <w:rsid w:val="0096030F"/>
    <w:rsid w:val="009617B3"/>
    <w:rsid w:val="0096457A"/>
    <w:rsid w:val="0096487B"/>
    <w:rsid w:val="00964D94"/>
    <w:rsid w:val="00965573"/>
    <w:rsid w:val="00966014"/>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094E"/>
    <w:rsid w:val="009B4422"/>
    <w:rsid w:val="009B56D2"/>
    <w:rsid w:val="009B59BD"/>
    <w:rsid w:val="009B6249"/>
    <w:rsid w:val="009B629D"/>
    <w:rsid w:val="009B6614"/>
    <w:rsid w:val="009B6DE0"/>
    <w:rsid w:val="009B7AE1"/>
    <w:rsid w:val="009C00A3"/>
    <w:rsid w:val="009C0AEF"/>
    <w:rsid w:val="009C111C"/>
    <w:rsid w:val="009C112F"/>
    <w:rsid w:val="009C2E6F"/>
    <w:rsid w:val="009C4D07"/>
    <w:rsid w:val="009C7A79"/>
    <w:rsid w:val="009C7F56"/>
    <w:rsid w:val="009D243D"/>
    <w:rsid w:val="009D254C"/>
    <w:rsid w:val="009D379C"/>
    <w:rsid w:val="009D3A8C"/>
    <w:rsid w:val="009D44E2"/>
    <w:rsid w:val="009D4DC8"/>
    <w:rsid w:val="009D4EB7"/>
    <w:rsid w:val="009D5319"/>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4FF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72F"/>
    <w:rsid w:val="00A27564"/>
    <w:rsid w:val="00A314FB"/>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320E"/>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64B"/>
    <w:rsid w:val="00AD79AF"/>
    <w:rsid w:val="00AE017E"/>
    <w:rsid w:val="00AE1636"/>
    <w:rsid w:val="00AE244D"/>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35A1"/>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0DCB"/>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A"/>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4E9A"/>
    <w:rsid w:val="00B6578C"/>
    <w:rsid w:val="00B65E49"/>
    <w:rsid w:val="00B65F1A"/>
    <w:rsid w:val="00B67B2E"/>
    <w:rsid w:val="00B706B3"/>
    <w:rsid w:val="00B7082F"/>
    <w:rsid w:val="00B70BC8"/>
    <w:rsid w:val="00B70D0E"/>
    <w:rsid w:val="00B7109F"/>
    <w:rsid w:val="00B727FB"/>
    <w:rsid w:val="00B73BB6"/>
    <w:rsid w:val="00B771A6"/>
    <w:rsid w:val="00B778BF"/>
    <w:rsid w:val="00B80BAB"/>
    <w:rsid w:val="00B82010"/>
    <w:rsid w:val="00B8212B"/>
    <w:rsid w:val="00B847AB"/>
    <w:rsid w:val="00B84A6F"/>
    <w:rsid w:val="00B84CF0"/>
    <w:rsid w:val="00B85D99"/>
    <w:rsid w:val="00B85F65"/>
    <w:rsid w:val="00B86747"/>
    <w:rsid w:val="00B90B75"/>
    <w:rsid w:val="00B93127"/>
    <w:rsid w:val="00B93E72"/>
    <w:rsid w:val="00B945F6"/>
    <w:rsid w:val="00B94F2C"/>
    <w:rsid w:val="00B95928"/>
    <w:rsid w:val="00B97DD0"/>
    <w:rsid w:val="00BA070A"/>
    <w:rsid w:val="00BA1331"/>
    <w:rsid w:val="00BA38A9"/>
    <w:rsid w:val="00BA4CAC"/>
    <w:rsid w:val="00BA559F"/>
    <w:rsid w:val="00BA5929"/>
    <w:rsid w:val="00BB14FC"/>
    <w:rsid w:val="00BB1E2D"/>
    <w:rsid w:val="00BB255B"/>
    <w:rsid w:val="00BB572B"/>
    <w:rsid w:val="00BB6EC0"/>
    <w:rsid w:val="00BB71A7"/>
    <w:rsid w:val="00BC3926"/>
    <w:rsid w:val="00BC4943"/>
    <w:rsid w:val="00BC6718"/>
    <w:rsid w:val="00BC6A32"/>
    <w:rsid w:val="00BD17BD"/>
    <w:rsid w:val="00BD4063"/>
    <w:rsid w:val="00BD453D"/>
    <w:rsid w:val="00BD53C7"/>
    <w:rsid w:val="00BD5F20"/>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300"/>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95F"/>
    <w:rsid w:val="00CA0976"/>
    <w:rsid w:val="00CA1678"/>
    <w:rsid w:val="00CA49A6"/>
    <w:rsid w:val="00CA4C8D"/>
    <w:rsid w:val="00CA4D38"/>
    <w:rsid w:val="00CA53AD"/>
    <w:rsid w:val="00CB0FEF"/>
    <w:rsid w:val="00CB1F1C"/>
    <w:rsid w:val="00CB6267"/>
    <w:rsid w:val="00CB73FB"/>
    <w:rsid w:val="00CC103C"/>
    <w:rsid w:val="00CC1082"/>
    <w:rsid w:val="00CC1E68"/>
    <w:rsid w:val="00CC3D35"/>
    <w:rsid w:val="00CC4BD4"/>
    <w:rsid w:val="00CC4D91"/>
    <w:rsid w:val="00CC671B"/>
    <w:rsid w:val="00CC7BAE"/>
    <w:rsid w:val="00CD1A71"/>
    <w:rsid w:val="00CD1E43"/>
    <w:rsid w:val="00CD1FA4"/>
    <w:rsid w:val="00CD1FBB"/>
    <w:rsid w:val="00CD29C6"/>
    <w:rsid w:val="00CD6189"/>
    <w:rsid w:val="00CD7B96"/>
    <w:rsid w:val="00CE0465"/>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193"/>
    <w:rsid w:val="00D246FE"/>
    <w:rsid w:val="00D247EA"/>
    <w:rsid w:val="00D24F7F"/>
    <w:rsid w:val="00D25052"/>
    <w:rsid w:val="00D27D5E"/>
    <w:rsid w:val="00D301FC"/>
    <w:rsid w:val="00D30ABC"/>
    <w:rsid w:val="00D3293B"/>
    <w:rsid w:val="00D33093"/>
    <w:rsid w:val="00D33F2B"/>
    <w:rsid w:val="00D371F4"/>
    <w:rsid w:val="00D43775"/>
    <w:rsid w:val="00D47A16"/>
    <w:rsid w:val="00D5093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23D"/>
    <w:rsid w:val="00DA57D4"/>
    <w:rsid w:val="00DA628F"/>
    <w:rsid w:val="00DA7636"/>
    <w:rsid w:val="00DA7672"/>
    <w:rsid w:val="00DA76F2"/>
    <w:rsid w:val="00DA7D5F"/>
    <w:rsid w:val="00DB0D93"/>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07B"/>
    <w:rsid w:val="00DD798E"/>
    <w:rsid w:val="00DE01E3"/>
    <w:rsid w:val="00DE0811"/>
    <w:rsid w:val="00DE17DD"/>
    <w:rsid w:val="00DE17E5"/>
    <w:rsid w:val="00DE291B"/>
    <w:rsid w:val="00DE41A3"/>
    <w:rsid w:val="00DE429A"/>
    <w:rsid w:val="00DE5006"/>
    <w:rsid w:val="00DE6407"/>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14"/>
    <w:rsid w:val="00E23C22"/>
    <w:rsid w:val="00E259A2"/>
    <w:rsid w:val="00E25CEE"/>
    <w:rsid w:val="00E2613F"/>
    <w:rsid w:val="00E27742"/>
    <w:rsid w:val="00E30C44"/>
    <w:rsid w:val="00E30E8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108D"/>
    <w:rsid w:val="00E51694"/>
    <w:rsid w:val="00E55247"/>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07A5"/>
    <w:rsid w:val="00EA0EDF"/>
    <w:rsid w:val="00EA1745"/>
    <w:rsid w:val="00EA230F"/>
    <w:rsid w:val="00EA233B"/>
    <w:rsid w:val="00EA31C2"/>
    <w:rsid w:val="00EA38AE"/>
    <w:rsid w:val="00EA49D4"/>
    <w:rsid w:val="00EA5630"/>
    <w:rsid w:val="00EA7714"/>
    <w:rsid w:val="00EB04A0"/>
    <w:rsid w:val="00EB086B"/>
    <w:rsid w:val="00EB0DE6"/>
    <w:rsid w:val="00EB187A"/>
    <w:rsid w:val="00EB5434"/>
    <w:rsid w:val="00EB66C4"/>
    <w:rsid w:val="00EB72C9"/>
    <w:rsid w:val="00EB79D2"/>
    <w:rsid w:val="00EB79F3"/>
    <w:rsid w:val="00EB7C7C"/>
    <w:rsid w:val="00EC130A"/>
    <w:rsid w:val="00EC1E20"/>
    <w:rsid w:val="00EC23C7"/>
    <w:rsid w:val="00EC36C2"/>
    <w:rsid w:val="00EC4D8D"/>
    <w:rsid w:val="00EC4F16"/>
    <w:rsid w:val="00EC50FB"/>
    <w:rsid w:val="00EC71A0"/>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03B0"/>
    <w:rsid w:val="00EF1486"/>
    <w:rsid w:val="00EF2CAC"/>
    <w:rsid w:val="00EF37FC"/>
    <w:rsid w:val="00EF38AB"/>
    <w:rsid w:val="00EF3A5B"/>
    <w:rsid w:val="00EF6183"/>
    <w:rsid w:val="00EF73A7"/>
    <w:rsid w:val="00F00678"/>
    <w:rsid w:val="00F01516"/>
    <w:rsid w:val="00F01E73"/>
    <w:rsid w:val="00F049E2"/>
    <w:rsid w:val="00F06C2A"/>
    <w:rsid w:val="00F07B09"/>
    <w:rsid w:val="00F11975"/>
    <w:rsid w:val="00F13D29"/>
    <w:rsid w:val="00F145B6"/>
    <w:rsid w:val="00F14836"/>
    <w:rsid w:val="00F15C00"/>
    <w:rsid w:val="00F1612A"/>
    <w:rsid w:val="00F1644D"/>
    <w:rsid w:val="00F16AC6"/>
    <w:rsid w:val="00F16B81"/>
    <w:rsid w:val="00F17A2D"/>
    <w:rsid w:val="00F20C8B"/>
    <w:rsid w:val="00F21980"/>
    <w:rsid w:val="00F22E5C"/>
    <w:rsid w:val="00F2438C"/>
    <w:rsid w:val="00F24C9F"/>
    <w:rsid w:val="00F260DE"/>
    <w:rsid w:val="00F30372"/>
    <w:rsid w:val="00F30D47"/>
    <w:rsid w:val="00F3201D"/>
    <w:rsid w:val="00F32AE8"/>
    <w:rsid w:val="00F32F3E"/>
    <w:rsid w:val="00F36266"/>
    <w:rsid w:val="00F41D93"/>
    <w:rsid w:val="00F43193"/>
    <w:rsid w:val="00F446F4"/>
    <w:rsid w:val="00F44CBD"/>
    <w:rsid w:val="00F5070F"/>
    <w:rsid w:val="00F55242"/>
    <w:rsid w:val="00F55E23"/>
    <w:rsid w:val="00F56037"/>
    <w:rsid w:val="00F56E59"/>
    <w:rsid w:val="00F56F99"/>
    <w:rsid w:val="00F57129"/>
    <w:rsid w:val="00F571A4"/>
    <w:rsid w:val="00F578B2"/>
    <w:rsid w:val="00F610A1"/>
    <w:rsid w:val="00F614CA"/>
    <w:rsid w:val="00F6284B"/>
    <w:rsid w:val="00F62DA4"/>
    <w:rsid w:val="00F630E9"/>
    <w:rsid w:val="00F63E7E"/>
    <w:rsid w:val="00F651B9"/>
    <w:rsid w:val="00F6679D"/>
    <w:rsid w:val="00F66822"/>
    <w:rsid w:val="00F704DB"/>
    <w:rsid w:val="00F70BDE"/>
    <w:rsid w:val="00F72F89"/>
    <w:rsid w:val="00F73896"/>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9DE"/>
    <w:rsid w:val="00F96B3F"/>
    <w:rsid w:val="00FA112B"/>
    <w:rsid w:val="00FA1873"/>
    <w:rsid w:val="00FA1DE3"/>
    <w:rsid w:val="00FA2092"/>
    <w:rsid w:val="00FA4E0E"/>
    <w:rsid w:val="00FA5A79"/>
    <w:rsid w:val="00FA5FB6"/>
    <w:rsid w:val="00FA6E4F"/>
    <w:rsid w:val="00FA7BB1"/>
    <w:rsid w:val="00FB00CB"/>
    <w:rsid w:val="00FB04D8"/>
    <w:rsid w:val="00FB0BFE"/>
    <w:rsid w:val="00FB122F"/>
    <w:rsid w:val="00FB43DE"/>
    <w:rsid w:val="00FB4C51"/>
    <w:rsid w:val="00FB72C1"/>
    <w:rsid w:val="00FB784A"/>
    <w:rsid w:val="00FB786B"/>
    <w:rsid w:val="00FC0F63"/>
    <w:rsid w:val="00FC1E39"/>
    <w:rsid w:val="00FC25FE"/>
    <w:rsid w:val="00FC2A5A"/>
    <w:rsid w:val="00FC3500"/>
    <w:rsid w:val="00FC6D26"/>
    <w:rsid w:val="00FC7876"/>
    <w:rsid w:val="00FD0726"/>
    <w:rsid w:val="00FD2485"/>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sid w:val="003F0918"/>
    <w:rPr>
      <w:b/>
      <w:bCs/>
      <w:i/>
      <w:iCs/>
      <w:sz w:val="22"/>
      <w:szCs w:val="22"/>
    </w:rPr>
  </w:style>
  <w:style w:type="paragraph" w:customStyle="1" w:styleId="ManualNumPar1">
    <w:name w:val="Manual NumPar 1"/>
    <w:basedOn w:val="Normal"/>
    <w:next w:val="Normal"/>
    <w:rsid w:val="003F0918"/>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3F0918"/>
    <w:pPr>
      <w:suppressAutoHyphens w:val="0"/>
      <w:spacing w:before="120" w:after="120" w:line="240" w:lineRule="auto"/>
      <w:ind w:left="851"/>
      <w:jc w:val="both"/>
    </w:pPr>
    <w:rPr>
      <w:sz w:val="24"/>
      <w:lang w:val="en-GB" w:eastAsia="ja-JP"/>
    </w:rPr>
  </w:style>
  <w:style w:type="paragraph" w:styleId="PlainText">
    <w:name w:val="Plain Text"/>
    <w:basedOn w:val="Normal"/>
    <w:link w:val="PlainTextChar"/>
    <w:uiPriority w:val="99"/>
    <w:unhideWhenUsed/>
    <w:rsid w:val="002B3A12"/>
    <w:pPr>
      <w:suppressAutoHyphens w:val="0"/>
      <w:spacing w:line="240" w:lineRule="auto"/>
    </w:pPr>
    <w:rPr>
      <w:rFonts w:ascii="Calibri" w:eastAsia="Calibri" w:hAnsi="Calibri"/>
      <w:sz w:val="22"/>
      <w:szCs w:val="21"/>
    </w:rPr>
  </w:style>
  <w:style w:type="character" w:customStyle="1" w:styleId="PlainTextChar">
    <w:name w:val="Plain Text Char"/>
    <w:link w:val="PlainText"/>
    <w:uiPriority w:val="99"/>
    <w:rsid w:val="002B3A12"/>
    <w:rPr>
      <w:rFonts w:ascii="Calibri" w:eastAsia="Calibri" w:hAnsi="Calibri" w:cs="Times New Roman"/>
      <w:sz w:val="22"/>
      <w:szCs w:val="21"/>
      <w:lang w:eastAsia="en-US"/>
    </w:rPr>
  </w:style>
  <w:style w:type="paragraph" w:styleId="ListParagraph">
    <w:name w:val="List Paragraph"/>
    <w:basedOn w:val="Normal"/>
    <w:uiPriority w:val="34"/>
    <w:qFormat/>
    <w:rsid w:val="00FC1E39"/>
    <w:pPr>
      <w:suppressAutoHyphens w:val="0"/>
      <w:spacing w:line="240" w:lineRule="auto"/>
      <w:ind w:left="720"/>
      <w:contextualSpacing/>
    </w:pPr>
    <w:rPr>
      <w:rFonts w:eastAsia="Times New Roman"/>
      <w:sz w:val="24"/>
      <w:szCs w:val="24"/>
      <w:lang w:val="ru-RU" w:eastAsia="ru-RU"/>
    </w:rPr>
  </w:style>
  <w:style w:type="paragraph" w:styleId="Revision">
    <w:name w:val="Revision"/>
    <w:hidden/>
    <w:uiPriority w:val="99"/>
    <w:semiHidden/>
    <w:rsid w:val="00E5108D"/>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81365124">
      <w:bodyDiv w:val="1"/>
      <w:marLeft w:val="0"/>
      <w:marRight w:val="0"/>
      <w:marTop w:val="0"/>
      <w:marBottom w:val="0"/>
      <w:divBdr>
        <w:top w:val="none" w:sz="0" w:space="0" w:color="auto"/>
        <w:left w:val="none" w:sz="0" w:space="0" w:color="auto"/>
        <w:bottom w:val="none" w:sz="0" w:space="0" w:color="auto"/>
        <w:right w:val="none" w:sz="0" w:space="0" w:color="auto"/>
      </w:divBdr>
    </w:div>
    <w:div w:id="399137733">
      <w:bodyDiv w:val="1"/>
      <w:marLeft w:val="0"/>
      <w:marRight w:val="0"/>
      <w:marTop w:val="0"/>
      <w:marBottom w:val="0"/>
      <w:divBdr>
        <w:top w:val="none" w:sz="0" w:space="0" w:color="auto"/>
        <w:left w:val="none" w:sz="0" w:space="0" w:color="auto"/>
        <w:bottom w:val="none" w:sz="0" w:space="0" w:color="auto"/>
        <w:right w:val="none" w:sz="0" w:space="0" w:color="auto"/>
      </w:divBdr>
    </w:div>
    <w:div w:id="406730849">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1831559263">
      <w:bodyDiv w:val="1"/>
      <w:marLeft w:val="0"/>
      <w:marRight w:val="0"/>
      <w:marTop w:val="0"/>
      <w:marBottom w:val="0"/>
      <w:divBdr>
        <w:top w:val="none" w:sz="0" w:space="0" w:color="auto"/>
        <w:left w:val="none" w:sz="0" w:space="0" w:color="auto"/>
        <w:bottom w:val="none" w:sz="0" w:space="0" w:color="auto"/>
        <w:right w:val="none" w:sz="0" w:space="0" w:color="auto"/>
      </w:divBdr>
    </w:div>
    <w:div w:id="1850869733">
      <w:bodyDiv w:val="1"/>
      <w:marLeft w:val="0"/>
      <w:marRight w:val="0"/>
      <w:marTop w:val="0"/>
      <w:marBottom w:val="0"/>
      <w:divBdr>
        <w:top w:val="none" w:sz="0" w:space="0" w:color="auto"/>
        <w:left w:val="none" w:sz="0" w:space="0" w:color="auto"/>
        <w:bottom w:val="none" w:sz="0" w:space="0" w:color="auto"/>
        <w:right w:val="none" w:sz="0" w:space="0" w:color="auto"/>
      </w:divBdr>
      <w:divsChild>
        <w:div w:id="165105617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1634</Words>
  <Characters>8879</Characters>
  <Application>Microsoft Office Word</Application>
  <DocSecurity>0</DocSecurity>
  <Lines>206</Lines>
  <Paragraphs>86</Paragraphs>
  <ScaleCrop>false</ScaleCrop>
  <HeadingPairs>
    <vt:vector size="6" baseType="variant">
      <vt:variant>
        <vt:lpstr>Название</vt:lpstr>
      </vt:variant>
      <vt:variant>
        <vt:i4>1</vt:i4>
      </vt:variant>
      <vt:variant>
        <vt:lpstr>Title</vt:lpstr>
      </vt:variant>
      <vt:variant>
        <vt:i4>1</vt:i4>
      </vt:variant>
      <vt:variant>
        <vt:lpstr>タイトル</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Francois E. Gucihard</cp:lastModifiedBy>
  <cp:revision>9</cp:revision>
  <cp:lastPrinted>2014-12-29T16:40:00Z</cp:lastPrinted>
  <dcterms:created xsi:type="dcterms:W3CDTF">2018-02-09T07:11:00Z</dcterms:created>
  <dcterms:modified xsi:type="dcterms:W3CDTF">2018-02-09T16:00:00Z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