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07534">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907534" w:rsidRDefault="00923752" w:rsidP="00E014AD">
            <w:pPr>
              <w:ind w:left="2552"/>
              <w:jc w:val="right"/>
            </w:pPr>
            <w:r w:rsidRPr="00907534">
              <w:rPr>
                <w:sz w:val="40"/>
              </w:rPr>
              <w:t>ECE</w:t>
            </w:r>
            <w:r w:rsidRPr="00907534">
              <w:t>/TRANS/WP.29/GRRF/201</w:t>
            </w:r>
            <w:r w:rsidR="00A04148">
              <w:t>8</w:t>
            </w:r>
            <w:r w:rsidRPr="00907534">
              <w:t>/</w:t>
            </w:r>
            <w:r w:rsidR="00E014AD">
              <w:t>7</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eastAsia="zh-CN"/>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907534" w:rsidRDefault="000E2478" w:rsidP="007A309D">
            <w:pPr>
              <w:spacing w:line="240" w:lineRule="exact"/>
              <w:jc w:val="both"/>
            </w:pPr>
            <w:r>
              <w:t>4 Dec</w:t>
            </w:r>
            <w:r w:rsidR="00A04148">
              <w:t>ember</w:t>
            </w:r>
            <w:r w:rsidR="00EF5C56" w:rsidRPr="00907534">
              <w:t xml:space="preserve"> 201</w:t>
            </w:r>
            <w:r w:rsidR="00914E63">
              <w:t>7</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07534" w:rsidRDefault="00AB1C8B" w:rsidP="007A309D">
      <w:pPr>
        <w:spacing w:before="120"/>
        <w:jc w:val="both"/>
        <w:rPr>
          <w:b/>
        </w:rPr>
      </w:pPr>
      <w:r w:rsidRPr="00907534">
        <w:rPr>
          <w:b/>
        </w:rPr>
        <w:t>Working Party on Brakes and Running Gear</w:t>
      </w:r>
    </w:p>
    <w:p w:rsidR="00AB1C8B" w:rsidRPr="00907534" w:rsidRDefault="00EE7CA1" w:rsidP="007A309D">
      <w:pPr>
        <w:spacing w:before="120"/>
        <w:jc w:val="both"/>
        <w:rPr>
          <w:b/>
        </w:rPr>
      </w:pPr>
      <w:r>
        <w:rPr>
          <w:b/>
        </w:rPr>
        <w:t>Eight</w:t>
      </w:r>
      <w:r w:rsidR="00FD7DE7">
        <w:rPr>
          <w:b/>
        </w:rPr>
        <w:t>y-</w:t>
      </w:r>
      <w:r w:rsidR="00F96161">
        <w:rPr>
          <w:b/>
        </w:rPr>
        <w:t>sixth</w:t>
      </w:r>
      <w:r w:rsidR="00AB1C8B" w:rsidRPr="00907534">
        <w:rPr>
          <w:b/>
        </w:rPr>
        <w:t xml:space="preserve"> session</w:t>
      </w:r>
    </w:p>
    <w:p w:rsidR="00AB1C8B" w:rsidRPr="00907534" w:rsidRDefault="00AB1C8B" w:rsidP="007A309D">
      <w:pPr>
        <w:jc w:val="both"/>
      </w:pPr>
      <w:r w:rsidRPr="00907534">
        <w:t xml:space="preserve">Geneva, </w:t>
      </w:r>
      <w:r w:rsidR="00EC3D60">
        <w:t>1</w:t>
      </w:r>
      <w:r w:rsidR="00A04148">
        <w:t>2-16</w:t>
      </w:r>
      <w:r w:rsidR="00BD2EAE" w:rsidRPr="00907534">
        <w:rPr>
          <w:lang w:eastAsia="ja-JP"/>
        </w:rPr>
        <w:t xml:space="preserve"> </w:t>
      </w:r>
      <w:r w:rsidR="00A04148">
        <w:rPr>
          <w:lang w:eastAsia="ja-JP"/>
        </w:rPr>
        <w:t>February</w:t>
      </w:r>
      <w:r w:rsidR="00E33887" w:rsidRPr="00907534">
        <w:rPr>
          <w:lang w:eastAsia="ja-JP"/>
        </w:rPr>
        <w:t xml:space="preserve"> </w:t>
      </w:r>
      <w:r w:rsidRPr="00907534">
        <w:t>201</w:t>
      </w:r>
      <w:r w:rsidR="00A04148">
        <w:rPr>
          <w:lang w:eastAsia="ja-JP"/>
        </w:rPr>
        <w:t>8</w:t>
      </w:r>
    </w:p>
    <w:p w:rsidR="001F5F0D" w:rsidRPr="00907534" w:rsidRDefault="001F5F0D" w:rsidP="001F5F0D">
      <w:pPr>
        <w:jc w:val="both"/>
      </w:pPr>
      <w:r w:rsidRPr="00907534">
        <w:t xml:space="preserve">Item </w:t>
      </w:r>
      <w:r w:rsidR="00F96161">
        <w:t>7(</w:t>
      </w:r>
      <w:r w:rsidR="00E6200E">
        <w:t>e</w:t>
      </w:r>
      <w:r w:rsidR="00F96161">
        <w:t>)</w:t>
      </w:r>
      <w:r w:rsidRPr="00907534">
        <w:t xml:space="preserve"> of the provisional agenda</w:t>
      </w:r>
    </w:p>
    <w:p w:rsidR="00AB1C8B" w:rsidRPr="00907534" w:rsidRDefault="001A1658" w:rsidP="007A309D">
      <w:pPr>
        <w:jc w:val="both"/>
        <w:rPr>
          <w:b/>
        </w:rPr>
      </w:pPr>
      <w:r w:rsidRPr="00907534">
        <w:rPr>
          <w:b/>
        </w:rPr>
        <w:t>Tyres</w:t>
      </w:r>
      <w:r w:rsidR="00D9343A">
        <w:rPr>
          <w:b/>
        </w:rPr>
        <w:t>:</w:t>
      </w:r>
      <w:r w:rsidRPr="00907534">
        <w:rPr>
          <w:b/>
        </w:rPr>
        <w:t xml:space="preserve"> </w:t>
      </w:r>
      <w:r w:rsidR="0071190E" w:rsidRPr="00907534">
        <w:rPr>
          <w:b/>
        </w:rPr>
        <w:t xml:space="preserve">Regulation No. </w:t>
      </w:r>
      <w:r w:rsidR="00E6200E">
        <w:rPr>
          <w:b/>
        </w:rPr>
        <w:t>1</w:t>
      </w:r>
      <w:r w:rsidR="00E014AD">
        <w:rPr>
          <w:b/>
        </w:rPr>
        <w:t>06</w:t>
      </w:r>
    </w:p>
    <w:p w:rsidR="00866E93" w:rsidRPr="00907534" w:rsidRDefault="008C2F5C" w:rsidP="00866E93">
      <w:pPr>
        <w:pStyle w:val="HChG"/>
        <w:jc w:val="both"/>
      </w:pPr>
      <w:r w:rsidRPr="00907534">
        <w:tab/>
      </w:r>
      <w:r w:rsidRPr="00907534">
        <w:tab/>
      </w:r>
      <w:r w:rsidR="00E6200E" w:rsidRPr="00D64A4E">
        <w:t>Proposal for amendments to Regulation No. 106 (Tyres for agricultural vehicles and their trailers)</w:t>
      </w:r>
    </w:p>
    <w:p w:rsidR="00AB1C8B" w:rsidRPr="00907534" w:rsidRDefault="00AB1C8B" w:rsidP="00866E93">
      <w:pPr>
        <w:pStyle w:val="HChG"/>
        <w:jc w:val="both"/>
        <w:rPr>
          <w:b w:val="0"/>
          <w:sz w:val="24"/>
          <w:szCs w:val="24"/>
        </w:rPr>
      </w:pPr>
      <w:r w:rsidRPr="00907534">
        <w:rPr>
          <w:sz w:val="24"/>
          <w:szCs w:val="24"/>
        </w:rPr>
        <w:tab/>
      </w:r>
      <w:r w:rsidRPr="00907534">
        <w:rPr>
          <w:sz w:val="24"/>
          <w:szCs w:val="24"/>
        </w:rPr>
        <w:tab/>
      </w:r>
      <w:r w:rsidR="00866E93" w:rsidRPr="00907534">
        <w:rPr>
          <w:bCs/>
          <w:sz w:val="24"/>
          <w:szCs w:val="24"/>
        </w:rPr>
        <w:t xml:space="preserve">Submitted by the experts from the </w:t>
      </w:r>
      <w:r w:rsidR="00866E93" w:rsidRPr="00907534">
        <w:rPr>
          <w:rStyle w:val="Emphasis"/>
          <w:i w:val="0"/>
          <w:sz w:val="24"/>
          <w:szCs w:val="24"/>
        </w:rPr>
        <w:t>European Tyre and Rim Technical Organisation</w:t>
      </w:r>
      <w:r w:rsidR="00866E93" w:rsidRPr="00907534">
        <w:rPr>
          <w:rStyle w:val="FootnoteReference"/>
          <w:b w:val="0"/>
          <w:sz w:val="24"/>
          <w:szCs w:val="24"/>
          <w:vertAlign w:val="baseline"/>
        </w:rPr>
        <w:footnoteReference w:customMarkFollows="1" w:id="2"/>
        <w:t>*</w:t>
      </w:r>
    </w:p>
    <w:p w:rsidR="002807CC" w:rsidRPr="00907534" w:rsidRDefault="00866E93" w:rsidP="007A309D">
      <w:pPr>
        <w:keepNext/>
        <w:keepLines/>
        <w:spacing w:line="240" w:lineRule="auto"/>
        <w:ind w:left="1134" w:right="1134" w:firstLine="567"/>
        <w:jc w:val="both"/>
      </w:pPr>
      <w:r w:rsidRPr="00907534">
        <w:t xml:space="preserve">The text reproduced below was prepared by the experts from the </w:t>
      </w:r>
      <w:r w:rsidRPr="00907534">
        <w:rPr>
          <w:rStyle w:val="Emphasis"/>
          <w:i w:val="0"/>
        </w:rPr>
        <w:t>European Tyre and Rim Technical Organisation</w:t>
      </w:r>
      <w:r w:rsidRPr="00907534">
        <w:t xml:space="preserve"> (ETRTO) </w:t>
      </w:r>
      <w:r w:rsidR="0020554F" w:rsidRPr="00907534">
        <w:t xml:space="preserve">amending </w:t>
      </w:r>
      <w:r w:rsidR="00F96161">
        <w:t xml:space="preserve">UN </w:t>
      </w:r>
      <w:r w:rsidR="00F87B5E" w:rsidRPr="00907534">
        <w:t>Regulation</w:t>
      </w:r>
      <w:r w:rsidR="000C23F4" w:rsidRPr="00907534">
        <w:t> </w:t>
      </w:r>
      <w:r w:rsidR="00F87B5E" w:rsidRPr="00907534">
        <w:t>No.</w:t>
      </w:r>
      <w:r w:rsidR="000C23F4" w:rsidRPr="00907534">
        <w:t> </w:t>
      </w:r>
      <w:r w:rsidR="00E6200E">
        <w:t>106</w:t>
      </w:r>
      <w:r w:rsidR="00F87B5E" w:rsidRPr="00907534">
        <w:t>.</w:t>
      </w:r>
      <w:r w:rsidR="00175B5A" w:rsidRPr="00907534">
        <w:t xml:space="preserve"> The modifications to the existing text of the Regulation are marked in bold for new or strikethrough for deleted characters.</w:t>
      </w:r>
    </w:p>
    <w:p w:rsidR="00AB1C8B" w:rsidRPr="00907534" w:rsidRDefault="00AB1C8B" w:rsidP="007A309D">
      <w:pPr>
        <w:pStyle w:val="SingleTxtG"/>
        <w:ind w:firstLine="567"/>
      </w:pPr>
    </w:p>
    <w:p w:rsidR="009854F7"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9C0BCB" w:rsidRPr="00770D49" w:rsidRDefault="009C0BCB" w:rsidP="009C0BCB">
      <w:pPr>
        <w:tabs>
          <w:tab w:val="left" w:pos="1100"/>
        </w:tabs>
        <w:spacing w:after="120" w:line="240" w:lineRule="auto"/>
        <w:ind w:left="2268" w:right="1134" w:hanging="1134"/>
      </w:pPr>
      <w:r w:rsidRPr="009C0BCB">
        <w:rPr>
          <w:i/>
        </w:rPr>
        <w:t xml:space="preserve">Insert new paragraphs 3.1.16. </w:t>
      </w:r>
      <w:proofErr w:type="gramStart"/>
      <w:r w:rsidRPr="009C0BCB">
        <w:rPr>
          <w:i/>
        </w:rPr>
        <w:t>and  3</w:t>
      </w:r>
      <w:proofErr w:type="gramEnd"/>
      <w:r w:rsidRPr="009C0BCB">
        <w:rPr>
          <w:i/>
        </w:rPr>
        <w:t>.1.16.1.</w:t>
      </w:r>
      <w:r>
        <w:t>,</w:t>
      </w:r>
      <w:r w:rsidRPr="00770D49">
        <w:t xml:space="preserve"> to read:</w:t>
      </w:r>
    </w:p>
    <w:p w:rsidR="009C0BCB" w:rsidRDefault="009C0BCB" w:rsidP="009C0BCB">
      <w:pPr>
        <w:pStyle w:val="Default"/>
        <w:spacing w:after="120"/>
        <w:ind w:left="2268" w:right="1134" w:hanging="1134"/>
        <w:jc w:val="both"/>
        <w:rPr>
          <w:bCs/>
          <w:color w:val="auto"/>
          <w:sz w:val="20"/>
          <w:szCs w:val="20"/>
        </w:rPr>
      </w:pPr>
      <w:r>
        <w:rPr>
          <w:color w:val="auto"/>
          <w:sz w:val="20"/>
          <w:szCs w:val="20"/>
        </w:rPr>
        <w:t>"</w:t>
      </w:r>
      <w:r w:rsidRPr="00770D49">
        <w:rPr>
          <w:bCs/>
          <w:color w:val="auto"/>
          <w:sz w:val="20"/>
          <w:szCs w:val="20"/>
        </w:rPr>
        <w:t xml:space="preserve">3.1.16. </w:t>
      </w:r>
      <w:r w:rsidRPr="00770D49">
        <w:rPr>
          <w:bCs/>
          <w:color w:val="auto"/>
          <w:sz w:val="20"/>
          <w:szCs w:val="20"/>
        </w:rPr>
        <w:tab/>
        <w:t xml:space="preserve">An indication, in kPa, of the inflation pressure to be adopted for measurements (as specified in Annex 6 point 1) and for the tyre resistance to bursting (as specified in Annex 8 point 2.1) and, if applicable, the load/speed test (as specified in Annex 9 point 2.3). This marking shall be preceded by the symbol </w:t>
      </w:r>
      <w:r>
        <w:rPr>
          <w:bCs/>
          <w:color w:val="auto"/>
          <w:sz w:val="20"/>
          <w:szCs w:val="20"/>
        </w:rPr>
        <w:t>"</w:t>
      </w:r>
      <w:r w:rsidRPr="00770D49">
        <w:rPr>
          <w:bCs/>
          <w:color w:val="auto"/>
          <w:sz w:val="20"/>
          <w:szCs w:val="20"/>
        </w:rPr>
        <w:t>@</w:t>
      </w:r>
      <w:r>
        <w:rPr>
          <w:bCs/>
          <w:color w:val="auto"/>
          <w:sz w:val="20"/>
          <w:szCs w:val="20"/>
        </w:rPr>
        <w:t>"</w:t>
      </w:r>
      <w:r w:rsidRPr="00770D49">
        <w:rPr>
          <w:bCs/>
          <w:color w:val="auto"/>
          <w:sz w:val="20"/>
          <w:szCs w:val="20"/>
        </w:rPr>
        <w:t xml:space="preserve"> </w:t>
      </w:r>
      <w:r w:rsidRPr="00562062">
        <w:rPr>
          <w:bCs/>
          <w:color w:val="auto"/>
          <w:sz w:val="20"/>
          <w:szCs w:val="20"/>
        </w:rPr>
        <w:t xml:space="preserve">or the word </w:t>
      </w:r>
      <w:r>
        <w:rPr>
          <w:bCs/>
          <w:color w:val="auto"/>
          <w:sz w:val="20"/>
          <w:szCs w:val="20"/>
        </w:rPr>
        <w:t>"</w:t>
      </w:r>
      <w:r w:rsidRPr="00562062">
        <w:rPr>
          <w:bCs/>
          <w:color w:val="auto"/>
          <w:sz w:val="20"/>
          <w:szCs w:val="20"/>
        </w:rPr>
        <w:t>at</w:t>
      </w:r>
      <w:r>
        <w:rPr>
          <w:bCs/>
          <w:color w:val="auto"/>
          <w:sz w:val="20"/>
          <w:szCs w:val="20"/>
        </w:rPr>
        <w:t>"</w:t>
      </w:r>
      <w:r w:rsidRPr="00562062">
        <w:rPr>
          <w:bCs/>
          <w:color w:val="auto"/>
          <w:sz w:val="20"/>
          <w:szCs w:val="20"/>
        </w:rPr>
        <w:t xml:space="preserve"> </w:t>
      </w:r>
      <w:r w:rsidRPr="00770D49">
        <w:rPr>
          <w:bCs/>
          <w:color w:val="auto"/>
          <w:sz w:val="20"/>
          <w:szCs w:val="20"/>
        </w:rPr>
        <w:t xml:space="preserve">(e.g. </w:t>
      </w:r>
      <w:r>
        <w:rPr>
          <w:bCs/>
          <w:color w:val="auto"/>
          <w:sz w:val="20"/>
          <w:szCs w:val="20"/>
        </w:rPr>
        <w:t>"</w:t>
      </w:r>
      <w:r w:rsidRPr="00770D49">
        <w:rPr>
          <w:bCs/>
          <w:color w:val="auto"/>
          <w:sz w:val="20"/>
          <w:szCs w:val="20"/>
        </w:rPr>
        <w:t>@ 240 kPa</w:t>
      </w:r>
      <w:r>
        <w:rPr>
          <w:bCs/>
          <w:color w:val="auto"/>
          <w:sz w:val="20"/>
          <w:szCs w:val="20"/>
        </w:rPr>
        <w:t>" or "at 240 kPa"</w:t>
      </w:r>
      <w:r w:rsidRPr="00770D49">
        <w:rPr>
          <w:bCs/>
          <w:color w:val="auto"/>
          <w:sz w:val="20"/>
          <w:szCs w:val="20"/>
        </w:rPr>
        <w:t>) and be placed near the service description, either after or below.</w:t>
      </w:r>
    </w:p>
    <w:p w:rsidR="009C0BCB" w:rsidRPr="00770D49" w:rsidRDefault="009C0BCB" w:rsidP="009C0BCB">
      <w:pPr>
        <w:spacing w:after="120" w:line="240" w:lineRule="auto"/>
        <w:ind w:left="2268" w:right="1134" w:hanging="1134"/>
        <w:jc w:val="both"/>
        <w:rPr>
          <w:bCs/>
          <w:iCs/>
        </w:rPr>
      </w:pPr>
      <w:r w:rsidRPr="00770D49">
        <w:rPr>
          <w:iCs/>
        </w:rPr>
        <w:t>3.1.16.1</w:t>
      </w:r>
      <w:r>
        <w:rPr>
          <w:iCs/>
        </w:rPr>
        <w:t>.</w:t>
      </w:r>
      <w:r w:rsidRPr="00770D49">
        <w:rPr>
          <w:iCs/>
        </w:rPr>
        <w:t xml:space="preserve"> </w:t>
      </w:r>
      <w:r w:rsidRPr="00770D49">
        <w:rPr>
          <w:iCs/>
        </w:rPr>
        <w:tab/>
      </w:r>
      <w:r w:rsidRPr="00770D49">
        <w:rPr>
          <w:bCs/>
          <w:iCs/>
        </w:rPr>
        <w:t xml:space="preserve">However, this indication shall not be mandatory on any tyre type approved before the entry into force of Supplement </w:t>
      </w:r>
      <w:proofErr w:type="gramStart"/>
      <w:r w:rsidRPr="00770D49">
        <w:rPr>
          <w:bCs/>
          <w:iCs/>
        </w:rPr>
        <w:t>16  to</w:t>
      </w:r>
      <w:proofErr w:type="gramEnd"/>
      <w:r w:rsidRPr="00770D49">
        <w:rPr>
          <w:bCs/>
          <w:iCs/>
        </w:rPr>
        <w:t xml:space="preserve"> this Regulation</w:t>
      </w:r>
      <w:r w:rsidR="006576E5">
        <w:rPr>
          <w:bCs/>
          <w:iCs/>
        </w:rPr>
        <w:t>.</w:t>
      </w:r>
      <w:r>
        <w:rPr>
          <w:bCs/>
          <w:iCs/>
        </w:rPr>
        <w:t>"</w:t>
      </w:r>
    </w:p>
    <w:p w:rsidR="009C0BCB" w:rsidRPr="00562062" w:rsidRDefault="009C0BCB" w:rsidP="009C0BCB">
      <w:pPr>
        <w:pStyle w:val="Default"/>
        <w:spacing w:after="120"/>
        <w:ind w:left="2268" w:right="1134" w:hanging="1134"/>
        <w:rPr>
          <w:color w:val="auto"/>
          <w:sz w:val="20"/>
          <w:szCs w:val="20"/>
        </w:rPr>
      </w:pPr>
      <w:r w:rsidRPr="00562062">
        <w:rPr>
          <w:i/>
          <w:iCs/>
          <w:color w:val="auto"/>
          <w:sz w:val="20"/>
          <w:szCs w:val="20"/>
        </w:rPr>
        <w:t xml:space="preserve">Paragraph 4.1.12., </w:t>
      </w:r>
      <w:r w:rsidRPr="00562062">
        <w:rPr>
          <w:color w:val="auto"/>
          <w:sz w:val="20"/>
          <w:szCs w:val="20"/>
        </w:rPr>
        <w:t xml:space="preserve">amend to read: </w:t>
      </w:r>
    </w:p>
    <w:p w:rsidR="009C0BCB" w:rsidRPr="00562062" w:rsidRDefault="009C0BCB" w:rsidP="009C0BCB">
      <w:pPr>
        <w:pStyle w:val="Default"/>
        <w:spacing w:after="120"/>
        <w:ind w:left="2268" w:right="1134" w:hanging="1134"/>
        <w:rPr>
          <w:color w:val="auto"/>
          <w:sz w:val="20"/>
          <w:szCs w:val="20"/>
        </w:rPr>
      </w:pPr>
      <w:r>
        <w:rPr>
          <w:color w:val="auto"/>
          <w:sz w:val="20"/>
          <w:szCs w:val="20"/>
        </w:rPr>
        <w:t>"</w:t>
      </w:r>
      <w:r w:rsidRPr="00562062">
        <w:rPr>
          <w:color w:val="auto"/>
          <w:sz w:val="20"/>
          <w:szCs w:val="20"/>
        </w:rPr>
        <w:t>4.1.12.</w:t>
      </w:r>
      <w:r w:rsidRPr="00562062">
        <w:rPr>
          <w:color w:val="auto"/>
          <w:sz w:val="20"/>
          <w:szCs w:val="20"/>
        </w:rPr>
        <w:tab/>
        <w:t xml:space="preserve">The inflation pressure for measurements </w:t>
      </w:r>
      <w:r w:rsidRPr="00562062">
        <w:rPr>
          <w:b/>
          <w:bCs/>
          <w:color w:val="auto"/>
          <w:sz w:val="20"/>
          <w:szCs w:val="20"/>
        </w:rPr>
        <w:t>as detailed in paragraph 3.1.16</w:t>
      </w:r>
      <w:r w:rsidRPr="00562062">
        <w:rPr>
          <w:bCs/>
          <w:color w:val="auto"/>
          <w:sz w:val="20"/>
          <w:szCs w:val="20"/>
        </w:rPr>
        <w:t>.</w:t>
      </w:r>
      <w:r w:rsidRPr="00562062">
        <w:rPr>
          <w:color w:val="auto"/>
          <w:sz w:val="20"/>
          <w:szCs w:val="20"/>
        </w:rPr>
        <w:t xml:space="preserve"> </w:t>
      </w:r>
      <w:r>
        <w:rPr>
          <w:color w:val="auto"/>
          <w:sz w:val="20"/>
          <w:szCs w:val="20"/>
        </w:rPr>
        <w:t>"</w:t>
      </w:r>
      <w:r w:rsidRPr="00562062">
        <w:rPr>
          <w:color w:val="auto"/>
          <w:sz w:val="20"/>
          <w:szCs w:val="20"/>
        </w:rPr>
        <w:t xml:space="preserve"> </w:t>
      </w:r>
    </w:p>
    <w:p w:rsidR="009C0BCB" w:rsidRPr="00562062" w:rsidRDefault="009C0BCB" w:rsidP="009C0BCB">
      <w:pPr>
        <w:pStyle w:val="Default"/>
        <w:spacing w:after="120"/>
        <w:ind w:left="2268" w:right="1134" w:hanging="1134"/>
        <w:rPr>
          <w:color w:val="auto"/>
          <w:sz w:val="20"/>
          <w:szCs w:val="20"/>
        </w:rPr>
      </w:pPr>
      <w:r w:rsidRPr="00562062">
        <w:rPr>
          <w:i/>
          <w:iCs/>
          <w:color w:val="auto"/>
          <w:sz w:val="20"/>
          <w:szCs w:val="20"/>
        </w:rPr>
        <w:t xml:space="preserve">Paragraph 4.1.15., </w:t>
      </w:r>
      <w:r w:rsidRPr="00562062">
        <w:rPr>
          <w:color w:val="auto"/>
          <w:sz w:val="20"/>
          <w:szCs w:val="20"/>
        </w:rPr>
        <w:t xml:space="preserve">amend to read: </w:t>
      </w:r>
    </w:p>
    <w:p w:rsidR="009C0BCB" w:rsidRPr="00562062" w:rsidRDefault="009C0BCB" w:rsidP="009C0BCB">
      <w:pPr>
        <w:pStyle w:val="Default"/>
        <w:spacing w:after="120"/>
        <w:ind w:left="2268" w:right="1134" w:hanging="1134"/>
        <w:rPr>
          <w:color w:val="auto"/>
          <w:sz w:val="20"/>
          <w:szCs w:val="20"/>
        </w:rPr>
      </w:pPr>
      <w:r>
        <w:rPr>
          <w:color w:val="auto"/>
          <w:sz w:val="20"/>
          <w:szCs w:val="20"/>
        </w:rPr>
        <w:t>"4.1.15.</w:t>
      </w:r>
      <w:r w:rsidRPr="00562062">
        <w:rPr>
          <w:color w:val="auto"/>
          <w:sz w:val="20"/>
          <w:szCs w:val="20"/>
        </w:rPr>
        <w:tab/>
        <w:t xml:space="preserve">The test pressure </w:t>
      </w:r>
      <w:r w:rsidRPr="00562062">
        <w:rPr>
          <w:b/>
          <w:bCs/>
          <w:color w:val="auto"/>
          <w:sz w:val="20"/>
          <w:szCs w:val="20"/>
        </w:rPr>
        <w:t>as detailed in paragraph 3.1.16</w:t>
      </w:r>
      <w:r w:rsidRPr="00562062">
        <w:rPr>
          <w:color w:val="auto"/>
          <w:sz w:val="20"/>
          <w:szCs w:val="20"/>
        </w:rPr>
        <w:t>.</w:t>
      </w:r>
      <w:r>
        <w:rPr>
          <w:color w:val="auto"/>
          <w:sz w:val="20"/>
          <w:szCs w:val="20"/>
        </w:rPr>
        <w:t>"</w:t>
      </w:r>
      <w:r w:rsidRPr="00562062">
        <w:rPr>
          <w:color w:val="auto"/>
          <w:sz w:val="20"/>
          <w:szCs w:val="20"/>
        </w:rPr>
        <w:t xml:space="preserve"> </w:t>
      </w:r>
    </w:p>
    <w:p w:rsidR="009C0BCB" w:rsidRPr="009E195F" w:rsidRDefault="009C0BCB" w:rsidP="009C0BCB">
      <w:pPr>
        <w:pStyle w:val="Default"/>
        <w:spacing w:after="120"/>
        <w:ind w:left="2268" w:right="1134" w:hanging="1134"/>
        <w:rPr>
          <w:iCs/>
          <w:color w:val="auto"/>
          <w:sz w:val="20"/>
          <w:szCs w:val="20"/>
        </w:rPr>
      </w:pPr>
      <w:r w:rsidRPr="009E195F">
        <w:rPr>
          <w:i/>
          <w:iCs/>
          <w:color w:val="auto"/>
          <w:sz w:val="20"/>
          <w:szCs w:val="20"/>
        </w:rPr>
        <w:t>Annex 3</w:t>
      </w:r>
      <w:r w:rsidR="006576E5">
        <w:rPr>
          <w:i/>
          <w:iCs/>
          <w:color w:val="auto"/>
          <w:sz w:val="20"/>
          <w:szCs w:val="20"/>
        </w:rPr>
        <w:t>,</w:t>
      </w:r>
      <w:r w:rsidRPr="009E195F">
        <w:rPr>
          <w:iCs/>
          <w:color w:val="auto"/>
          <w:sz w:val="20"/>
          <w:szCs w:val="20"/>
        </w:rPr>
        <w:t xml:space="preserve"> </w:t>
      </w:r>
      <w:r w:rsidR="006576E5">
        <w:rPr>
          <w:iCs/>
          <w:color w:val="auto"/>
          <w:sz w:val="20"/>
          <w:szCs w:val="20"/>
        </w:rPr>
        <w:t>i</w:t>
      </w:r>
      <w:r w:rsidRPr="009E195F">
        <w:rPr>
          <w:iCs/>
          <w:color w:val="auto"/>
          <w:sz w:val="20"/>
          <w:szCs w:val="20"/>
        </w:rPr>
        <w:t xml:space="preserve">n all </w:t>
      </w:r>
      <w:r w:rsidRPr="006576E5">
        <w:rPr>
          <w:i/>
          <w:iCs/>
          <w:color w:val="auto"/>
          <w:sz w:val="20"/>
          <w:szCs w:val="20"/>
        </w:rPr>
        <w:t>parts A to E</w:t>
      </w:r>
      <w:r w:rsidR="006576E5">
        <w:rPr>
          <w:iCs/>
          <w:color w:val="auto"/>
          <w:sz w:val="20"/>
          <w:szCs w:val="20"/>
        </w:rPr>
        <w:t>,</w:t>
      </w:r>
      <w:r w:rsidRPr="009E195F">
        <w:rPr>
          <w:iCs/>
          <w:color w:val="auto"/>
          <w:sz w:val="20"/>
          <w:szCs w:val="20"/>
        </w:rPr>
        <w:t xml:space="preserve"> amend the explanatory drawings adding the following example: </w:t>
      </w:r>
    </w:p>
    <w:p w:rsidR="009C0BCB" w:rsidRPr="009C0BCB" w:rsidRDefault="009C0BCB" w:rsidP="009C0BCB">
      <w:pPr>
        <w:pStyle w:val="Default"/>
        <w:spacing w:after="120"/>
        <w:ind w:left="2268" w:right="1134"/>
        <w:rPr>
          <w:color w:val="auto"/>
          <w:sz w:val="20"/>
          <w:szCs w:val="20"/>
        </w:rPr>
      </w:pPr>
      <w:r w:rsidRPr="006576E5">
        <w:rPr>
          <w:bCs/>
          <w:color w:val="auto"/>
          <w:sz w:val="20"/>
          <w:szCs w:val="20"/>
        </w:rPr>
        <w:t>"</w:t>
      </w:r>
      <w:r w:rsidRPr="009C0BCB">
        <w:rPr>
          <w:b/>
          <w:bCs/>
          <w:color w:val="auto"/>
          <w:sz w:val="20"/>
          <w:szCs w:val="20"/>
        </w:rPr>
        <w:t>c         @ 240 kPa       c</w:t>
      </w:r>
      <w:r w:rsidRPr="006576E5">
        <w:rPr>
          <w:bCs/>
          <w:color w:val="auto"/>
          <w:sz w:val="20"/>
          <w:szCs w:val="20"/>
        </w:rPr>
        <w:t>"</w:t>
      </w:r>
    </w:p>
    <w:p w:rsidR="009C0BCB" w:rsidRPr="009E195F" w:rsidRDefault="009C0BCB" w:rsidP="009C0BCB">
      <w:pPr>
        <w:pStyle w:val="Default"/>
        <w:spacing w:after="120"/>
        <w:ind w:left="2268" w:right="1134" w:hanging="1134"/>
        <w:rPr>
          <w:b/>
          <w:color w:val="auto"/>
          <w:sz w:val="20"/>
          <w:szCs w:val="20"/>
        </w:rPr>
      </w:pPr>
      <w:r w:rsidRPr="009E195F">
        <w:rPr>
          <w:i/>
          <w:iCs/>
          <w:color w:val="auto"/>
          <w:sz w:val="20"/>
          <w:szCs w:val="20"/>
        </w:rPr>
        <w:t>Annex 3 – Part A</w:t>
      </w:r>
      <w:r w:rsidR="006576E5">
        <w:rPr>
          <w:i/>
          <w:iCs/>
          <w:color w:val="auto"/>
          <w:sz w:val="20"/>
          <w:szCs w:val="20"/>
        </w:rPr>
        <w:t>,</w:t>
      </w:r>
      <w:r w:rsidRPr="009E195F">
        <w:rPr>
          <w:bCs/>
          <w:color w:val="auto"/>
          <w:sz w:val="20"/>
          <w:szCs w:val="20"/>
        </w:rPr>
        <w:t xml:space="preserve"> </w:t>
      </w:r>
      <w:r w:rsidR="006576E5">
        <w:rPr>
          <w:iCs/>
          <w:color w:val="auto"/>
          <w:sz w:val="20"/>
          <w:szCs w:val="20"/>
        </w:rPr>
        <w:t>a</w:t>
      </w:r>
      <w:r w:rsidRPr="009E195F">
        <w:rPr>
          <w:iCs/>
          <w:color w:val="auto"/>
          <w:sz w:val="20"/>
          <w:szCs w:val="20"/>
        </w:rPr>
        <w:t>dd note (k)</w:t>
      </w:r>
      <w:r w:rsidRPr="009E195F">
        <w:rPr>
          <w:color w:val="auto"/>
          <w:sz w:val="20"/>
          <w:szCs w:val="20"/>
        </w:rPr>
        <w:t xml:space="preserve"> to read: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Pr="009C0BCB">
        <w:rPr>
          <w:bCs/>
          <w:color w:val="auto"/>
          <w:sz w:val="18"/>
          <w:szCs w:val="20"/>
        </w:rPr>
        <w:t>(</w:t>
      </w:r>
      <w:proofErr w:type="gramStart"/>
      <w:r w:rsidRPr="009C0BCB">
        <w:rPr>
          <w:bCs/>
          <w:color w:val="auto"/>
          <w:sz w:val="18"/>
          <w:szCs w:val="20"/>
        </w:rPr>
        <w:t>k)  Requiring</w:t>
      </w:r>
      <w:proofErr w:type="gramEnd"/>
      <w:r w:rsidRPr="009C0BCB">
        <w:rPr>
          <w:bCs/>
          <w:color w:val="auto"/>
          <w:sz w:val="18"/>
          <w:szCs w:val="20"/>
        </w:rPr>
        <w:t xml:space="preserve"> to be inflated to 240 kPa for measurements and tyre resistance to burst and, if applicable, load/speed test.</w:t>
      </w:r>
      <w:r>
        <w:rPr>
          <w:bCs/>
          <w:color w:val="auto"/>
          <w:sz w:val="20"/>
          <w:szCs w:val="20"/>
        </w:rPr>
        <w:t>"</w:t>
      </w:r>
      <w:r w:rsidRPr="009E195F">
        <w:rPr>
          <w:b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Pr>
          <w:iCs/>
          <w:color w:val="auto"/>
          <w:sz w:val="20"/>
          <w:szCs w:val="20"/>
        </w:rPr>
        <w:t>Insert</w:t>
      </w:r>
      <w:r w:rsidRPr="009E195F">
        <w:rPr>
          <w:iCs/>
          <w:color w:val="auto"/>
          <w:sz w:val="20"/>
          <w:szCs w:val="20"/>
        </w:rPr>
        <w:t xml:space="preserve"> at the end of </w:t>
      </w:r>
      <w:r w:rsidR="00C1149D">
        <w:rPr>
          <w:iCs/>
          <w:color w:val="auto"/>
          <w:sz w:val="20"/>
          <w:szCs w:val="20"/>
        </w:rPr>
        <w:t>P</w:t>
      </w:r>
      <w:r w:rsidRPr="009E195F">
        <w:rPr>
          <w:iCs/>
          <w:color w:val="auto"/>
          <w:sz w:val="20"/>
          <w:szCs w:val="20"/>
        </w:rPr>
        <w:t xml:space="preserve">art A </w:t>
      </w:r>
      <w:r w:rsidRPr="006576E5">
        <w:rPr>
          <w:i/>
          <w:iCs/>
          <w:color w:val="auto"/>
          <w:sz w:val="20"/>
          <w:szCs w:val="20"/>
        </w:rPr>
        <w:t>the following note:</w:t>
      </w:r>
      <w:r w:rsidRPr="009E195F">
        <w:rPr>
          <w:iCs/>
          <w:color w:val="auto"/>
          <w:sz w:val="20"/>
          <w:szCs w:val="20"/>
        </w:rPr>
        <w:t xml:space="preserve"> </w:t>
      </w:r>
    </w:p>
    <w:p w:rsidR="009C0BCB" w:rsidRPr="009C0BCB"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006576E5">
        <w:rPr>
          <w:bCs/>
          <w:color w:val="auto"/>
          <w:sz w:val="20"/>
          <w:szCs w:val="20"/>
        </w:rPr>
        <w:t xml:space="preserve">  </w:t>
      </w:r>
      <w:r w:rsidRPr="009C0BCB">
        <w:rPr>
          <w:bCs/>
          <w:color w:val="auto"/>
          <w:sz w:val="18"/>
          <w:szCs w:val="20"/>
        </w:rPr>
        <w:t>The inflation pressure to be used for measurement and tests is placed near the service description. It may either follow or be placed below it.</w:t>
      </w:r>
      <w:r>
        <w:rPr>
          <w:bCs/>
          <w:color w:val="auto"/>
          <w:sz w:val="20"/>
          <w:szCs w:val="20"/>
        </w:rPr>
        <w:t>"</w:t>
      </w:r>
      <w:r w:rsidRPr="009E195F">
        <w:rPr>
          <w:b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sidRPr="009E195F">
        <w:rPr>
          <w:i/>
          <w:iCs/>
          <w:color w:val="auto"/>
          <w:sz w:val="20"/>
          <w:szCs w:val="20"/>
        </w:rPr>
        <w:t>Annex 3 – Part B</w:t>
      </w:r>
      <w:r w:rsidR="006576E5">
        <w:rPr>
          <w:i/>
          <w:iCs/>
          <w:color w:val="auto"/>
          <w:sz w:val="20"/>
          <w:szCs w:val="20"/>
        </w:rPr>
        <w:t>,</w:t>
      </w:r>
      <w:r w:rsidRPr="009E195F">
        <w:rPr>
          <w:i/>
          <w:iCs/>
          <w:color w:val="auto"/>
          <w:sz w:val="20"/>
          <w:szCs w:val="20"/>
        </w:rPr>
        <w:t xml:space="preserve"> </w:t>
      </w:r>
      <w:r>
        <w:rPr>
          <w:iCs/>
          <w:color w:val="auto"/>
          <w:sz w:val="20"/>
          <w:szCs w:val="20"/>
        </w:rPr>
        <w:t>insert</w:t>
      </w:r>
      <w:r w:rsidRPr="009E195F">
        <w:rPr>
          <w:iCs/>
          <w:color w:val="auto"/>
          <w:sz w:val="20"/>
          <w:szCs w:val="20"/>
        </w:rPr>
        <w:t xml:space="preserve"> </w:t>
      </w:r>
      <w:r>
        <w:rPr>
          <w:iCs/>
          <w:color w:val="auto"/>
          <w:sz w:val="20"/>
          <w:szCs w:val="20"/>
        </w:rPr>
        <w:t xml:space="preserve">a </w:t>
      </w:r>
      <w:r w:rsidRPr="006576E5">
        <w:rPr>
          <w:i/>
          <w:iCs/>
          <w:color w:val="auto"/>
          <w:sz w:val="20"/>
          <w:szCs w:val="20"/>
        </w:rPr>
        <w:t>note (</w:t>
      </w:r>
      <w:proofErr w:type="spellStart"/>
      <w:r w:rsidRPr="006576E5">
        <w:rPr>
          <w:i/>
          <w:iCs/>
          <w:color w:val="auto"/>
          <w:sz w:val="20"/>
          <w:szCs w:val="20"/>
        </w:rPr>
        <w:t>i</w:t>
      </w:r>
      <w:proofErr w:type="spellEnd"/>
      <w:r w:rsidRPr="006576E5">
        <w:rPr>
          <w:i/>
          <w:iCs/>
          <w:color w:val="auto"/>
          <w:sz w:val="20"/>
          <w:szCs w:val="20"/>
        </w:rPr>
        <w:t>)</w:t>
      </w:r>
      <w:r w:rsidRPr="009E195F">
        <w:rPr>
          <w:i/>
          <w:iCs/>
          <w:color w:val="auto"/>
          <w:sz w:val="20"/>
          <w:szCs w:val="20"/>
        </w:rPr>
        <w:t xml:space="preserve"> </w:t>
      </w:r>
      <w:r w:rsidRPr="009E195F">
        <w:rPr>
          <w:color w:val="auto"/>
          <w:sz w:val="20"/>
          <w:szCs w:val="20"/>
        </w:rPr>
        <w:t xml:space="preserve">to read: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Pr="009C0BCB">
        <w:rPr>
          <w:bCs/>
          <w:color w:val="auto"/>
          <w:sz w:val="18"/>
          <w:szCs w:val="20"/>
        </w:rPr>
        <w:t>(</w:t>
      </w:r>
      <w:proofErr w:type="spellStart"/>
      <w:r w:rsidRPr="009C0BCB">
        <w:rPr>
          <w:bCs/>
          <w:color w:val="auto"/>
          <w:sz w:val="18"/>
          <w:szCs w:val="20"/>
        </w:rPr>
        <w:t>i</w:t>
      </w:r>
      <w:proofErr w:type="spellEnd"/>
      <w:proofErr w:type="gramStart"/>
      <w:r w:rsidRPr="009C0BCB">
        <w:rPr>
          <w:bCs/>
          <w:color w:val="auto"/>
          <w:sz w:val="18"/>
          <w:szCs w:val="20"/>
        </w:rPr>
        <w:t>)  Requiring</w:t>
      </w:r>
      <w:proofErr w:type="gramEnd"/>
      <w:r w:rsidRPr="009C0BCB">
        <w:rPr>
          <w:bCs/>
          <w:color w:val="auto"/>
          <w:sz w:val="18"/>
          <w:szCs w:val="20"/>
        </w:rPr>
        <w:t xml:space="preserve"> to be inflated to 240 kPa for measurements and tyre resistance to burst.</w:t>
      </w:r>
      <w:r>
        <w:rPr>
          <w:bCs/>
          <w:color w:val="auto"/>
          <w:sz w:val="20"/>
          <w:szCs w:val="20"/>
        </w:rPr>
        <w:t>"</w:t>
      </w:r>
      <w:r w:rsidRPr="009E195F">
        <w:rPr>
          <w:b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Pr>
          <w:iCs/>
          <w:color w:val="auto"/>
          <w:sz w:val="20"/>
          <w:szCs w:val="20"/>
        </w:rPr>
        <w:t>Insert</w:t>
      </w:r>
      <w:r w:rsidRPr="009E195F">
        <w:rPr>
          <w:iCs/>
          <w:color w:val="auto"/>
          <w:sz w:val="20"/>
          <w:szCs w:val="20"/>
        </w:rPr>
        <w:t xml:space="preserve"> at the end of </w:t>
      </w:r>
      <w:r w:rsidR="00C1149D">
        <w:rPr>
          <w:iCs/>
          <w:color w:val="auto"/>
          <w:sz w:val="20"/>
          <w:szCs w:val="20"/>
        </w:rPr>
        <w:t>P</w:t>
      </w:r>
      <w:r w:rsidRPr="009E195F">
        <w:rPr>
          <w:iCs/>
          <w:color w:val="auto"/>
          <w:sz w:val="20"/>
          <w:szCs w:val="20"/>
        </w:rPr>
        <w:t xml:space="preserve">art B </w:t>
      </w:r>
      <w:r w:rsidRPr="0026164B">
        <w:rPr>
          <w:i/>
          <w:iCs/>
          <w:color w:val="auto"/>
          <w:sz w:val="20"/>
          <w:szCs w:val="20"/>
        </w:rPr>
        <w:t>the following note:</w:t>
      </w:r>
      <w:r w:rsidRPr="009E195F">
        <w:rPr>
          <w:i/>
          <w:i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Pr="009C0BCB">
        <w:rPr>
          <w:bCs/>
          <w:color w:val="auto"/>
          <w:sz w:val="18"/>
          <w:szCs w:val="20"/>
        </w:rPr>
        <w:t>The inflation pressure to be used for measurement and tests is placed near the service description. It may either follow or be placed below it.</w:t>
      </w:r>
      <w:r>
        <w:rPr>
          <w:bCs/>
          <w:color w:val="auto"/>
          <w:sz w:val="20"/>
          <w:szCs w:val="20"/>
        </w:rPr>
        <w:t>"</w:t>
      </w:r>
      <w:r w:rsidRPr="009E195F">
        <w:rPr>
          <w:b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sidRPr="009E195F">
        <w:rPr>
          <w:i/>
          <w:iCs/>
          <w:color w:val="auto"/>
          <w:sz w:val="20"/>
          <w:szCs w:val="20"/>
        </w:rPr>
        <w:t>Annex 3 – Part C</w:t>
      </w:r>
      <w:r w:rsidR="006576E5">
        <w:rPr>
          <w:i/>
          <w:iCs/>
          <w:color w:val="auto"/>
          <w:sz w:val="20"/>
          <w:szCs w:val="20"/>
        </w:rPr>
        <w:t>,</w:t>
      </w:r>
      <w:r w:rsidRPr="009E195F">
        <w:rPr>
          <w:i/>
          <w:iCs/>
          <w:color w:val="auto"/>
          <w:sz w:val="20"/>
          <w:szCs w:val="20"/>
        </w:rPr>
        <w:t xml:space="preserve"> </w:t>
      </w:r>
      <w:r w:rsidR="006576E5">
        <w:rPr>
          <w:iCs/>
          <w:color w:val="auto"/>
          <w:sz w:val="20"/>
          <w:szCs w:val="20"/>
        </w:rPr>
        <w:t>insert</w:t>
      </w:r>
      <w:r w:rsidRPr="006576E5">
        <w:rPr>
          <w:i/>
          <w:iCs/>
          <w:color w:val="auto"/>
          <w:sz w:val="20"/>
          <w:szCs w:val="20"/>
        </w:rPr>
        <w:t xml:space="preserve"> note (k)</w:t>
      </w:r>
      <w:r w:rsidRPr="009E195F">
        <w:rPr>
          <w:i/>
          <w:iCs/>
          <w:color w:val="auto"/>
          <w:sz w:val="20"/>
          <w:szCs w:val="20"/>
        </w:rPr>
        <w:t xml:space="preserve"> </w:t>
      </w:r>
      <w:r w:rsidRPr="009E195F">
        <w:rPr>
          <w:color w:val="auto"/>
          <w:sz w:val="20"/>
          <w:szCs w:val="20"/>
        </w:rPr>
        <w:t xml:space="preserve">to read: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Pr="009C0BCB">
        <w:rPr>
          <w:bCs/>
          <w:color w:val="auto"/>
          <w:sz w:val="18"/>
          <w:szCs w:val="20"/>
        </w:rPr>
        <w:t>(</w:t>
      </w:r>
      <w:proofErr w:type="gramStart"/>
      <w:r w:rsidRPr="009C0BCB">
        <w:rPr>
          <w:bCs/>
          <w:color w:val="auto"/>
          <w:sz w:val="18"/>
          <w:szCs w:val="20"/>
        </w:rPr>
        <w:t>k)  Requiring</w:t>
      </w:r>
      <w:proofErr w:type="gramEnd"/>
      <w:r w:rsidRPr="009C0BCB">
        <w:rPr>
          <w:bCs/>
          <w:color w:val="auto"/>
          <w:sz w:val="18"/>
          <w:szCs w:val="20"/>
        </w:rPr>
        <w:t xml:space="preserve"> to be inflated to 240 kPa for measurements and tyre resistance to burst and, if applicable, load/speed test.</w:t>
      </w:r>
      <w:r>
        <w:rPr>
          <w:bCs/>
          <w:color w:val="auto"/>
          <w:sz w:val="20"/>
          <w:szCs w:val="20"/>
        </w:rPr>
        <w:t>"</w:t>
      </w:r>
      <w:r w:rsidRPr="009E195F">
        <w:rPr>
          <w:b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Pr>
          <w:iCs/>
          <w:color w:val="auto"/>
          <w:sz w:val="20"/>
          <w:szCs w:val="20"/>
        </w:rPr>
        <w:t>Insert</w:t>
      </w:r>
      <w:r w:rsidRPr="009E195F">
        <w:rPr>
          <w:iCs/>
          <w:color w:val="auto"/>
          <w:sz w:val="20"/>
          <w:szCs w:val="20"/>
        </w:rPr>
        <w:t xml:space="preserve"> at the end of </w:t>
      </w:r>
      <w:r w:rsidR="007615F9">
        <w:rPr>
          <w:iCs/>
          <w:color w:val="auto"/>
          <w:sz w:val="20"/>
          <w:szCs w:val="20"/>
        </w:rPr>
        <w:t>P</w:t>
      </w:r>
      <w:r w:rsidRPr="009E195F">
        <w:rPr>
          <w:iCs/>
          <w:color w:val="auto"/>
          <w:sz w:val="20"/>
          <w:szCs w:val="20"/>
        </w:rPr>
        <w:t xml:space="preserve">art C </w:t>
      </w:r>
      <w:r w:rsidRPr="006576E5">
        <w:rPr>
          <w:i/>
          <w:iCs/>
          <w:color w:val="auto"/>
          <w:sz w:val="20"/>
          <w:szCs w:val="20"/>
        </w:rPr>
        <w:t>the following note</w:t>
      </w:r>
      <w:r w:rsidRPr="009E195F">
        <w:rPr>
          <w:i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Pr="009C0BCB">
        <w:rPr>
          <w:bCs/>
          <w:color w:val="auto"/>
          <w:sz w:val="18"/>
          <w:szCs w:val="20"/>
        </w:rPr>
        <w:t>The inflation pressure to be used for measurement and tests is placed near the service description. It may either follow or be placed below it.</w:t>
      </w:r>
      <w:r>
        <w:rPr>
          <w:bCs/>
          <w:color w:val="auto"/>
          <w:sz w:val="20"/>
          <w:szCs w:val="20"/>
        </w:rPr>
        <w:t>"</w:t>
      </w:r>
      <w:r w:rsidRPr="009E195F">
        <w:rPr>
          <w:b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sidRPr="009E195F">
        <w:rPr>
          <w:i/>
          <w:iCs/>
          <w:color w:val="auto"/>
          <w:sz w:val="20"/>
          <w:szCs w:val="20"/>
        </w:rPr>
        <w:t>Annex 3 – Part D</w:t>
      </w:r>
      <w:r w:rsidR="007615F9">
        <w:rPr>
          <w:i/>
          <w:iCs/>
          <w:color w:val="auto"/>
          <w:sz w:val="20"/>
          <w:szCs w:val="20"/>
        </w:rPr>
        <w:t xml:space="preserve">, </w:t>
      </w:r>
      <w:r w:rsidR="007615F9" w:rsidRPr="007615F9">
        <w:rPr>
          <w:iCs/>
          <w:color w:val="auto"/>
          <w:sz w:val="20"/>
          <w:szCs w:val="20"/>
        </w:rPr>
        <w:t>insert</w:t>
      </w:r>
      <w:r w:rsidRPr="009E195F">
        <w:rPr>
          <w:iCs/>
          <w:color w:val="auto"/>
          <w:sz w:val="20"/>
          <w:szCs w:val="20"/>
        </w:rPr>
        <w:t xml:space="preserve"> </w:t>
      </w:r>
      <w:r w:rsidRPr="006576E5">
        <w:rPr>
          <w:i/>
          <w:iCs/>
          <w:color w:val="auto"/>
          <w:sz w:val="20"/>
          <w:szCs w:val="20"/>
        </w:rPr>
        <w:t>note (j)</w:t>
      </w:r>
      <w:r w:rsidRPr="009E195F">
        <w:rPr>
          <w:i/>
          <w:iCs/>
          <w:color w:val="auto"/>
          <w:sz w:val="20"/>
          <w:szCs w:val="20"/>
        </w:rPr>
        <w:t xml:space="preserve"> </w:t>
      </w:r>
      <w:r w:rsidRPr="009E195F">
        <w:rPr>
          <w:color w:val="auto"/>
          <w:sz w:val="20"/>
          <w:szCs w:val="20"/>
        </w:rPr>
        <w:t xml:space="preserve">to read: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Pr="009C0BCB">
        <w:rPr>
          <w:bCs/>
          <w:color w:val="auto"/>
          <w:sz w:val="18"/>
          <w:szCs w:val="20"/>
        </w:rPr>
        <w:t>(</w:t>
      </w:r>
      <w:proofErr w:type="gramStart"/>
      <w:r w:rsidRPr="009C0BCB">
        <w:rPr>
          <w:bCs/>
          <w:color w:val="auto"/>
          <w:sz w:val="18"/>
          <w:szCs w:val="20"/>
        </w:rPr>
        <w:t>j)  Requiring</w:t>
      </w:r>
      <w:proofErr w:type="gramEnd"/>
      <w:r w:rsidRPr="009C0BCB">
        <w:rPr>
          <w:bCs/>
          <w:color w:val="auto"/>
          <w:sz w:val="18"/>
          <w:szCs w:val="20"/>
        </w:rPr>
        <w:t xml:space="preserve"> to be inflated to 240 kPa for measurements and tyre resistance to burst.</w:t>
      </w:r>
      <w:r>
        <w:rPr>
          <w:bCs/>
          <w:color w:val="auto"/>
          <w:sz w:val="20"/>
          <w:szCs w:val="20"/>
        </w:rPr>
        <w:t>"</w:t>
      </w:r>
      <w:r w:rsidRPr="009E195F">
        <w:rPr>
          <w:b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Pr>
          <w:iCs/>
          <w:color w:val="auto"/>
          <w:sz w:val="20"/>
          <w:szCs w:val="20"/>
        </w:rPr>
        <w:t>Insert</w:t>
      </w:r>
      <w:r w:rsidRPr="009E195F">
        <w:rPr>
          <w:iCs/>
          <w:color w:val="auto"/>
          <w:sz w:val="20"/>
          <w:szCs w:val="20"/>
        </w:rPr>
        <w:t xml:space="preserve"> at the end of </w:t>
      </w:r>
      <w:r w:rsidR="007615F9">
        <w:rPr>
          <w:iCs/>
          <w:color w:val="auto"/>
          <w:sz w:val="20"/>
          <w:szCs w:val="20"/>
        </w:rPr>
        <w:t>P</w:t>
      </w:r>
      <w:r w:rsidRPr="009E195F">
        <w:rPr>
          <w:iCs/>
          <w:color w:val="auto"/>
          <w:sz w:val="20"/>
          <w:szCs w:val="20"/>
        </w:rPr>
        <w:t xml:space="preserve">art D </w:t>
      </w:r>
      <w:r w:rsidRPr="006576E5">
        <w:rPr>
          <w:i/>
          <w:iCs/>
          <w:color w:val="auto"/>
          <w:sz w:val="20"/>
          <w:szCs w:val="20"/>
        </w:rPr>
        <w:t>the following note</w:t>
      </w:r>
      <w:r w:rsidRPr="009E195F">
        <w:rPr>
          <w:i/>
          <w:iCs/>
          <w:color w:val="auto"/>
          <w:sz w:val="20"/>
          <w:szCs w:val="20"/>
        </w:rPr>
        <w:t xml:space="preserve">: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t>"</w:t>
      </w:r>
      <w:r>
        <w:rPr>
          <w:bCs/>
          <w:color w:val="auto"/>
          <w:sz w:val="20"/>
          <w:szCs w:val="20"/>
        </w:rPr>
        <w:tab/>
      </w:r>
      <w:r w:rsidRPr="009C0BCB">
        <w:rPr>
          <w:bCs/>
          <w:color w:val="auto"/>
          <w:sz w:val="18"/>
          <w:szCs w:val="20"/>
        </w:rPr>
        <w:t>The inflation pressure to be used for measurement and tests is placed near the service description. It may either follow or be placed below it.</w:t>
      </w:r>
      <w:r>
        <w:rPr>
          <w:bCs/>
          <w:color w:val="auto"/>
          <w:sz w:val="18"/>
          <w:szCs w:val="20"/>
        </w:rPr>
        <w:t>"</w:t>
      </w:r>
      <w:r w:rsidRPr="009C0BCB">
        <w:rPr>
          <w:bCs/>
          <w:color w:val="auto"/>
          <w:sz w:val="18"/>
          <w:szCs w:val="20"/>
        </w:rPr>
        <w:t xml:space="preserve"> </w:t>
      </w:r>
    </w:p>
    <w:p w:rsidR="009C0BCB" w:rsidRPr="009E195F" w:rsidRDefault="009C0BCB" w:rsidP="009C0BCB">
      <w:pPr>
        <w:pStyle w:val="Default"/>
        <w:spacing w:after="120"/>
        <w:ind w:left="2268" w:right="1134" w:hanging="1134"/>
        <w:rPr>
          <w:b/>
          <w:color w:val="auto"/>
          <w:sz w:val="20"/>
          <w:szCs w:val="20"/>
        </w:rPr>
      </w:pPr>
      <w:r w:rsidRPr="009E195F">
        <w:rPr>
          <w:i/>
          <w:iCs/>
          <w:color w:val="auto"/>
          <w:sz w:val="20"/>
          <w:szCs w:val="20"/>
        </w:rPr>
        <w:t>Annex 3 – Part E</w:t>
      </w:r>
      <w:r w:rsidR="006576E5">
        <w:rPr>
          <w:i/>
          <w:iCs/>
          <w:color w:val="auto"/>
          <w:sz w:val="20"/>
          <w:szCs w:val="20"/>
        </w:rPr>
        <w:t>,</w:t>
      </w:r>
      <w:r w:rsidRPr="009E195F">
        <w:rPr>
          <w:i/>
          <w:iCs/>
          <w:color w:val="auto"/>
          <w:sz w:val="20"/>
          <w:szCs w:val="20"/>
        </w:rPr>
        <w:t xml:space="preserve"> </w:t>
      </w:r>
      <w:r>
        <w:rPr>
          <w:iCs/>
          <w:color w:val="auto"/>
          <w:sz w:val="20"/>
          <w:szCs w:val="20"/>
        </w:rPr>
        <w:t>insert a</w:t>
      </w:r>
      <w:r w:rsidRPr="009E195F">
        <w:rPr>
          <w:iCs/>
          <w:color w:val="auto"/>
          <w:sz w:val="20"/>
          <w:szCs w:val="20"/>
        </w:rPr>
        <w:t xml:space="preserve"> </w:t>
      </w:r>
      <w:r w:rsidRPr="006576E5">
        <w:rPr>
          <w:i/>
          <w:iCs/>
          <w:color w:val="auto"/>
          <w:sz w:val="20"/>
          <w:szCs w:val="20"/>
        </w:rPr>
        <w:t>note (j)</w:t>
      </w:r>
      <w:r w:rsidRPr="009E195F">
        <w:rPr>
          <w:i/>
          <w:iCs/>
          <w:color w:val="auto"/>
          <w:sz w:val="20"/>
          <w:szCs w:val="20"/>
        </w:rPr>
        <w:t xml:space="preserve"> </w:t>
      </w:r>
      <w:r w:rsidRPr="009E195F">
        <w:rPr>
          <w:color w:val="auto"/>
          <w:sz w:val="20"/>
          <w:szCs w:val="20"/>
        </w:rPr>
        <w:t xml:space="preserve">to read: </w:t>
      </w:r>
    </w:p>
    <w:p w:rsidR="009C0BCB" w:rsidRPr="009E195F" w:rsidRDefault="009C0BCB" w:rsidP="009C0BCB">
      <w:pPr>
        <w:pStyle w:val="Default"/>
        <w:spacing w:after="120"/>
        <w:ind w:left="2268" w:right="1134" w:hanging="1134"/>
        <w:rPr>
          <w:b/>
          <w:color w:val="auto"/>
          <w:sz w:val="20"/>
          <w:szCs w:val="20"/>
        </w:rPr>
      </w:pPr>
      <w:r>
        <w:rPr>
          <w:bCs/>
          <w:color w:val="auto"/>
          <w:sz w:val="20"/>
          <w:szCs w:val="20"/>
        </w:rPr>
        <w:lastRenderedPageBreak/>
        <w:t>"</w:t>
      </w:r>
      <w:r>
        <w:rPr>
          <w:bCs/>
          <w:color w:val="auto"/>
          <w:sz w:val="20"/>
          <w:szCs w:val="20"/>
        </w:rPr>
        <w:tab/>
      </w:r>
      <w:r w:rsidRPr="009C0BCB">
        <w:rPr>
          <w:bCs/>
          <w:color w:val="auto"/>
          <w:sz w:val="18"/>
          <w:szCs w:val="20"/>
        </w:rPr>
        <w:t>(</w:t>
      </w:r>
      <w:proofErr w:type="gramStart"/>
      <w:r w:rsidRPr="009C0BCB">
        <w:rPr>
          <w:bCs/>
          <w:color w:val="auto"/>
          <w:sz w:val="18"/>
          <w:szCs w:val="20"/>
        </w:rPr>
        <w:t>j)  Requiring</w:t>
      </w:r>
      <w:proofErr w:type="gramEnd"/>
      <w:r w:rsidRPr="009C0BCB">
        <w:rPr>
          <w:bCs/>
          <w:color w:val="auto"/>
          <w:sz w:val="18"/>
          <w:szCs w:val="20"/>
        </w:rPr>
        <w:t xml:space="preserve"> to be inflated to 240 kPa for measurements and tyre resistance to burst and, if applicable, load/speed test.</w:t>
      </w:r>
      <w:r>
        <w:rPr>
          <w:bCs/>
          <w:color w:val="auto"/>
          <w:sz w:val="18"/>
          <w:szCs w:val="20"/>
        </w:rPr>
        <w:t>"</w:t>
      </w:r>
      <w:r w:rsidRPr="009C0BCB">
        <w:rPr>
          <w:bCs/>
          <w:color w:val="auto"/>
          <w:sz w:val="18"/>
          <w:szCs w:val="20"/>
        </w:rPr>
        <w:t xml:space="preserve"> </w:t>
      </w:r>
    </w:p>
    <w:p w:rsidR="009C0BCB" w:rsidRPr="00260E57" w:rsidRDefault="009C0BCB" w:rsidP="009C0BCB">
      <w:pPr>
        <w:pStyle w:val="Default"/>
        <w:spacing w:after="120"/>
        <w:ind w:left="2268" w:right="1134" w:hanging="1134"/>
        <w:rPr>
          <w:bCs/>
          <w:color w:val="auto"/>
          <w:sz w:val="20"/>
          <w:szCs w:val="20"/>
        </w:rPr>
      </w:pPr>
      <w:r>
        <w:rPr>
          <w:bCs/>
          <w:color w:val="auto"/>
          <w:sz w:val="20"/>
          <w:szCs w:val="20"/>
        </w:rPr>
        <w:t>Insert</w:t>
      </w:r>
      <w:r w:rsidRPr="00260E57">
        <w:rPr>
          <w:bCs/>
          <w:color w:val="auto"/>
          <w:sz w:val="20"/>
          <w:szCs w:val="20"/>
        </w:rPr>
        <w:t xml:space="preserve"> at the end of </w:t>
      </w:r>
      <w:r w:rsidR="00C1149D">
        <w:rPr>
          <w:bCs/>
          <w:color w:val="auto"/>
          <w:sz w:val="20"/>
          <w:szCs w:val="20"/>
        </w:rPr>
        <w:t>P</w:t>
      </w:r>
      <w:r w:rsidRPr="00260E57">
        <w:rPr>
          <w:bCs/>
          <w:color w:val="auto"/>
          <w:sz w:val="20"/>
          <w:szCs w:val="20"/>
        </w:rPr>
        <w:t xml:space="preserve">art E the following note: </w:t>
      </w:r>
    </w:p>
    <w:p w:rsidR="00E014AD" w:rsidRPr="009C0BCB" w:rsidRDefault="009C0BCB" w:rsidP="009C0BCB">
      <w:pPr>
        <w:pStyle w:val="SingleTxtG"/>
        <w:spacing w:line="240" w:lineRule="auto"/>
        <w:ind w:left="2268" w:hanging="1134"/>
        <w:rPr>
          <w:sz w:val="18"/>
        </w:rPr>
      </w:pPr>
      <w:r>
        <w:rPr>
          <w:bCs/>
        </w:rPr>
        <w:t>"</w:t>
      </w:r>
      <w:r>
        <w:rPr>
          <w:bCs/>
        </w:rPr>
        <w:tab/>
      </w:r>
      <w:r w:rsidRPr="009C0BCB">
        <w:rPr>
          <w:bCs/>
          <w:sz w:val="18"/>
        </w:rPr>
        <w:t>The inflation pressure to be used for measurement and tests is placed near the service description. It may either follow or be placed below it.</w:t>
      </w:r>
      <w:r>
        <w:rPr>
          <w:bCs/>
          <w:sz w:val="18"/>
        </w:rPr>
        <w:t>"</w:t>
      </w:r>
    </w:p>
    <w:p w:rsidR="0020554F" w:rsidRDefault="00DE46DF" w:rsidP="00DE46DF">
      <w:pPr>
        <w:pStyle w:val="HChG"/>
      </w:pPr>
      <w:r>
        <w:tab/>
      </w:r>
      <w:r w:rsidR="0020554F" w:rsidRPr="00957B9A">
        <w:t>II.</w:t>
      </w:r>
      <w:r w:rsidR="0020554F" w:rsidRPr="00957B9A">
        <w:tab/>
        <w:t>Justification</w:t>
      </w:r>
    </w:p>
    <w:p w:rsidR="009C0BCB" w:rsidRPr="00770D49" w:rsidRDefault="00DE46DF" w:rsidP="009C0BCB">
      <w:pPr>
        <w:pStyle w:val="SingleTxtG"/>
        <w:rPr>
          <w:b/>
        </w:rPr>
      </w:pPr>
      <w:r>
        <w:t>1.</w:t>
      </w:r>
      <w:r>
        <w:tab/>
      </w:r>
      <w:r w:rsidR="009C0BCB" w:rsidRPr="00770D49">
        <w:t>Para 3.1.16</w:t>
      </w:r>
      <w:r w:rsidR="006576E5">
        <w:t>.</w:t>
      </w:r>
      <w:r w:rsidR="009C0BCB" w:rsidRPr="00770D49">
        <w:t xml:space="preserve"> will add to the tyre markings the information of the inflation pressure to be used for measurements and tests. </w:t>
      </w:r>
    </w:p>
    <w:p w:rsidR="009C0BCB" w:rsidRPr="00770D49" w:rsidRDefault="009C0BCB" w:rsidP="009C0BCB">
      <w:pPr>
        <w:pStyle w:val="SingleTxtG"/>
        <w:rPr>
          <w:b/>
        </w:rPr>
      </w:pPr>
      <w:r>
        <w:t>2.</w:t>
      </w:r>
      <w:r>
        <w:tab/>
      </w:r>
      <w:r w:rsidRPr="00770D49">
        <w:t xml:space="preserve">Such information is </w:t>
      </w:r>
      <w:r>
        <w:t>currently</w:t>
      </w:r>
      <w:r w:rsidRPr="00770D49">
        <w:t xml:space="preserve"> submitted by the tyre manufacturer in writing, in the application for approval document (see paragraphs 4.1.12. and 4.1.15.) and does not appear amongst the tyre markings. </w:t>
      </w:r>
    </w:p>
    <w:p w:rsidR="009C0BCB" w:rsidRPr="00770D49" w:rsidRDefault="009C0BCB" w:rsidP="009C0BCB">
      <w:pPr>
        <w:pStyle w:val="SingleTxtG"/>
        <w:rPr>
          <w:b/>
        </w:rPr>
      </w:pPr>
      <w:r>
        <w:t>3.</w:t>
      </w:r>
      <w:r>
        <w:tab/>
      </w:r>
      <w:r w:rsidRPr="00770D49">
        <w:t>Such inflation pressure, to be used for measurements and tyre testing, is correlated to the version of load capacity assigned to the tyre and shall not be confused with safety requirement of the "cold inflation pressure that shall not be exceeded for bead seating during tyre mounting" (see paragraph 4.1.14</w:t>
      </w:r>
      <w:r w:rsidR="006576E5">
        <w:t>.</w:t>
      </w:r>
      <w:r w:rsidRPr="00770D49">
        <w:t xml:space="preserve">) that has to be specifically marked inside the pictogram depicted in Annex 11. </w:t>
      </w:r>
    </w:p>
    <w:p w:rsidR="009C0BCB" w:rsidRPr="00770D49" w:rsidRDefault="009C0BCB" w:rsidP="009C0BCB">
      <w:pPr>
        <w:pStyle w:val="SingleTxtG"/>
        <w:rPr>
          <w:b/>
        </w:rPr>
      </w:pPr>
      <w:r>
        <w:t>4.</w:t>
      </w:r>
      <w:r>
        <w:tab/>
      </w:r>
      <w:r w:rsidRPr="00770D49">
        <w:t xml:space="preserve">Adding to the tyre sidewall the proposed making, in similitude to the requirements of </w:t>
      </w:r>
      <w:r>
        <w:t xml:space="preserve">UN </w:t>
      </w:r>
      <w:r w:rsidRPr="00770D49">
        <w:t xml:space="preserve">Regulation No. 54, would inform directly the type approval authorities on the inflation pressure to be used for testing both in case of a new type approval and on the occasion of subsequent verifications for conformity of production. </w:t>
      </w:r>
    </w:p>
    <w:p w:rsidR="00E6200E" w:rsidRPr="00E6200E" w:rsidRDefault="009C0BCB" w:rsidP="00E6200E">
      <w:pPr>
        <w:pStyle w:val="SingleTxtG"/>
      </w:pPr>
      <w:r>
        <w:t>5.</w:t>
      </w:r>
      <w:r>
        <w:tab/>
      </w:r>
      <w:r w:rsidRPr="00770D49">
        <w:t>Moreover such information would be useful also for final user to know the reference inflation pressure in those cases where the same tyre size is available in various versions of load carrying capacities</w:t>
      </w:r>
      <w:r w:rsidR="006576E5">
        <w:t>.</w:t>
      </w:r>
    </w:p>
    <w:p w:rsidR="005A198E" w:rsidRPr="00F96161" w:rsidRDefault="006C2AFC" w:rsidP="00F96161">
      <w:pPr>
        <w:jc w:val="center"/>
        <w:rPr>
          <w:u w:val="single"/>
          <w:lang w:val="en-US"/>
        </w:rPr>
      </w:pPr>
      <w:r>
        <w:rPr>
          <w:u w:val="single"/>
          <w:lang w:val="en-US"/>
        </w:rPr>
        <w:tab/>
      </w:r>
      <w:r>
        <w:rPr>
          <w:u w:val="single"/>
          <w:lang w:val="en-US"/>
        </w:rPr>
        <w:tab/>
      </w:r>
      <w:r>
        <w:rPr>
          <w:u w:val="single"/>
          <w:lang w:val="en-US"/>
        </w:rPr>
        <w:tab/>
      </w:r>
    </w:p>
    <w:sectPr w:rsidR="005A198E" w:rsidRPr="00F96161" w:rsidSect="00DB22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F2" w:rsidRDefault="005B5BF2"/>
  </w:endnote>
  <w:endnote w:type="continuationSeparator" w:id="0">
    <w:p w:rsidR="005B5BF2" w:rsidRDefault="005B5BF2"/>
  </w:endnote>
  <w:endnote w:type="continuationNotice" w:id="1">
    <w:p w:rsidR="005B5BF2" w:rsidRDefault="005B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0" w:rsidRPr="00923752" w:rsidRDefault="00C17F00"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1F316A">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0" w:rsidRPr="00923752" w:rsidRDefault="00C17F00"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1F316A">
      <w:rPr>
        <w:b/>
        <w:noProof/>
        <w:sz w:val="18"/>
      </w:rPr>
      <w:t>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0" w:rsidRDefault="00A17626" w:rsidP="00A17626">
    <w:pPr>
      <w:pStyle w:val="Footer"/>
      <w:ind w:right="1134"/>
      <w:rPr>
        <w:rFonts w:ascii="C39T30Lfz" w:hAnsi="C39T30Lfz"/>
        <w:sz w:val="24"/>
        <w:szCs w:val="24"/>
      </w:rPr>
    </w:pPr>
    <w:r>
      <w:rPr>
        <w:rFonts w:ascii="C39T30Lfz" w:hAnsi="C39T30Lfz"/>
        <w:noProof/>
        <w:sz w:val="56"/>
        <w:szCs w:val="24"/>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7904414</wp:posOffset>
          </wp:positionV>
          <wp:extent cx="638175" cy="638175"/>
          <wp:effectExtent l="0" t="0" r="9525" b="9525"/>
          <wp:wrapNone/>
          <wp:docPr id="1" name="Picture 1" descr="https://undocs.org/m2/QRCode.ashx?DS=ECE/TRANS/WP.29/GRRF/2018/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626">
      <w:rPr>
        <w:rFonts w:ascii="C39T30Lfz" w:hAnsi="C39T30Lfz"/>
        <w:noProof/>
        <w:sz w:val="24"/>
        <w:szCs w:val="24"/>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8254365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17626" w:rsidRPr="003C0A41" w:rsidRDefault="008F638B" w:rsidP="00A17626">
    <w:pPr>
      <w:pStyle w:val="Footer"/>
      <w:ind w:right="1134"/>
      <w:rPr>
        <w:rFonts w:asciiTheme="majorBidi" w:hAnsiTheme="majorBidi" w:cstheme="majorBidi"/>
        <w:sz w:val="20"/>
        <w:szCs w:val="24"/>
      </w:rPr>
    </w:pPr>
    <w:r>
      <w:rPr>
        <w:rFonts w:asciiTheme="majorBidi" w:hAnsiTheme="majorBidi" w:cstheme="majorBidi"/>
        <w:sz w:val="20"/>
        <w:szCs w:val="24"/>
      </w:rPr>
      <w:t>GE.17-21541(E)</w:t>
    </w:r>
  </w:p>
  <w:p w:rsidR="00A17626" w:rsidRPr="00A17626" w:rsidRDefault="00A17626" w:rsidP="00A17626">
    <w:pPr>
      <w:pStyle w:val="Footer"/>
      <w:ind w:right="1134"/>
      <w:rPr>
        <w:rFonts w:ascii="C39T30Lfz" w:hAnsi="C39T30Lfz"/>
        <w:sz w:val="56"/>
        <w:szCs w:val="24"/>
      </w:rPr>
    </w:pP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F2" w:rsidRPr="000B175B" w:rsidRDefault="005B5BF2" w:rsidP="000B175B">
      <w:pPr>
        <w:tabs>
          <w:tab w:val="right" w:pos="2155"/>
        </w:tabs>
        <w:spacing w:after="80"/>
        <w:ind w:left="680"/>
        <w:rPr>
          <w:u w:val="single"/>
        </w:rPr>
      </w:pPr>
      <w:r>
        <w:rPr>
          <w:u w:val="single"/>
        </w:rPr>
        <w:tab/>
      </w:r>
    </w:p>
  </w:footnote>
  <w:footnote w:type="continuationSeparator" w:id="0">
    <w:p w:rsidR="005B5BF2" w:rsidRPr="00FC68B7" w:rsidRDefault="005B5BF2" w:rsidP="00FC68B7">
      <w:pPr>
        <w:tabs>
          <w:tab w:val="left" w:pos="2155"/>
        </w:tabs>
        <w:spacing w:after="80"/>
        <w:ind w:left="680"/>
        <w:rPr>
          <w:u w:val="single"/>
        </w:rPr>
      </w:pPr>
      <w:r>
        <w:rPr>
          <w:u w:val="single"/>
        </w:rPr>
        <w:tab/>
      </w:r>
    </w:p>
  </w:footnote>
  <w:footnote w:type="continuationNotice" w:id="1">
    <w:p w:rsidR="005B5BF2" w:rsidRDefault="005B5BF2"/>
  </w:footnote>
  <w:footnote w:id="2">
    <w:p w:rsidR="00C17F00" w:rsidRPr="002232AF" w:rsidRDefault="00C17F00" w:rsidP="00957B9A">
      <w:pPr>
        <w:pStyle w:val="FootnoteText"/>
        <w:rPr>
          <w:lang w:val="en-US"/>
        </w:rPr>
      </w:pPr>
      <w:r>
        <w:tab/>
      </w:r>
      <w:r w:rsidRPr="002232AF">
        <w:rPr>
          <w:rStyle w:val="FootnoteReference"/>
          <w:sz w:val="20"/>
          <w:vertAlign w:val="baseline"/>
          <w:lang w:val="en-US"/>
        </w:rPr>
        <w:t>*</w:t>
      </w:r>
      <w:r w:rsidRPr="002232AF">
        <w:rPr>
          <w:sz w:val="20"/>
          <w:lang w:val="en-US"/>
        </w:rPr>
        <w:tab/>
      </w:r>
      <w: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0" w:rsidRPr="00923752" w:rsidRDefault="00E014AD">
    <w:pPr>
      <w:pStyle w:val="Header"/>
    </w:pPr>
    <w:r>
      <w:t>ECE/TRANS/WP.29/GRRF/2018/7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0" w:rsidRPr="00923752" w:rsidRDefault="00C17F00" w:rsidP="00923752">
    <w:pPr>
      <w:pStyle w:val="Header"/>
      <w:jc w:val="right"/>
    </w:pPr>
    <w:r>
      <w:t>ECE/TRANS/WP.29/GRRF/2018/</w:t>
    </w:r>
    <w:r w:rsidR="006576E5">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0" w:rsidRDefault="00C17F00"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hybridMultilevel"/>
    <w:tmpl w:val="2EB141F2"/>
    <w:lvl w:ilvl="0" w:tplc="3A88C3DC">
      <w:start w:val="1"/>
      <w:numFmt w:val="decimal"/>
      <w:lvlText w:val="%1."/>
      <w:lvlJc w:val="left"/>
    </w:lvl>
    <w:lvl w:ilvl="1" w:tplc="85AA5250">
      <w:start w:val="1"/>
      <w:numFmt w:val="lowerLetter"/>
      <w:lvlText w:val="(%2)"/>
      <w:lvlJc w:val="left"/>
    </w:lvl>
    <w:lvl w:ilvl="2" w:tplc="39E45A8E">
      <w:start w:val="1"/>
      <w:numFmt w:val="lowerLetter"/>
      <w:lvlText w:val="(%3)"/>
      <w:lvlJc w:val="left"/>
    </w:lvl>
    <w:lvl w:ilvl="3" w:tplc="754E9002">
      <w:start w:val="1"/>
      <w:numFmt w:val="bullet"/>
      <w:lvlText w:val=""/>
      <w:lvlJc w:val="left"/>
    </w:lvl>
    <w:lvl w:ilvl="4" w:tplc="27AA267A">
      <w:start w:val="1"/>
      <w:numFmt w:val="bullet"/>
      <w:lvlText w:val=""/>
      <w:lvlJc w:val="left"/>
    </w:lvl>
    <w:lvl w:ilvl="5" w:tplc="8BFCE3FC">
      <w:start w:val="1"/>
      <w:numFmt w:val="bullet"/>
      <w:lvlText w:val=""/>
      <w:lvlJc w:val="left"/>
    </w:lvl>
    <w:lvl w:ilvl="6" w:tplc="F6EC3FE6">
      <w:start w:val="1"/>
      <w:numFmt w:val="bullet"/>
      <w:lvlText w:val=""/>
      <w:lvlJc w:val="left"/>
    </w:lvl>
    <w:lvl w:ilvl="7" w:tplc="EAD691E6">
      <w:start w:val="1"/>
      <w:numFmt w:val="bullet"/>
      <w:lvlText w:val=""/>
      <w:lvlJc w:val="left"/>
    </w:lvl>
    <w:lvl w:ilvl="8" w:tplc="9A2C0956">
      <w:start w:val="1"/>
      <w:numFmt w:val="bullet"/>
      <w:lvlText w:val=""/>
      <w:lvlJc w:val="left"/>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4"/>
  </w:num>
  <w:num w:numId="14">
    <w:abstractNumId w:val="17"/>
  </w:num>
  <w:num w:numId="15">
    <w:abstractNumId w:val="18"/>
  </w:num>
  <w:num w:numId="16">
    <w:abstractNumId w:val="1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F8B"/>
    <w:rsid w:val="00011EBE"/>
    <w:rsid w:val="00030044"/>
    <w:rsid w:val="00046B1F"/>
    <w:rsid w:val="00050F6B"/>
    <w:rsid w:val="00052635"/>
    <w:rsid w:val="00057E97"/>
    <w:rsid w:val="000646F4"/>
    <w:rsid w:val="00072C8C"/>
    <w:rsid w:val="000733B5"/>
    <w:rsid w:val="000743D1"/>
    <w:rsid w:val="00075CAF"/>
    <w:rsid w:val="00081815"/>
    <w:rsid w:val="00091922"/>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E1725"/>
    <w:rsid w:val="000E2478"/>
    <w:rsid w:val="000E2CB9"/>
    <w:rsid w:val="000F46F4"/>
    <w:rsid w:val="000F6BE3"/>
    <w:rsid w:val="000F7775"/>
    <w:rsid w:val="00103A07"/>
    <w:rsid w:val="00103A1A"/>
    <w:rsid w:val="001103AA"/>
    <w:rsid w:val="00111764"/>
    <w:rsid w:val="00112E6A"/>
    <w:rsid w:val="0011372E"/>
    <w:rsid w:val="0011666B"/>
    <w:rsid w:val="00120241"/>
    <w:rsid w:val="00121464"/>
    <w:rsid w:val="00133987"/>
    <w:rsid w:val="00135B68"/>
    <w:rsid w:val="00165F3A"/>
    <w:rsid w:val="00175B5A"/>
    <w:rsid w:val="00182290"/>
    <w:rsid w:val="001832FB"/>
    <w:rsid w:val="001A1658"/>
    <w:rsid w:val="001A3955"/>
    <w:rsid w:val="001B4B04"/>
    <w:rsid w:val="001C1B80"/>
    <w:rsid w:val="001C2258"/>
    <w:rsid w:val="001C6663"/>
    <w:rsid w:val="001C7895"/>
    <w:rsid w:val="001C78A8"/>
    <w:rsid w:val="001D0C8C"/>
    <w:rsid w:val="001D1419"/>
    <w:rsid w:val="001D26DF"/>
    <w:rsid w:val="001D3A03"/>
    <w:rsid w:val="001D4EDD"/>
    <w:rsid w:val="001E1B44"/>
    <w:rsid w:val="001E7B67"/>
    <w:rsid w:val="001F316A"/>
    <w:rsid w:val="001F4084"/>
    <w:rsid w:val="001F4C8C"/>
    <w:rsid w:val="001F5F0D"/>
    <w:rsid w:val="00202DA8"/>
    <w:rsid w:val="0020554F"/>
    <w:rsid w:val="00205E55"/>
    <w:rsid w:val="00211202"/>
    <w:rsid w:val="00211E0B"/>
    <w:rsid w:val="002249B1"/>
    <w:rsid w:val="0023295E"/>
    <w:rsid w:val="00232EF4"/>
    <w:rsid w:val="0023387C"/>
    <w:rsid w:val="00245197"/>
    <w:rsid w:val="0024772E"/>
    <w:rsid w:val="0026093F"/>
    <w:rsid w:val="0026164B"/>
    <w:rsid w:val="0026773C"/>
    <w:rsid w:val="00267F5F"/>
    <w:rsid w:val="00272BAF"/>
    <w:rsid w:val="002807CC"/>
    <w:rsid w:val="00286B4D"/>
    <w:rsid w:val="00293AFC"/>
    <w:rsid w:val="002B2CEE"/>
    <w:rsid w:val="002C554D"/>
    <w:rsid w:val="002D102B"/>
    <w:rsid w:val="002D1460"/>
    <w:rsid w:val="002D40C1"/>
    <w:rsid w:val="002D4643"/>
    <w:rsid w:val="002F175C"/>
    <w:rsid w:val="002F2821"/>
    <w:rsid w:val="002F7DE0"/>
    <w:rsid w:val="00302E18"/>
    <w:rsid w:val="003059F7"/>
    <w:rsid w:val="003068A3"/>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85977"/>
    <w:rsid w:val="00392E47"/>
    <w:rsid w:val="003A19B5"/>
    <w:rsid w:val="003A6321"/>
    <w:rsid w:val="003A6810"/>
    <w:rsid w:val="003B6E24"/>
    <w:rsid w:val="003C0787"/>
    <w:rsid w:val="003C0A41"/>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20472"/>
    <w:rsid w:val="00422E03"/>
    <w:rsid w:val="00426B9B"/>
    <w:rsid w:val="00431C30"/>
    <w:rsid w:val="004325CB"/>
    <w:rsid w:val="00434D7E"/>
    <w:rsid w:val="00437F32"/>
    <w:rsid w:val="004402CB"/>
    <w:rsid w:val="0044130A"/>
    <w:rsid w:val="00442A83"/>
    <w:rsid w:val="00445932"/>
    <w:rsid w:val="00452D12"/>
    <w:rsid w:val="0045495B"/>
    <w:rsid w:val="004561E5"/>
    <w:rsid w:val="0047284E"/>
    <w:rsid w:val="0048397A"/>
    <w:rsid w:val="00485CBB"/>
    <w:rsid w:val="004866B7"/>
    <w:rsid w:val="00490CBA"/>
    <w:rsid w:val="0049117E"/>
    <w:rsid w:val="004A19C8"/>
    <w:rsid w:val="004A2E1E"/>
    <w:rsid w:val="004B0758"/>
    <w:rsid w:val="004B1EE6"/>
    <w:rsid w:val="004C0977"/>
    <w:rsid w:val="004C2461"/>
    <w:rsid w:val="004C3897"/>
    <w:rsid w:val="004C7462"/>
    <w:rsid w:val="004D6F76"/>
    <w:rsid w:val="004E5C76"/>
    <w:rsid w:val="004E6A8B"/>
    <w:rsid w:val="004E77B2"/>
    <w:rsid w:val="004F2B31"/>
    <w:rsid w:val="00504B2D"/>
    <w:rsid w:val="005071C8"/>
    <w:rsid w:val="00515214"/>
    <w:rsid w:val="00515314"/>
    <w:rsid w:val="00517F61"/>
    <w:rsid w:val="0052136D"/>
    <w:rsid w:val="005213F3"/>
    <w:rsid w:val="0052775E"/>
    <w:rsid w:val="005420F2"/>
    <w:rsid w:val="0054349A"/>
    <w:rsid w:val="00552836"/>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5BF2"/>
    <w:rsid w:val="005B6B49"/>
    <w:rsid w:val="005C342F"/>
    <w:rsid w:val="005C52F3"/>
    <w:rsid w:val="005C7D1E"/>
    <w:rsid w:val="005D2C97"/>
    <w:rsid w:val="005E06CA"/>
    <w:rsid w:val="005E06E4"/>
    <w:rsid w:val="005E116A"/>
    <w:rsid w:val="005E61A3"/>
    <w:rsid w:val="005F4882"/>
    <w:rsid w:val="005F7B75"/>
    <w:rsid w:val="006001EE"/>
    <w:rsid w:val="00605042"/>
    <w:rsid w:val="00611FC4"/>
    <w:rsid w:val="006176FB"/>
    <w:rsid w:val="00620F30"/>
    <w:rsid w:val="00621CE7"/>
    <w:rsid w:val="00631ADC"/>
    <w:rsid w:val="00633C1B"/>
    <w:rsid w:val="00640B26"/>
    <w:rsid w:val="00641EB1"/>
    <w:rsid w:val="00642099"/>
    <w:rsid w:val="006423D9"/>
    <w:rsid w:val="006438A8"/>
    <w:rsid w:val="00650739"/>
    <w:rsid w:val="00652D0A"/>
    <w:rsid w:val="006576E5"/>
    <w:rsid w:val="00660E46"/>
    <w:rsid w:val="00662BB6"/>
    <w:rsid w:val="006652DB"/>
    <w:rsid w:val="006673C6"/>
    <w:rsid w:val="00671B51"/>
    <w:rsid w:val="0067362F"/>
    <w:rsid w:val="00676606"/>
    <w:rsid w:val="00676A10"/>
    <w:rsid w:val="00677CFB"/>
    <w:rsid w:val="0068160B"/>
    <w:rsid w:val="00684C21"/>
    <w:rsid w:val="006A2530"/>
    <w:rsid w:val="006B664D"/>
    <w:rsid w:val="006B6707"/>
    <w:rsid w:val="006C2AFC"/>
    <w:rsid w:val="006C3382"/>
    <w:rsid w:val="006C3589"/>
    <w:rsid w:val="006C3B77"/>
    <w:rsid w:val="006D010D"/>
    <w:rsid w:val="006D37AF"/>
    <w:rsid w:val="006D51D0"/>
    <w:rsid w:val="006D5CDE"/>
    <w:rsid w:val="006D5FB9"/>
    <w:rsid w:val="006D658E"/>
    <w:rsid w:val="006E564B"/>
    <w:rsid w:val="006E7191"/>
    <w:rsid w:val="006F22FE"/>
    <w:rsid w:val="006F6814"/>
    <w:rsid w:val="00703577"/>
    <w:rsid w:val="00705894"/>
    <w:rsid w:val="0070777D"/>
    <w:rsid w:val="0071190E"/>
    <w:rsid w:val="00722867"/>
    <w:rsid w:val="00723AE9"/>
    <w:rsid w:val="00723D74"/>
    <w:rsid w:val="0072632A"/>
    <w:rsid w:val="007327D5"/>
    <w:rsid w:val="007363F0"/>
    <w:rsid w:val="0074277F"/>
    <w:rsid w:val="00750230"/>
    <w:rsid w:val="00755113"/>
    <w:rsid w:val="00760184"/>
    <w:rsid w:val="0076036E"/>
    <w:rsid w:val="007615F9"/>
    <w:rsid w:val="007629C8"/>
    <w:rsid w:val="00764D11"/>
    <w:rsid w:val="0077047D"/>
    <w:rsid w:val="00787DAA"/>
    <w:rsid w:val="007935BF"/>
    <w:rsid w:val="007939B6"/>
    <w:rsid w:val="00793D61"/>
    <w:rsid w:val="00794AC5"/>
    <w:rsid w:val="0079503E"/>
    <w:rsid w:val="00795653"/>
    <w:rsid w:val="007A1B90"/>
    <w:rsid w:val="007A309D"/>
    <w:rsid w:val="007A3A71"/>
    <w:rsid w:val="007A4ECC"/>
    <w:rsid w:val="007B0806"/>
    <w:rsid w:val="007B67CF"/>
    <w:rsid w:val="007B6BA5"/>
    <w:rsid w:val="007C3390"/>
    <w:rsid w:val="007C3474"/>
    <w:rsid w:val="007C4F4B"/>
    <w:rsid w:val="007C5BDC"/>
    <w:rsid w:val="007D6462"/>
    <w:rsid w:val="007E01E9"/>
    <w:rsid w:val="007E049A"/>
    <w:rsid w:val="007E5A27"/>
    <w:rsid w:val="007E63F3"/>
    <w:rsid w:val="007F3B0C"/>
    <w:rsid w:val="007F3CA8"/>
    <w:rsid w:val="007F6611"/>
    <w:rsid w:val="00807027"/>
    <w:rsid w:val="00807307"/>
    <w:rsid w:val="00811920"/>
    <w:rsid w:val="00815AD0"/>
    <w:rsid w:val="00815EDB"/>
    <w:rsid w:val="0082426B"/>
    <w:rsid w:val="008242D7"/>
    <w:rsid w:val="008257B1"/>
    <w:rsid w:val="00832334"/>
    <w:rsid w:val="00843191"/>
    <w:rsid w:val="00843767"/>
    <w:rsid w:val="00846421"/>
    <w:rsid w:val="00847D58"/>
    <w:rsid w:val="00866E93"/>
    <w:rsid w:val="008679D9"/>
    <w:rsid w:val="00872A32"/>
    <w:rsid w:val="00875A75"/>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F31D2"/>
    <w:rsid w:val="008F638B"/>
    <w:rsid w:val="009006CD"/>
    <w:rsid w:val="00905CD3"/>
    <w:rsid w:val="00907534"/>
    <w:rsid w:val="00914E63"/>
    <w:rsid w:val="00915EF6"/>
    <w:rsid w:val="009223CA"/>
    <w:rsid w:val="00923752"/>
    <w:rsid w:val="00927489"/>
    <w:rsid w:val="00932C6B"/>
    <w:rsid w:val="0093536F"/>
    <w:rsid w:val="009354C2"/>
    <w:rsid w:val="00940F93"/>
    <w:rsid w:val="009439AE"/>
    <w:rsid w:val="009448C3"/>
    <w:rsid w:val="0095525F"/>
    <w:rsid w:val="00957B9A"/>
    <w:rsid w:val="00960B13"/>
    <w:rsid w:val="00963AC1"/>
    <w:rsid w:val="009734E8"/>
    <w:rsid w:val="00973B8D"/>
    <w:rsid w:val="009760F3"/>
    <w:rsid w:val="00976CFB"/>
    <w:rsid w:val="00984186"/>
    <w:rsid w:val="009854F7"/>
    <w:rsid w:val="009856EA"/>
    <w:rsid w:val="0099366F"/>
    <w:rsid w:val="009A0830"/>
    <w:rsid w:val="009A0E8D"/>
    <w:rsid w:val="009A4022"/>
    <w:rsid w:val="009A6F78"/>
    <w:rsid w:val="009B141E"/>
    <w:rsid w:val="009B26E7"/>
    <w:rsid w:val="009B4800"/>
    <w:rsid w:val="009B64BB"/>
    <w:rsid w:val="009C0593"/>
    <w:rsid w:val="009C0BCB"/>
    <w:rsid w:val="009D3358"/>
    <w:rsid w:val="009D5263"/>
    <w:rsid w:val="009E306B"/>
    <w:rsid w:val="009E5E02"/>
    <w:rsid w:val="009E6F05"/>
    <w:rsid w:val="009F2BCB"/>
    <w:rsid w:val="00A00697"/>
    <w:rsid w:val="00A00A3F"/>
    <w:rsid w:val="00A01489"/>
    <w:rsid w:val="00A04148"/>
    <w:rsid w:val="00A1143E"/>
    <w:rsid w:val="00A132C2"/>
    <w:rsid w:val="00A14816"/>
    <w:rsid w:val="00A17626"/>
    <w:rsid w:val="00A22689"/>
    <w:rsid w:val="00A3026E"/>
    <w:rsid w:val="00A338F1"/>
    <w:rsid w:val="00A35BE0"/>
    <w:rsid w:val="00A40C1F"/>
    <w:rsid w:val="00A541F4"/>
    <w:rsid w:val="00A6129C"/>
    <w:rsid w:val="00A66A2B"/>
    <w:rsid w:val="00A67600"/>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D0F83"/>
    <w:rsid w:val="00AD504E"/>
    <w:rsid w:val="00AD5904"/>
    <w:rsid w:val="00AE2A97"/>
    <w:rsid w:val="00AF44D0"/>
    <w:rsid w:val="00B026A9"/>
    <w:rsid w:val="00B03569"/>
    <w:rsid w:val="00B176CD"/>
    <w:rsid w:val="00B30179"/>
    <w:rsid w:val="00B308D7"/>
    <w:rsid w:val="00B421C1"/>
    <w:rsid w:val="00B53C21"/>
    <w:rsid w:val="00B55C71"/>
    <w:rsid w:val="00B56E4A"/>
    <w:rsid w:val="00B56E9C"/>
    <w:rsid w:val="00B60F79"/>
    <w:rsid w:val="00B62D5C"/>
    <w:rsid w:val="00B64B1F"/>
    <w:rsid w:val="00B65299"/>
    <w:rsid w:val="00B6553F"/>
    <w:rsid w:val="00B67E16"/>
    <w:rsid w:val="00B71619"/>
    <w:rsid w:val="00B72D0A"/>
    <w:rsid w:val="00B73307"/>
    <w:rsid w:val="00B75481"/>
    <w:rsid w:val="00B764D8"/>
    <w:rsid w:val="00B77D05"/>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00D91"/>
    <w:rsid w:val="00C1149D"/>
    <w:rsid w:val="00C11A03"/>
    <w:rsid w:val="00C145D2"/>
    <w:rsid w:val="00C14FBF"/>
    <w:rsid w:val="00C177A9"/>
    <w:rsid w:val="00C17F00"/>
    <w:rsid w:val="00C20546"/>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B62FD"/>
    <w:rsid w:val="00CC10A9"/>
    <w:rsid w:val="00CC4F22"/>
    <w:rsid w:val="00CD22A1"/>
    <w:rsid w:val="00CD4AA6"/>
    <w:rsid w:val="00CE4A8F"/>
    <w:rsid w:val="00CE5173"/>
    <w:rsid w:val="00CF0692"/>
    <w:rsid w:val="00CF20B1"/>
    <w:rsid w:val="00D01544"/>
    <w:rsid w:val="00D10E2D"/>
    <w:rsid w:val="00D2031B"/>
    <w:rsid w:val="00D248B6"/>
    <w:rsid w:val="00D25C23"/>
    <w:rsid w:val="00D25FE2"/>
    <w:rsid w:val="00D26E07"/>
    <w:rsid w:val="00D34C3D"/>
    <w:rsid w:val="00D36E50"/>
    <w:rsid w:val="00D43252"/>
    <w:rsid w:val="00D466D6"/>
    <w:rsid w:val="00D47EEA"/>
    <w:rsid w:val="00D67EB2"/>
    <w:rsid w:val="00D70325"/>
    <w:rsid w:val="00D7306C"/>
    <w:rsid w:val="00D736A0"/>
    <w:rsid w:val="00D73933"/>
    <w:rsid w:val="00D769DB"/>
    <w:rsid w:val="00D773DF"/>
    <w:rsid w:val="00D83BCC"/>
    <w:rsid w:val="00D86A1D"/>
    <w:rsid w:val="00D91CE7"/>
    <w:rsid w:val="00D9343A"/>
    <w:rsid w:val="00D95303"/>
    <w:rsid w:val="00D978C6"/>
    <w:rsid w:val="00DA3C1C"/>
    <w:rsid w:val="00DA7B18"/>
    <w:rsid w:val="00DB225E"/>
    <w:rsid w:val="00DB5483"/>
    <w:rsid w:val="00DC6D39"/>
    <w:rsid w:val="00DE46DF"/>
    <w:rsid w:val="00DF0429"/>
    <w:rsid w:val="00DF37B7"/>
    <w:rsid w:val="00DF636C"/>
    <w:rsid w:val="00DF6D92"/>
    <w:rsid w:val="00E014AD"/>
    <w:rsid w:val="00E046DF"/>
    <w:rsid w:val="00E22780"/>
    <w:rsid w:val="00E22B0C"/>
    <w:rsid w:val="00E27346"/>
    <w:rsid w:val="00E27BB0"/>
    <w:rsid w:val="00E33887"/>
    <w:rsid w:val="00E40A45"/>
    <w:rsid w:val="00E560CA"/>
    <w:rsid w:val="00E6200E"/>
    <w:rsid w:val="00E629CD"/>
    <w:rsid w:val="00E64500"/>
    <w:rsid w:val="00E71BC8"/>
    <w:rsid w:val="00E7260F"/>
    <w:rsid w:val="00E73F5D"/>
    <w:rsid w:val="00E756D5"/>
    <w:rsid w:val="00E75E2D"/>
    <w:rsid w:val="00E77E4E"/>
    <w:rsid w:val="00E808F9"/>
    <w:rsid w:val="00E96630"/>
    <w:rsid w:val="00EA2A77"/>
    <w:rsid w:val="00EA3961"/>
    <w:rsid w:val="00EB3A57"/>
    <w:rsid w:val="00EB7920"/>
    <w:rsid w:val="00EC0A5B"/>
    <w:rsid w:val="00EC0C03"/>
    <w:rsid w:val="00EC10BA"/>
    <w:rsid w:val="00EC3D60"/>
    <w:rsid w:val="00EC74F9"/>
    <w:rsid w:val="00ED02A7"/>
    <w:rsid w:val="00ED228F"/>
    <w:rsid w:val="00ED4DF6"/>
    <w:rsid w:val="00ED7A2A"/>
    <w:rsid w:val="00EE1A48"/>
    <w:rsid w:val="00EE7CA1"/>
    <w:rsid w:val="00EF1D7F"/>
    <w:rsid w:val="00EF5C56"/>
    <w:rsid w:val="00F03C32"/>
    <w:rsid w:val="00F0480F"/>
    <w:rsid w:val="00F05AD4"/>
    <w:rsid w:val="00F2385A"/>
    <w:rsid w:val="00F243E1"/>
    <w:rsid w:val="00F31E5F"/>
    <w:rsid w:val="00F342BF"/>
    <w:rsid w:val="00F42969"/>
    <w:rsid w:val="00F518BA"/>
    <w:rsid w:val="00F57A62"/>
    <w:rsid w:val="00F6100A"/>
    <w:rsid w:val="00F6124B"/>
    <w:rsid w:val="00F61740"/>
    <w:rsid w:val="00F6615A"/>
    <w:rsid w:val="00F75A7F"/>
    <w:rsid w:val="00F87B5E"/>
    <w:rsid w:val="00F93781"/>
    <w:rsid w:val="00F9526F"/>
    <w:rsid w:val="00F96161"/>
    <w:rsid w:val="00FA2414"/>
    <w:rsid w:val="00FA6945"/>
    <w:rsid w:val="00FB321F"/>
    <w:rsid w:val="00FB613B"/>
    <w:rsid w:val="00FC2246"/>
    <w:rsid w:val="00FC68B7"/>
    <w:rsid w:val="00FC7C34"/>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08BF7C-C31F-4E97-85E4-8D854F2D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uiPriority w:val="99"/>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uiPriority w:val="9"/>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link w:val="paraChar"/>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character" w:customStyle="1" w:styleId="paraChar">
    <w:name w:val="para Char"/>
    <w:link w:val="para"/>
    <w:rsid w:val="00875A75"/>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CE9F-FF08-4E54-B534-1246874C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732</Words>
  <Characters>4179</Characters>
  <Application>Microsoft Office Word</Application>
  <DocSecurity>4</DocSecurity>
  <Lines>34</Lines>
  <Paragraphs>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1721541</vt:lpstr>
      <vt:lpstr>1711203</vt:lpstr>
      <vt:lpstr>United Nations</vt:lpstr>
    </vt:vector>
  </TitlesOfParts>
  <Company>CSD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1721541</dc:title>
  <dc:subject>ECE/TRANS/WP.29/GRRF/2018/7</dc:subject>
  <dc:creator>Doerte Schramm</dc:creator>
  <cp:keywords/>
  <dc:description/>
  <cp:lastModifiedBy>Benedicte Boudol</cp:lastModifiedBy>
  <cp:revision>2</cp:revision>
  <cp:lastPrinted>2017-12-04T16:30:00Z</cp:lastPrinted>
  <dcterms:created xsi:type="dcterms:W3CDTF">2017-12-27T11:23:00Z</dcterms:created>
  <dcterms:modified xsi:type="dcterms:W3CDTF">2017-12-27T11:23:00Z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