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F45C13" w:rsidRPr="00401D7D" w:rsidTr="00401D7D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F45C13" w:rsidRPr="00401D7D" w:rsidRDefault="00F45C13" w:rsidP="00401D7D">
            <w:pPr>
              <w:pStyle w:val="Head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D7D">
              <w:rPr>
                <w:rFonts w:ascii="Times New Roman" w:hAnsi="Times New Roman" w:cs="Times New Roman"/>
                <w:sz w:val="20"/>
                <w:szCs w:val="20"/>
              </w:rPr>
              <w:t xml:space="preserve">Prepared by the </w:t>
            </w:r>
            <w:r w:rsidRPr="00401D7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experts from</w:t>
            </w:r>
            <w:r w:rsidRPr="00401D7D">
              <w:rPr>
                <w:rFonts w:ascii="Times New Roman" w:hAnsi="Times New Roman" w:cs="Times New Roman"/>
                <w:sz w:val="20"/>
                <w:szCs w:val="20"/>
              </w:rPr>
              <w:t xml:space="preserve"> The International Automotive Lighting and Light Signalling Expert Group (GTB)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5C13" w:rsidRPr="00401D7D" w:rsidRDefault="00F45C13" w:rsidP="00E9285D">
            <w:pPr>
              <w:pStyle w:val="Header"/>
              <w:tabs>
                <w:tab w:val="clear" w:pos="4513"/>
                <w:tab w:val="center" w:pos="4674"/>
              </w:tabs>
              <w:ind w:left="1272"/>
              <w:rPr>
                <w:rFonts w:ascii="Times New Roman" w:hAnsi="Times New Roman" w:cs="Times New Roman"/>
                <w:sz w:val="20"/>
                <w:szCs w:val="20"/>
              </w:rPr>
            </w:pPr>
            <w:r w:rsidRPr="00401D7D">
              <w:rPr>
                <w:rFonts w:ascii="Times New Roman" w:hAnsi="Times New Roman" w:cs="Times New Roman"/>
                <w:sz w:val="20"/>
                <w:szCs w:val="20"/>
              </w:rPr>
              <w:t xml:space="preserve">Informal document </w:t>
            </w:r>
            <w:r w:rsidRPr="003A5ACA">
              <w:rPr>
                <w:rFonts w:ascii="Times New Roman" w:hAnsi="Times New Roman" w:cs="Times New Roman"/>
                <w:sz w:val="20"/>
                <w:szCs w:val="20"/>
              </w:rPr>
              <w:t>GRE-80-</w:t>
            </w:r>
            <w:r w:rsidR="003A5ACA" w:rsidRPr="003A5A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34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285D">
              <w:rPr>
                <w:rFonts w:ascii="Times New Roman" w:hAnsi="Times New Roman" w:cs="Times New Roman"/>
                <w:sz w:val="20"/>
                <w:szCs w:val="20"/>
              </w:rPr>
              <w:t>Rev.1</w:t>
            </w:r>
          </w:p>
          <w:p w:rsidR="00F45C13" w:rsidRPr="00401D7D" w:rsidRDefault="00F45C13" w:rsidP="00E9285D">
            <w:pPr>
              <w:pStyle w:val="Header"/>
              <w:ind w:left="1272"/>
              <w:rPr>
                <w:rFonts w:ascii="Times New Roman" w:hAnsi="Times New Roman" w:cs="Times New Roman"/>
                <w:sz w:val="20"/>
                <w:szCs w:val="20"/>
              </w:rPr>
            </w:pPr>
            <w:r w:rsidRPr="00401D7D">
              <w:rPr>
                <w:rFonts w:ascii="Times New Roman" w:hAnsi="Times New Roman" w:cs="Times New Roman"/>
                <w:sz w:val="20"/>
                <w:szCs w:val="20"/>
              </w:rPr>
              <w:t>(80th GRE, 23-26 October 2018</w:t>
            </w:r>
          </w:p>
          <w:p w:rsidR="00F45C13" w:rsidRPr="00401D7D" w:rsidRDefault="00F45C13" w:rsidP="00E9285D">
            <w:pPr>
              <w:pStyle w:val="Header"/>
              <w:tabs>
                <w:tab w:val="clear" w:pos="4513"/>
                <w:tab w:val="center" w:pos="4957"/>
              </w:tabs>
              <w:ind w:left="1272" w:right="-27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D7D">
              <w:rPr>
                <w:rFonts w:ascii="Times New Roman" w:hAnsi="Times New Roman" w:cs="Times New Roman"/>
                <w:sz w:val="20"/>
                <w:szCs w:val="20"/>
              </w:rPr>
              <w:t xml:space="preserve"> agenda item 10)</w:t>
            </w:r>
          </w:p>
        </w:tc>
      </w:tr>
    </w:tbl>
    <w:p w:rsidR="00F45C13" w:rsidRPr="00E20EF8" w:rsidRDefault="00F45C13" w:rsidP="00F45C13">
      <w:pPr>
        <w:contextualSpacing/>
        <w:jc w:val="center"/>
        <w:rPr>
          <w:sz w:val="28"/>
          <w:szCs w:val="28"/>
        </w:rPr>
      </w:pPr>
    </w:p>
    <w:p w:rsidR="000472F2" w:rsidRDefault="000472F2" w:rsidP="00F45C13">
      <w:pPr>
        <w:spacing w:after="120" w:line="240" w:lineRule="atLeast"/>
        <w:ind w:right="284"/>
        <w:jc w:val="center"/>
      </w:pPr>
    </w:p>
    <w:p w:rsidR="00E9285D" w:rsidRDefault="00E9285D" w:rsidP="00F45C13">
      <w:pPr>
        <w:spacing w:after="120" w:line="240" w:lineRule="atLeast"/>
        <w:ind w:right="284"/>
        <w:jc w:val="center"/>
      </w:pPr>
    </w:p>
    <w:p w:rsidR="00F45C13" w:rsidRPr="00E20EF8" w:rsidRDefault="00F45C13" w:rsidP="00F45C13">
      <w:pPr>
        <w:spacing w:after="120" w:line="240" w:lineRule="atLeast"/>
        <w:ind w:right="284"/>
        <w:jc w:val="center"/>
      </w:pPr>
      <w:r w:rsidRPr="00E20EF8">
        <w:t>Direction of Future Work of GRE</w:t>
      </w:r>
    </w:p>
    <w:p w:rsidR="00F45C13" w:rsidRPr="00EC78BF" w:rsidRDefault="00F45C13" w:rsidP="00F45C13">
      <w:pPr>
        <w:spacing w:after="120" w:line="240" w:lineRule="atLeast"/>
        <w:ind w:right="284"/>
        <w:jc w:val="center"/>
        <w:rPr>
          <w:b/>
        </w:rPr>
      </w:pPr>
      <w:r w:rsidRPr="00EC78BF">
        <w:rPr>
          <w:b/>
        </w:rPr>
        <w:t xml:space="preserve">Signalling </w:t>
      </w:r>
      <w:r w:rsidR="005C03D1">
        <w:rPr>
          <w:b/>
        </w:rPr>
        <w:t xml:space="preserve">Requirements </w:t>
      </w:r>
      <w:r w:rsidRPr="00EC78BF">
        <w:rPr>
          <w:b/>
        </w:rPr>
        <w:t>for Automated /Autonomous Vehicles</w:t>
      </w:r>
    </w:p>
    <w:p w:rsidR="00F45C13" w:rsidRPr="00E20EF8" w:rsidRDefault="00F45C13" w:rsidP="00F45C13">
      <w:pPr>
        <w:ind w:right="283"/>
        <w:contextualSpacing/>
        <w:jc w:val="center"/>
      </w:pPr>
    </w:p>
    <w:p w:rsidR="009B78CD" w:rsidRPr="009B78CD" w:rsidRDefault="009B78CD" w:rsidP="009B78CD">
      <w:pPr>
        <w:ind w:left="567" w:right="333" w:hanging="567"/>
        <w:contextualSpacing/>
        <w:jc w:val="both"/>
        <w:rPr>
          <w:b/>
        </w:rPr>
      </w:pPr>
      <w:r w:rsidRPr="009B78CD">
        <w:rPr>
          <w:b/>
        </w:rPr>
        <w:t>1.</w:t>
      </w:r>
      <w:r w:rsidRPr="009B78CD">
        <w:rPr>
          <w:b/>
        </w:rPr>
        <w:tab/>
        <w:t>Background</w:t>
      </w:r>
      <w:bookmarkStart w:id="0" w:name="_GoBack"/>
      <w:bookmarkEnd w:id="0"/>
    </w:p>
    <w:p w:rsidR="009B78CD" w:rsidRDefault="009B78CD" w:rsidP="009B78CD">
      <w:pPr>
        <w:ind w:left="567" w:right="333" w:hanging="567"/>
        <w:contextualSpacing/>
        <w:jc w:val="both"/>
        <w:rPr>
          <w:sz w:val="20"/>
          <w:szCs w:val="20"/>
        </w:rPr>
      </w:pPr>
    </w:p>
    <w:p w:rsidR="000D59E5" w:rsidRPr="00E20EF8" w:rsidRDefault="00114E43" w:rsidP="00401D7D">
      <w:pPr>
        <w:ind w:right="333"/>
        <w:contextualSpacing/>
        <w:jc w:val="both"/>
        <w:rPr>
          <w:sz w:val="20"/>
          <w:szCs w:val="20"/>
        </w:rPr>
      </w:pPr>
      <w:r w:rsidRPr="00E20EF8">
        <w:rPr>
          <w:sz w:val="20"/>
          <w:szCs w:val="20"/>
        </w:rPr>
        <w:t>GTB briefed GRE</w:t>
      </w:r>
      <w:r w:rsidR="008C14C6">
        <w:rPr>
          <w:sz w:val="20"/>
          <w:szCs w:val="20"/>
        </w:rPr>
        <w:t>,</w:t>
      </w:r>
      <w:r w:rsidR="000D502A">
        <w:rPr>
          <w:sz w:val="20"/>
          <w:szCs w:val="20"/>
        </w:rPr>
        <w:t xml:space="preserve"> at its 79th session</w:t>
      </w:r>
      <w:r w:rsidR="008C14C6">
        <w:rPr>
          <w:sz w:val="20"/>
          <w:szCs w:val="20"/>
        </w:rPr>
        <w:t>,</w:t>
      </w:r>
      <w:r w:rsidRPr="00E20EF8">
        <w:rPr>
          <w:sz w:val="20"/>
          <w:szCs w:val="20"/>
        </w:rPr>
        <w:t xml:space="preserve"> on the issues that had been addressed at the GTB forum on lighting for automated vehicles in February 2018. </w:t>
      </w:r>
      <w:r w:rsidR="00BF40D9">
        <w:rPr>
          <w:sz w:val="20"/>
          <w:szCs w:val="20"/>
        </w:rPr>
        <w:t xml:space="preserve"> GTB provided the</w:t>
      </w:r>
      <w:r w:rsidR="004C16D4" w:rsidRPr="00E20EF8">
        <w:rPr>
          <w:sz w:val="20"/>
          <w:szCs w:val="20"/>
        </w:rPr>
        <w:t xml:space="preserve"> </w:t>
      </w:r>
      <w:r w:rsidRPr="00E20EF8">
        <w:rPr>
          <w:sz w:val="20"/>
          <w:szCs w:val="20"/>
        </w:rPr>
        <w:t xml:space="preserve">informal document </w:t>
      </w:r>
      <w:hyperlink r:id="rId8" w:history="1">
        <w:r w:rsidRPr="00996ED7">
          <w:rPr>
            <w:rStyle w:val="Hyperlink"/>
            <w:sz w:val="20"/>
            <w:szCs w:val="20"/>
          </w:rPr>
          <w:t>GRE-79-35</w:t>
        </w:r>
      </w:hyperlink>
      <w:r w:rsidRPr="00E20EF8">
        <w:rPr>
          <w:sz w:val="20"/>
          <w:szCs w:val="20"/>
        </w:rPr>
        <w:t xml:space="preserve"> summaris</w:t>
      </w:r>
      <w:r w:rsidR="00BF40D9">
        <w:rPr>
          <w:sz w:val="20"/>
          <w:szCs w:val="20"/>
        </w:rPr>
        <w:t>ing</w:t>
      </w:r>
      <w:r w:rsidRPr="00E20EF8">
        <w:rPr>
          <w:sz w:val="20"/>
          <w:szCs w:val="20"/>
        </w:rPr>
        <w:t xml:space="preserve"> the </w:t>
      </w:r>
      <w:r w:rsidR="00BF40D9" w:rsidRPr="00E20EF8">
        <w:rPr>
          <w:sz w:val="20"/>
          <w:szCs w:val="20"/>
        </w:rPr>
        <w:t xml:space="preserve">worldwide </w:t>
      </w:r>
      <w:r w:rsidRPr="00E20EF8">
        <w:rPr>
          <w:sz w:val="20"/>
          <w:szCs w:val="20"/>
        </w:rPr>
        <w:t xml:space="preserve">activities </w:t>
      </w:r>
      <w:r w:rsidR="00BF40D9">
        <w:rPr>
          <w:sz w:val="20"/>
          <w:szCs w:val="20"/>
        </w:rPr>
        <w:t>of</w:t>
      </w:r>
      <w:r w:rsidRPr="00E20EF8">
        <w:rPr>
          <w:sz w:val="20"/>
          <w:szCs w:val="20"/>
        </w:rPr>
        <w:t xml:space="preserve"> various </w:t>
      </w:r>
      <w:r w:rsidR="004C16D4" w:rsidRPr="00E20EF8">
        <w:rPr>
          <w:sz w:val="20"/>
          <w:szCs w:val="20"/>
        </w:rPr>
        <w:t>governmental, standardis</w:t>
      </w:r>
      <w:r w:rsidR="000D59E5" w:rsidRPr="00E20EF8">
        <w:rPr>
          <w:sz w:val="20"/>
          <w:szCs w:val="20"/>
        </w:rPr>
        <w:t>ation and industry groups</w:t>
      </w:r>
      <w:r w:rsidR="004C16D4" w:rsidRPr="00E20EF8">
        <w:rPr>
          <w:sz w:val="20"/>
          <w:szCs w:val="20"/>
        </w:rPr>
        <w:t>. Additionally GTB introduced informal document</w:t>
      </w:r>
      <w:r w:rsidR="000D59E5" w:rsidRPr="00E20EF8">
        <w:rPr>
          <w:sz w:val="20"/>
          <w:szCs w:val="20"/>
        </w:rPr>
        <w:t xml:space="preserve"> </w:t>
      </w:r>
      <w:hyperlink r:id="rId9" w:history="1">
        <w:r w:rsidR="000D59E5" w:rsidRPr="00332C87">
          <w:rPr>
            <w:rStyle w:val="Hyperlink"/>
            <w:sz w:val="20"/>
            <w:szCs w:val="20"/>
          </w:rPr>
          <w:t>GRE-79-36</w:t>
        </w:r>
      </w:hyperlink>
      <w:r w:rsidR="000D59E5" w:rsidRPr="00E20EF8">
        <w:rPr>
          <w:sz w:val="20"/>
          <w:szCs w:val="20"/>
        </w:rPr>
        <w:t xml:space="preserve"> </w:t>
      </w:r>
      <w:r w:rsidR="00401D7D">
        <w:rPr>
          <w:sz w:val="20"/>
          <w:szCs w:val="20"/>
        </w:rPr>
        <w:t xml:space="preserve">providing </w:t>
      </w:r>
      <w:r w:rsidR="004C16D4" w:rsidRPr="00E20EF8">
        <w:rPr>
          <w:sz w:val="20"/>
          <w:szCs w:val="20"/>
        </w:rPr>
        <w:t>a</w:t>
      </w:r>
      <w:r w:rsidR="000D59E5" w:rsidRPr="00E20EF8">
        <w:rPr>
          <w:sz w:val="20"/>
          <w:szCs w:val="20"/>
        </w:rPr>
        <w:t xml:space="preserve"> short overview that was prepared for discussion </w:t>
      </w:r>
      <w:r w:rsidR="00E20EF8" w:rsidRPr="00E20EF8">
        <w:rPr>
          <w:sz w:val="20"/>
          <w:szCs w:val="20"/>
        </w:rPr>
        <w:t>by</w:t>
      </w:r>
      <w:r w:rsidR="000D59E5" w:rsidRPr="00E20EF8">
        <w:rPr>
          <w:sz w:val="20"/>
          <w:szCs w:val="20"/>
        </w:rPr>
        <w:t xml:space="preserve"> WP.29 AC.2 </w:t>
      </w:r>
      <w:r w:rsidR="00E20EF8" w:rsidRPr="00E20EF8">
        <w:rPr>
          <w:sz w:val="20"/>
          <w:szCs w:val="20"/>
        </w:rPr>
        <w:t>at its</w:t>
      </w:r>
      <w:r w:rsidR="000D59E5" w:rsidRPr="00E20EF8">
        <w:rPr>
          <w:sz w:val="20"/>
          <w:szCs w:val="20"/>
        </w:rPr>
        <w:t xml:space="preserve"> March 2018</w:t>
      </w:r>
      <w:r w:rsidR="00E20EF8" w:rsidRPr="00E20EF8">
        <w:rPr>
          <w:sz w:val="20"/>
          <w:szCs w:val="20"/>
        </w:rPr>
        <w:t xml:space="preserve"> session</w:t>
      </w:r>
      <w:proofErr w:type="gramStart"/>
      <w:r w:rsidR="00E20EF8" w:rsidRPr="00E20EF8">
        <w:rPr>
          <w:sz w:val="20"/>
          <w:szCs w:val="20"/>
        </w:rPr>
        <w:t>.</w:t>
      </w:r>
      <w:r w:rsidR="000D59E5" w:rsidRPr="00E20EF8">
        <w:rPr>
          <w:sz w:val="20"/>
          <w:szCs w:val="20"/>
        </w:rPr>
        <w:t>.</w:t>
      </w:r>
      <w:proofErr w:type="gramEnd"/>
      <w:r w:rsidRPr="00E20EF8">
        <w:rPr>
          <w:sz w:val="20"/>
          <w:szCs w:val="20"/>
        </w:rPr>
        <w:t xml:space="preserve"> </w:t>
      </w:r>
    </w:p>
    <w:p w:rsidR="000D59E5" w:rsidRPr="00E20EF8" w:rsidRDefault="000D59E5" w:rsidP="00401D7D">
      <w:pPr>
        <w:ind w:right="333"/>
        <w:contextualSpacing/>
        <w:jc w:val="both"/>
        <w:rPr>
          <w:sz w:val="20"/>
          <w:szCs w:val="20"/>
        </w:rPr>
      </w:pPr>
    </w:p>
    <w:p w:rsidR="00F45C13" w:rsidRPr="00E20EF8" w:rsidRDefault="000D502A" w:rsidP="00401D7D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 w:rsidR="00114E43" w:rsidRPr="00E20EF8">
        <w:rPr>
          <w:sz w:val="20"/>
          <w:szCs w:val="20"/>
        </w:rPr>
        <w:t>the Jun</w:t>
      </w:r>
      <w:r w:rsidR="00BF40D9">
        <w:rPr>
          <w:sz w:val="20"/>
          <w:szCs w:val="20"/>
        </w:rPr>
        <w:t>e 2018 session of the WP.29 IWG</w:t>
      </w:r>
      <w:r w:rsidR="00114E43" w:rsidRPr="00E20EF8">
        <w:rPr>
          <w:sz w:val="20"/>
          <w:szCs w:val="20"/>
        </w:rPr>
        <w:t xml:space="preserve"> on Intelligent Transport </w:t>
      </w:r>
      <w:r w:rsidR="000D59E5" w:rsidRPr="00E20EF8">
        <w:rPr>
          <w:sz w:val="20"/>
          <w:szCs w:val="20"/>
        </w:rPr>
        <w:t>Sys</w:t>
      </w:r>
      <w:r w:rsidR="001157FA">
        <w:rPr>
          <w:sz w:val="20"/>
          <w:szCs w:val="20"/>
        </w:rPr>
        <w:t xml:space="preserve">tems and Automated Driving </w:t>
      </w:r>
      <w:r w:rsidR="000D59E5" w:rsidRPr="00E20EF8">
        <w:rPr>
          <w:sz w:val="20"/>
          <w:szCs w:val="20"/>
        </w:rPr>
        <w:t xml:space="preserve">GTB was invited to present </w:t>
      </w:r>
      <w:r w:rsidR="00E20EF8" w:rsidRPr="00E20EF8">
        <w:rPr>
          <w:sz w:val="20"/>
          <w:szCs w:val="20"/>
        </w:rPr>
        <w:t xml:space="preserve">the document </w:t>
      </w:r>
      <w:hyperlink r:id="rId10" w:history="1">
        <w:r w:rsidR="004C16D4" w:rsidRPr="00332C87">
          <w:rPr>
            <w:rStyle w:val="Hyperlink"/>
            <w:sz w:val="20"/>
            <w:szCs w:val="20"/>
          </w:rPr>
          <w:t>ITS_AD-15-05</w:t>
        </w:r>
      </w:hyperlink>
      <w:r w:rsidR="004C16D4" w:rsidRPr="00E20EF8">
        <w:rPr>
          <w:sz w:val="20"/>
          <w:szCs w:val="20"/>
        </w:rPr>
        <w:t xml:space="preserve"> </w:t>
      </w:r>
      <w:r w:rsidR="00BF40D9">
        <w:rPr>
          <w:sz w:val="20"/>
          <w:szCs w:val="20"/>
        </w:rPr>
        <w:t>“</w:t>
      </w:r>
      <w:r w:rsidR="004C16D4" w:rsidRPr="00E20EF8">
        <w:rPr>
          <w:sz w:val="20"/>
          <w:szCs w:val="20"/>
        </w:rPr>
        <w:t>GTB presentation for 15th ITS-AD on ADS lighting and signalling</w:t>
      </w:r>
      <w:r w:rsidR="00BF40D9">
        <w:rPr>
          <w:sz w:val="20"/>
          <w:szCs w:val="20"/>
        </w:rPr>
        <w:t>”</w:t>
      </w:r>
      <w:r w:rsidR="004C16D4" w:rsidRPr="00E20EF8">
        <w:rPr>
          <w:sz w:val="20"/>
          <w:szCs w:val="20"/>
        </w:rPr>
        <w:t>.</w:t>
      </w:r>
    </w:p>
    <w:p w:rsidR="004C16D4" w:rsidRPr="00E20EF8" w:rsidRDefault="004C16D4" w:rsidP="00401D7D">
      <w:pPr>
        <w:ind w:right="333"/>
        <w:contextualSpacing/>
        <w:jc w:val="both"/>
        <w:rPr>
          <w:sz w:val="20"/>
          <w:szCs w:val="20"/>
        </w:rPr>
      </w:pPr>
    </w:p>
    <w:p w:rsidR="004C16D4" w:rsidRDefault="004C16D4" w:rsidP="00401D7D">
      <w:pPr>
        <w:ind w:right="333"/>
        <w:contextualSpacing/>
        <w:jc w:val="both"/>
        <w:rPr>
          <w:sz w:val="20"/>
          <w:szCs w:val="20"/>
        </w:rPr>
      </w:pPr>
      <w:r w:rsidRPr="00E20EF8">
        <w:rPr>
          <w:sz w:val="20"/>
          <w:szCs w:val="20"/>
        </w:rPr>
        <w:t>Subsequently, at the 1st session of the Working Party on Automated/Autonomous and Connected Vehicles (GRVA)</w:t>
      </w:r>
      <w:r w:rsidR="00E20EF8" w:rsidRPr="00E20EF8">
        <w:rPr>
          <w:sz w:val="20"/>
          <w:szCs w:val="20"/>
        </w:rPr>
        <w:t xml:space="preserve"> </w:t>
      </w:r>
      <w:r w:rsidRPr="00E20EF8">
        <w:rPr>
          <w:sz w:val="20"/>
          <w:szCs w:val="20"/>
        </w:rPr>
        <w:t xml:space="preserve">in September 2018, </w:t>
      </w:r>
      <w:r w:rsidR="00E20EF8" w:rsidRPr="00E20EF8">
        <w:rPr>
          <w:sz w:val="20"/>
          <w:szCs w:val="20"/>
        </w:rPr>
        <w:t>items.4 and 5 of its agenda relating to “Exchange of views on vehicle automation related work priorities”</w:t>
      </w:r>
      <w:r w:rsidR="00E20EF8">
        <w:rPr>
          <w:sz w:val="20"/>
          <w:szCs w:val="20"/>
        </w:rPr>
        <w:t xml:space="preserve"> were discussed</w:t>
      </w:r>
      <w:r w:rsidR="00E20EF8" w:rsidRPr="00E20EF8">
        <w:rPr>
          <w:sz w:val="20"/>
          <w:szCs w:val="20"/>
        </w:rPr>
        <w:t xml:space="preserve">. </w:t>
      </w:r>
      <w:r w:rsidRPr="00E20EF8">
        <w:rPr>
          <w:sz w:val="20"/>
          <w:szCs w:val="20"/>
        </w:rPr>
        <w:t xml:space="preserve">GTB </w:t>
      </w:r>
      <w:r w:rsidR="00BF40D9">
        <w:rPr>
          <w:sz w:val="20"/>
          <w:szCs w:val="20"/>
        </w:rPr>
        <w:t>introduced</w:t>
      </w:r>
      <w:r w:rsidRPr="00E20EF8">
        <w:rPr>
          <w:sz w:val="20"/>
          <w:szCs w:val="20"/>
        </w:rPr>
        <w:t xml:space="preserve"> informal d</w:t>
      </w:r>
      <w:r w:rsidR="00E20EF8" w:rsidRPr="00E20EF8">
        <w:rPr>
          <w:sz w:val="20"/>
          <w:szCs w:val="20"/>
        </w:rPr>
        <w:t>o</w:t>
      </w:r>
      <w:r w:rsidRPr="00E20EF8">
        <w:rPr>
          <w:sz w:val="20"/>
          <w:szCs w:val="20"/>
        </w:rPr>
        <w:t xml:space="preserve">cument </w:t>
      </w:r>
      <w:hyperlink r:id="rId11" w:history="1">
        <w:r w:rsidRPr="00332C87">
          <w:rPr>
            <w:rStyle w:val="Hyperlink"/>
            <w:sz w:val="20"/>
            <w:szCs w:val="20"/>
          </w:rPr>
          <w:t>GRVA-01-06</w:t>
        </w:r>
      </w:hyperlink>
      <w:r w:rsidRPr="00E20EF8">
        <w:rPr>
          <w:sz w:val="20"/>
          <w:szCs w:val="20"/>
        </w:rPr>
        <w:t xml:space="preserve"> (Considerations Concerning Lighting and Light-Signalling</w:t>
      </w:r>
      <w:r w:rsidR="00DE61BE">
        <w:rPr>
          <w:sz w:val="20"/>
          <w:szCs w:val="20"/>
        </w:rPr>
        <w:t>) and proposed that the topic should be added to the list of priorities. The conclusions of GRVA</w:t>
      </w:r>
      <w:r w:rsidR="00BF40D9">
        <w:rPr>
          <w:sz w:val="20"/>
          <w:szCs w:val="20"/>
        </w:rPr>
        <w:t>,</w:t>
      </w:r>
      <w:r w:rsidR="00DE61BE">
        <w:rPr>
          <w:sz w:val="20"/>
          <w:szCs w:val="20"/>
        </w:rPr>
        <w:t xml:space="preserve"> relating to the </w:t>
      </w:r>
      <w:r w:rsidR="00DE61BE" w:rsidRPr="00DE61BE">
        <w:rPr>
          <w:sz w:val="20"/>
          <w:szCs w:val="20"/>
        </w:rPr>
        <w:t>ne</w:t>
      </w:r>
      <w:r w:rsidR="00BF40D9">
        <w:rPr>
          <w:sz w:val="20"/>
          <w:szCs w:val="20"/>
        </w:rPr>
        <w:t xml:space="preserve">ed for AV’s to provide signals </w:t>
      </w:r>
      <w:r w:rsidR="00DE61BE" w:rsidRPr="00DE61BE">
        <w:rPr>
          <w:sz w:val="20"/>
          <w:szCs w:val="20"/>
        </w:rPr>
        <w:t>to indicate th</w:t>
      </w:r>
      <w:r w:rsidR="00DE61BE">
        <w:rPr>
          <w:sz w:val="20"/>
          <w:szCs w:val="20"/>
        </w:rPr>
        <w:t>eir status and intended actions were as follows (based upon GTB notes and awaiting confirmation by the official report):</w:t>
      </w:r>
    </w:p>
    <w:p w:rsidR="00DE61BE" w:rsidRDefault="00DE61BE" w:rsidP="00401D7D">
      <w:pPr>
        <w:ind w:right="333"/>
        <w:contextualSpacing/>
        <w:jc w:val="both"/>
        <w:rPr>
          <w:sz w:val="20"/>
          <w:szCs w:val="20"/>
        </w:rPr>
      </w:pPr>
    </w:p>
    <w:p w:rsidR="003770B2" w:rsidRPr="003770B2" w:rsidRDefault="00DE61BE" w:rsidP="00401D7D">
      <w:pPr>
        <w:pStyle w:val="ListParagraph"/>
        <w:numPr>
          <w:ilvl w:val="0"/>
          <w:numId w:val="1"/>
        </w:numPr>
        <w:spacing w:after="120" w:line="240" w:lineRule="atLeast"/>
        <w:ind w:left="851" w:right="333" w:hanging="567"/>
        <w:contextualSpacing w:val="0"/>
        <w:jc w:val="both"/>
        <w:rPr>
          <w:sz w:val="20"/>
          <w:szCs w:val="20"/>
        </w:rPr>
      </w:pPr>
      <w:r w:rsidRPr="003770B2">
        <w:rPr>
          <w:sz w:val="20"/>
          <w:szCs w:val="20"/>
        </w:rPr>
        <w:t>The topic of signals, to indicate the status and intended actions of AV’s</w:t>
      </w:r>
      <w:r w:rsidR="003770B2">
        <w:rPr>
          <w:sz w:val="20"/>
          <w:szCs w:val="20"/>
        </w:rPr>
        <w:t>,</w:t>
      </w:r>
      <w:r w:rsidRPr="003770B2">
        <w:rPr>
          <w:sz w:val="20"/>
          <w:szCs w:val="20"/>
        </w:rPr>
        <w:t xml:space="preserve"> is outside of the scope of GRVA and will not be included in the list of work items to be submitted to WP.29</w:t>
      </w:r>
      <w:r w:rsidR="00BF40D9">
        <w:rPr>
          <w:sz w:val="20"/>
          <w:szCs w:val="20"/>
        </w:rPr>
        <w:t xml:space="preserve"> for its 176</w:t>
      </w:r>
      <w:r w:rsidR="00BF40D9" w:rsidRPr="00BF40D9">
        <w:rPr>
          <w:sz w:val="20"/>
          <w:szCs w:val="20"/>
          <w:vertAlign w:val="superscript"/>
        </w:rPr>
        <w:t>th</w:t>
      </w:r>
      <w:r w:rsidR="00BF40D9">
        <w:rPr>
          <w:sz w:val="20"/>
          <w:szCs w:val="20"/>
        </w:rPr>
        <w:t xml:space="preserve"> session in November 2018..</w:t>
      </w:r>
    </w:p>
    <w:p w:rsidR="003770B2" w:rsidRDefault="003770B2" w:rsidP="00401D7D">
      <w:pPr>
        <w:pStyle w:val="ListParagraph"/>
        <w:numPr>
          <w:ilvl w:val="0"/>
          <w:numId w:val="1"/>
        </w:numPr>
        <w:spacing w:after="120" w:line="240" w:lineRule="atLeast"/>
        <w:ind w:left="851" w:right="333" w:hanging="567"/>
        <w:contextualSpacing w:val="0"/>
        <w:jc w:val="both"/>
        <w:rPr>
          <w:sz w:val="20"/>
          <w:szCs w:val="20"/>
        </w:rPr>
      </w:pPr>
      <w:r w:rsidRPr="003770B2">
        <w:rPr>
          <w:sz w:val="20"/>
          <w:szCs w:val="20"/>
        </w:rPr>
        <w:t>If research findings identify that signals (visual, audible, or a combination) are required, the lighting specific technical requirements will be identified by GRE and GRVA will have the responsibility to define the characteristics of the control signal.</w:t>
      </w:r>
    </w:p>
    <w:p w:rsidR="003770B2" w:rsidRDefault="00A909A9" w:rsidP="00401D7D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While</w:t>
      </w:r>
      <w:r w:rsidR="003770B2">
        <w:rPr>
          <w:sz w:val="20"/>
          <w:szCs w:val="20"/>
        </w:rPr>
        <w:t xml:space="preserve"> GRVA has concluded that the topic is </w:t>
      </w:r>
      <w:r w:rsidR="001157FA">
        <w:rPr>
          <w:sz w:val="20"/>
          <w:szCs w:val="20"/>
        </w:rPr>
        <w:t xml:space="preserve">currently outside </w:t>
      </w:r>
      <w:r w:rsidR="003770B2">
        <w:rPr>
          <w:sz w:val="20"/>
          <w:szCs w:val="20"/>
        </w:rPr>
        <w:t>its scope</w:t>
      </w:r>
      <w:r w:rsidR="001157FA">
        <w:rPr>
          <w:sz w:val="20"/>
          <w:szCs w:val="20"/>
        </w:rPr>
        <w:t>,</w:t>
      </w:r>
      <w:r w:rsidR="003770B2">
        <w:rPr>
          <w:sz w:val="20"/>
          <w:szCs w:val="20"/>
        </w:rPr>
        <w:t xml:space="preserve"> the or</w:t>
      </w:r>
      <w:r w:rsidR="001157FA">
        <w:rPr>
          <w:sz w:val="20"/>
          <w:szCs w:val="20"/>
        </w:rPr>
        <w:t>iginal question posed by GTB (</w:t>
      </w:r>
      <w:r w:rsidR="003770B2" w:rsidRPr="00E20EF8">
        <w:rPr>
          <w:sz w:val="20"/>
          <w:szCs w:val="20"/>
        </w:rPr>
        <w:t xml:space="preserve">informal document </w:t>
      </w:r>
      <w:hyperlink r:id="rId12" w:history="1">
        <w:r w:rsidR="00332C87" w:rsidRPr="00332C87">
          <w:rPr>
            <w:rStyle w:val="Hyperlink"/>
            <w:sz w:val="20"/>
            <w:szCs w:val="20"/>
          </w:rPr>
          <w:t>GRE-79-36</w:t>
        </w:r>
      </w:hyperlink>
      <w:r w:rsidR="001157FA">
        <w:rPr>
          <w:sz w:val="20"/>
          <w:szCs w:val="20"/>
        </w:rPr>
        <w:t>) is</w:t>
      </w:r>
      <w:r w:rsidR="0053194F">
        <w:rPr>
          <w:sz w:val="20"/>
          <w:szCs w:val="20"/>
        </w:rPr>
        <w:t xml:space="preserve"> unanswered</w:t>
      </w:r>
      <w:r w:rsidR="001157FA">
        <w:rPr>
          <w:sz w:val="20"/>
          <w:szCs w:val="20"/>
        </w:rPr>
        <w:t>.</w:t>
      </w:r>
      <w:r w:rsidR="0053194F">
        <w:rPr>
          <w:sz w:val="20"/>
          <w:szCs w:val="20"/>
        </w:rPr>
        <w:t xml:space="preserve"> </w:t>
      </w:r>
      <w:r w:rsidR="001157FA">
        <w:rPr>
          <w:sz w:val="20"/>
          <w:szCs w:val="20"/>
        </w:rPr>
        <w:t>The</w:t>
      </w:r>
      <w:r w:rsidR="0053194F">
        <w:rPr>
          <w:sz w:val="20"/>
          <w:szCs w:val="20"/>
        </w:rPr>
        <w:t xml:space="preserve"> concern </w:t>
      </w:r>
      <w:r w:rsidR="001157FA">
        <w:rPr>
          <w:sz w:val="20"/>
          <w:szCs w:val="20"/>
        </w:rPr>
        <w:t xml:space="preserve">remains </w:t>
      </w:r>
      <w:r w:rsidR="0053194F">
        <w:rPr>
          <w:sz w:val="20"/>
          <w:szCs w:val="20"/>
        </w:rPr>
        <w:t>that the opportunity to create a global solution will be lost as national and standardisation groups reach their own conclusions.</w:t>
      </w:r>
      <w:r w:rsidR="000B1868">
        <w:rPr>
          <w:sz w:val="20"/>
          <w:szCs w:val="20"/>
        </w:rPr>
        <w:t xml:space="preserve"> Consequently, </w:t>
      </w:r>
      <w:r w:rsidR="001157FA">
        <w:rPr>
          <w:sz w:val="20"/>
          <w:szCs w:val="20"/>
        </w:rPr>
        <w:t>it may be appropriate for</w:t>
      </w:r>
      <w:r w:rsidR="000B1868">
        <w:rPr>
          <w:sz w:val="20"/>
          <w:szCs w:val="20"/>
        </w:rPr>
        <w:t xml:space="preserve"> GRE </w:t>
      </w:r>
      <w:r w:rsidR="001157FA">
        <w:rPr>
          <w:sz w:val="20"/>
          <w:szCs w:val="20"/>
        </w:rPr>
        <w:t>to</w:t>
      </w:r>
      <w:r w:rsidR="000B1868">
        <w:rPr>
          <w:sz w:val="20"/>
          <w:szCs w:val="20"/>
        </w:rPr>
        <w:t xml:space="preserve"> consider taking charge of this subject by </w:t>
      </w:r>
      <w:r w:rsidR="000B1868" w:rsidRPr="000B1868">
        <w:rPr>
          <w:sz w:val="20"/>
          <w:szCs w:val="20"/>
        </w:rPr>
        <w:t>establish</w:t>
      </w:r>
      <w:r w:rsidR="000B1868">
        <w:rPr>
          <w:sz w:val="20"/>
          <w:szCs w:val="20"/>
        </w:rPr>
        <w:t>ing</w:t>
      </w:r>
      <w:r w:rsidR="000B1868" w:rsidRPr="000B1868">
        <w:rPr>
          <w:sz w:val="20"/>
          <w:szCs w:val="20"/>
        </w:rPr>
        <w:t xml:space="preserve"> (or support</w:t>
      </w:r>
      <w:r w:rsidR="000B1868">
        <w:rPr>
          <w:sz w:val="20"/>
          <w:szCs w:val="20"/>
        </w:rPr>
        <w:t>ing</w:t>
      </w:r>
      <w:r w:rsidR="000B1868" w:rsidRPr="000B1868">
        <w:rPr>
          <w:sz w:val="20"/>
          <w:szCs w:val="20"/>
        </w:rPr>
        <w:t>) an activity to encourage the various stakeholders to cooperate</w:t>
      </w:r>
      <w:r w:rsidR="001157FA">
        <w:rPr>
          <w:sz w:val="20"/>
          <w:szCs w:val="20"/>
        </w:rPr>
        <w:t>,</w:t>
      </w:r>
      <w:r w:rsidR="000B1868" w:rsidRPr="000B1868">
        <w:rPr>
          <w:sz w:val="20"/>
          <w:szCs w:val="20"/>
        </w:rPr>
        <w:t xml:space="preserve"> with a view to identifying a common approach</w:t>
      </w:r>
      <w:r w:rsidR="000B1868">
        <w:rPr>
          <w:sz w:val="20"/>
          <w:szCs w:val="20"/>
        </w:rPr>
        <w:t xml:space="preserve">. </w:t>
      </w:r>
    </w:p>
    <w:p w:rsidR="00332C87" w:rsidRDefault="00332C87" w:rsidP="00401D7D">
      <w:pPr>
        <w:ind w:right="333"/>
        <w:contextualSpacing/>
        <w:jc w:val="both"/>
        <w:rPr>
          <w:sz w:val="20"/>
          <w:szCs w:val="20"/>
        </w:rPr>
      </w:pPr>
    </w:p>
    <w:p w:rsidR="00332C87" w:rsidRPr="00332C87" w:rsidRDefault="00332C87" w:rsidP="00401D7D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addition to the work of WP.29 and its expert groups, </w:t>
      </w:r>
      <w:r w:rsidR="00401D7D">
        <w:rPr>
          <w:sz w:val="20"/>
          <w:szCs w:val="20"/>
        </w:rPr>
        <w:t xml:space="preserve">WP.1, </w:t>
      </w:r>
      <w:r w:rsidRPr="00332C87">
        <w:rPr>
          <w:sz w:val="20"/>
          <w:szCs w:val="20"/>
        </w:rPr>
        <w:t>at its 77th session (18-21 September 2018), has</w:t>
      </w:r>
      <w:r>
        <w:rPr>
          <w:sz w:val="20"/>
          <w:szCs w:val="20"/>
        </w:rPr>
        <w:t xml:space="preserve"> </w:t>
      </w:r>
      <w:r w:rsidRPr="00332C87">
        <w:rPr>
          <w:sz w:val="20"/>
          <w:szCs w:val="20"/>
        </w:rPr>
        <w:t>adopted the WP.1 resolution on the deployment of highly and fully automated vehicles in road traffic</w:t>
      </w:r>
    </w:p>
    <w:p w:rsidR="00332C87" w:rsidRPr="000472F2" w:rsidRDefault="000472F2" w:rsidP="00401D7D">
      <w:pPr>
        <w:ind w:right="333"/>
        <w:contextualSpacing/>
        <w:jc w:val="both"/>
        <w:rPr>
          <w:sz w:val="20"/>
          <w:szCs w:val="20"/>
        </w:rPr>
      </w:pPr>
      <w:proofErr w:type="gramStart"/>
      <w:r w:rsidRPr="00332C87">
        <w:rPr>
          <w:sz w:val="20"/>
          <w:szCs w:val="20"/>
        </w:rPr>
        <w:t>as</w:t>
      </w:r>
      <w:proofErr w:type="gramEnd"/>
      <w:r w:rsidRPr="00332C87">
        <w:rPr>
          <w:sz w:val="20"/>
          <w:szCs w:val="20"/>
        </w:rPr>
        <w:t xml:space="preserve"> Annex 1 </w:t>
      </w:r>
      <w:r w:rsidR="00332C87" w:rsidRPr="00332C87">
        <w:rPr>
          <w:sz w:val="20"/>
          <w:szCs w:val="20"/>
        </w:rPr>
        <w:t>(</w:t>
      </w:r>
      <w:hyperlink r:id="rId13" w:history="1">
        <w:r w:rsidR="00332C87" w:rsidRPr="000472F2">
          <w:rPr>
            <w:rStyle w:val="Hyperlink"/>
            <w:sz w:val="20"/>
            <w:szCs w:val="20"/>
          </w:rPr>
          <w:t>ECE/TRANS/WP.1/165</w:t>
        </w:r>
      </w:hyperlink>
      <w:r w:rsidR="00332C87" w:rsidRPr="00332C87">
        <w:rPr>
          <w:sz w:val="20"/>
          <w:szCs w:val="20"/>
        </w:rPr>
        <w:t>).</w:t>
      </w:r>
      <w:r>
        <w:rPr>
          <w:sz w:val="20"/>
          <w:szCs w:val="20"/>
        </w:rPr>
        <w:t xml:space="preserve"> Annex 1, item 4(h) states: </w:t>
      </w:r>
      <w:r w:rsidRPr="000472F2">
        <w:rPr>
          <w:i/>
          <w:sz w:val="20"/>
          <w:szCs w:val="20"/>
        </w:rPr>
        <w:t>“4. Automated driving systems in highly and fully automated vehicles should: (h) Communicate with their users and other road users, in a clear, effective and consistent way, by providing sufficient information about their status and intention, and enabling an appropriate interaction”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Clearly this contribution from WP.1 shall be taken into account.</w:t>
      </w:r>
    </w:p>
    <w:p w:rsidR="000B1868" w:rsidRDefault="000B1868" w:rsidP="00401D7D">
      <w:pPr>
        <w:ind w:right="333"/>
        <w:contextualSpacing/>
        <w:jc w:val="both"/>
        <w:rPr>
          <w:sz w:val="20"/>
          <w:szCs w:val="20"/>
        </w:rPr>
      </w:pPr>
    </w:p>
    <w:p w:rsidR="009B78CD" w:rsidRDefault="009B78CD" w:rsidP="00401D7D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GTB concludes that answers are required to fundamental questions such as</w:t>
      </w:r>
    </w:p>
    <w:p w:rsidR="00EC78BF" w:rsidRDefault="00EC78BF" w:rsidP="00401D7D">
      <w:pPr>
        <w:ind w:right="333"/>
        <w:contextualSpacing/>
        <w:jc w:val="both"/>
        <w:rPr>
          <w:sz w:val="20"/>
          <w:szCs w:val="20"/>
        </w:rPr>
      </w:pPr>
    </w:p>
    <w:p w:rsidR="00EC78BF" w:rsidRPr="00EC78BF" w:rsidRDefault="00EC78BF" w:rsidP="00401D7D">
      <w:pPr>
        <w:pStyle w:val="ListParagraph"/>
        <w:numPr>
          <w:ilvl w:val="0"/>
          <w:numId w:val="3"/>
        </w:numPr>
        <w:spacing w:after="120" w:line="240" w:lineRule="atLeast"/>
        <w:ind w:left="851" w:right="333" w:hanging="567"/>
        <w:contextualSpacing w:val="0"/>
        <w:jc w:val="both"/>
        <w:rPr>
          <w:sz w:val="20"/>
          <w:szCs w:val="20"/>
        </w:rPr>
      </w:pPr>
      <w:r w:rsidRPr="00EC78BF">
        <w:rPr>
          <w:sz w:val="20"/>
          <w:szCs w:val="20"/>
        </w:rPr>
        <w:t>What are the human factors to be taken into account? (Can light help other road users to avoid uncertainty or fear associated with the activities of AV’s.?)</w:t>
      </w:r>
    </w:p>
    <w:p w:rsidR="00EC78BF" w:rsidRPr="00EC78BF" w:rsidRDefault="00EC78BF" w:rsidP="00401D7D">
      <w:pPr>
        <w:pStyle w:val="ListParagraph"/>
        <w:numPr>
          <w:ilvl w:val="0"/>
          <w:numId w:val="3"/>
        </w:numPr>
        <w:spacing w:after="120" w:line="240" w:lineRule="atLeast"/>
        <w:ind w:left="851" w:right="333" w:hanging="567"/>
        <w:contextualSpacing w:val="0"/>
        <w:jc w:val="both"/>
        <w:rPr>
          <w:sz w:val="20"/>
          <w:szCs w:val="20"/>
        </w:rPr>
      </w:pPr>
      <w:r w:rsidRPr="00EC78BF">
        <w:rPr>
          <w:sz w:val="20"/>
          <w:szCs w:val="20"/>
        </w:rPr>
        <w:t>Is there a safety requirement for AV’s to provide signals to indicate their status and to communicate their next intended act</w:t>
      </w:r>
      <w:r w:rsidR="005C03D1">
        <w:rPr>
          <w:sz w:val="20"/>
          <w:szCs w:val="20"/>
        </w:rPr>
        <w:t xml:space="preserve">ions? If so shall such signals </w:t>
      </w:r>
      <w:r w:rsidRPr="00EC78BF">
        <w:rPr>
          <w:sz w:val="20"/>
          <w:szCs w:val="20"/>
        </w:rPr>
        <w:t>be visual, audible, or a combination?</w:t>
      </w:r>
    </w:p>
    <w:p w:rsidR="00EC78BF" w:rsidRDefault="00EC78BF" w:rsidP="00401D7D">
      <w:pPr>
        <w:pStyle w:val="ListParagraph"/>
        <w:numPr>
          <w:ilvl w:val="0"/>
          <w:numId w:val="3"/>
        </w:numPr>
        <w:spacing w:after="120" w:line="240" w:lineRule="atLeast"/>
        <w:ind w:left="851" w:right="333" w:hanging="567"/>
        <w:contextualSpacing w:val="0"/>
        <w:jc w:val="both"/>
        <w:rPr>
          <w:sz w:val="20"/>
          <w:szCs w:val="20"/>
        </w:rPr>
      </w:pPr>
      <w:r w:rsidRPr="00EC78BF">
        <w:rPr>
          <w:sz w:val="20"/>
          <w:szCs w:val="20"/>
        </w:rPr>
        <w:t>How to address the night vision aspects associated with the operation of AV’s? (e. g. light distribution designed for camera needs)</w:t>
      </w:r>
    </w:p>
    <w:p w:rsidR="009B78CD" w:rsidRDefault="009B78C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78CD" w:rsidRDefault="009B78CD" w:rsidP="009B78CD">
      <w:pPr>
        <w:ind w:left="567" w:right="333" w:hanging="567"/>
        <w:contextualSpacing/>
        <w:jc w:val="both"/>
        <w:rPr>
          <w:b/>
        </w:rPr>
      </w:pPr>
      <w:r>
        <w:rPr>
          <w:b/>
        </w:rPr>
        <w:lastRenderedPageBreak/>
        <w:t>2</w:t>
      </w:r>
      <w:r w:rsidRPr="009B78CD">
        <w:rPr>
          <w:b/>
        </w:rPr>
        <w:t>.</w:t>
      </w:r>
      <w:r w:rsidRPr="009B78CD">
        <w:rPr>
          <w:b/>
        </w:rPr>
        <w:tab/>
      </w:r>
      <w:r>
        <w:rPr>
          <w:b/>
        </w:rPr>
        <w:t>Proposal</w:t>
      </w:r>
    </w:p>
    <w:p w:rsidR="009B78CD" w:rsidRDefault="009B78CD" w:rsidP="009B78CD">
      <w:pPr>
        <w:ind w:left="567" w:right="333" w:hanging="567"/>
        <w:contextualSpacing/>
        <w:jc w:val="both"/>
        <w:rPr>
          <w:b/>
        </w:rPr>
      </w:pPr>
    </w:p>
    <w:p w:rsidR="006A36BA" w:rsidRDefault="00D507BD" w:rsidP="006A36BA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Taking account of the </w:t>
      </w:r>
      <w:r w:rsidRPr="00D507BD">
        <w:rPr>
          <w:sz w:val="20"/>
          <w:szCs w:val="20"/>
        </w:rPr>
        <w:t>concern</w:t>
      </w:r>
      <w:r w:rsidR="006A36BA">
        <w:rPr>
          <w:sz w:val="20"/>
          <w:szCs w:val="20"/>
        </w:rPr>
        <w:t xml:space="preserve"> </w:t>
      </w:r>
      <w:r w:rsidRPr="00D507BD">
        <w:rPr>
          <w:sz w:val="20"/>
          <w:szCs w:val="20"/>
        </w:rPr>
        <w:t xml:space="preserve">that the opportunity to </w:t>
      </w:r>
      <w:r>
        <w:rPr>
          <w:sz w:val="20"/>
          <w:szCs w:val="20"/>
        </w:rPr>
        <w:t xml:space="preserve">consider </w:t>
      </w:r>
      <w:r w:rsidRPr="00D507BD">
        <w:rPr>
          <w:sz w:val="20"/>
          <w:szCs w:val="20"/>
        </w:rPr>
        <w:t>a global solution</w:t>
      </w:r>
      <w:r>
        <w:rPr>
          <w:sz w:val="20"/>
          <w:szCs w:val="20"/>
        </w:rPr>
        <w:t>, if deemed necessary,</w:t>
      </w:r>
      <w:r w:rsidRPr="00D507BD">
        <w:rPr>
          <w:sz w:val="20"/>
          <w:szCs w:val="20"/>
        </w:rPr>
        <w:t xml:space="preserve"> will be lost as national and standardisation groups reach their own conclusions</w:t>
      </w:r>
      <w:r>
        <w:rPr>
          <w:sz w:val="20"/>
          <w:szCs w:val="20"/>
        </w:rPr>
        <w:t>; GTB would like to propose that GRE establishes a Special Interest Group</w:t>
      </w:r>
      <w:r w:rsidR="006A36BA">
        <w:rPr>
          <w:sz w:val="20"/>
          <w:szCs w:val="20"/>
        </w:rPr>
        <w:t xml:space="preserve"> to answer the fundamental questions identified above.</w:t>
      </w:r>
    </w:p>
    <w:p w:rsidR="006A36BA" w:rsidRDefault="006A36BA" w:rsidP="006A36BA">
      <w:pPr>
        <w:ind w:right="333"/>
        <w:contextualSpacing/>
        <w:jc w:val="both"/>
        <w:rPr>
          <w:sz w:val="20"/>
          <w:szCs w:val="20"/>
        </w:rPr>
      </w:pPr>
    </w:p>
    <w:p w:rsidR="006A36BA" w:rsidRDefault="006A36BA" w:rsidP="006A36BA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GTB </w:t>
      </w:r>
      <w:r w:rsidR="00D507BD">
        <w:rPr>
          <w:sz w:val="20"/>
          <w:szCs w:val="20"/>
        </w:rPr>
        <w:t xml:space="preserve">is </w:t>
      </w:r>
      <w:r w:rsidR="009B78CD" w:rsidRPr="009B78CD">
        <w:rPr>
          <w:sz w:val="20"/>
          <w:szCs w:val="20"/>
        </w:rPr>
        <w:t xml:space="preserve">willing to </w:t>
      </w:r>
      <w:r w:rsidR="00D507BD">
        <w:rPr>
          <w:sz w:val="20"/>
          <w:szCs w:val="20"/>
        </w:rPr>
        <w:t xml:space="preserve">actively </w:t>
      </w:r>
      <w:r>
        <w:rPr>
          <w:sz w:val="20"/>
          <w:szCs w:val="20"/>
        </w:rPr>
        <w:t xml:space="preserve">participate in </w:t>
      </w:r>
      <w:r w:rsidR="00234E17">
        <w:rPr>
          <w:sz w:val="20"/>
          <w:szCs w:val="20"/>
        </w:rPr>
        <w:t>a GRE</w:t>
      </w:r>
      <w:r>
        <w:rPr>
          <w:sz w:val="20"/>
          <w:szCs w:val="20"/>
        </w:rPr>
        <w:t xml:space="preserve"> Special Interest Group</w:t>
      </w:r>
      <w:r w:rsidR="00D507BD">
        <w:rPr>
          <w:sz w:val="20"/>
          <w:szCs w:val="20"/>
        </w:rPr>
        <w:t xml:space="preserve"> along with other interested</w:t>
      </w:r>
      <w:r>
        <w:rPr>
          <w:sz w:val="20"/>
          <w:szCs w:val="20"/>
        </w:rPr>
        <w:t xml:space="preserve"> stakeholders. The GTB contribution would include research to </w:t>
      </w:r>
      <w:r w:rsidR="000D502A">
        <w:rPr>
          <w:sz w:val="20"/>
          <w:szCs w:val="20"/>
        </w:rPr>
        <w:t>assist</w:t>
      </w:r>
      <w:r w:rsidR="00EC78BF">
        <w:rPr>
          <w:sz w:val="20"/>
          <w:szCs w:val="20"/>
        </w:rPr>
        <w:t xml:space="preserve"> GRE to reach an informed decision </w:t>
      </w:r>
      <w:r>
        <w:rPr>
          <w:sz w:val="20"/>
          <w:szCs w:val="20"/>
        </w:rPr>
        <w:t>on</w:t>
      </w:r>
      <w:r w:rsidR="00EC78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whether </w:t>
      </w:r>
      <w:r w:rsidR="00EC78BF">
        <w:rPr>
          <w:sz w:val="20"/>
          <w:szCs w:val="20"/>
        </w:rPr>
        <w:t>to proceed</w:t>
      </w:r>
      <w:r w:rsidR="00DC49D6">
        <w:rPr>
          <w:sz w:val="20"/>
          <w:szCs w:val="20"/>
        </w:rPr>
        <w:t xml:space="preserve"> and coordinate its activities with GRVA</w:t>
      </w:r>
      <w:r>
        <w:rPr>
          <w:sz w:val="20"/>
          <w:szCs w:val="20"/>
        </w:rPr>
        <w:t>.</w:t>
      </w:r>
    </w:p>
    <w:p w:rsidR="006A36BA" w:rsidRDefault="006A36BA" w:rsidP="006A36BA">
      <w:pPr>
        <w:ind w:right="333"/>
        <w:contextualSpacing/>
        <w:jc w:val="both"/>
        <w:rPr>
          <w:sz w:val="20"/>
          <w:szCs w:val="20"/>
        </w:rPr>
      </w:pPr>
    </w:p>
    <w:p w:rsidR="006A36BA" w:rsidRDefault="006A36BA" w:rsidP="006A36BA">
      <w:pPr>
        <w:ind w:right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Alternatively, GTB is prepared to </w:t>
      </w:r>
      <w:r w:rsidRPr="00E9285D">
        <w:rPr>
          <w:sz w:val="20"/>
          <w:szCs w:val="20"/>
          <w:u w:val="single"/>
        </w:rPr>
        <w:t>open</w:t>
      </w:r>
      <w:r w:rsidR="00E9285D" w:rsidRPr="00E9285D">
        <w:rPr>
          <w:sz w:val="20"/>
          <w:szCs w:val="20"/>
          <w:u w:val="single"/>
        </w:rPr>
        <w:t xml:space="preserve"> its </w:t>
      </w:r>
      <w:r w:rsidR="00E9285D">
        <w:rPr>
          <w:sz w:val="20"/>
          <w:szCs w:val="20"/>
          <w:u w:val="single"/>
        </w:rPr>
        <w:t>(</w:t>
      </w:r>
      <w:r w:rsidR="00E9285D" w:rsidRPr="00E9285D">
        <w:rPr>
          <w:sz w:val="20"/>
          <w:szCs w:val="20"/>
          <w:u w:val="single"/>
        </w:rPr>
        <w:t>already active</w:t>
      </w:r>
      <w:r w:rsidR="00E9285D">
        <w:rPr>
          <w:sz w:val="20"/>
          <w:szCs w:val="20"/>
          <w:u w:val="single"/>
        </w:rPr>
        <w:t>)</w:t>
      </w:r>
      <w:r w:rsidR="00E9285D" w:rsidRPr="00E9285D">
        <w:rPr>
          <w:sz w:val="20"/>
          <w:szCs w:val="20"/>
          <w:u w:val="single"/>
        </w:rPr>
        <w:t xml:space="preserve"> </w:t>
      </w:r>
      <w:r w:rsidRPr="00E9285D">
        <w:rPr>
          <w:sz w:val="20"/>
          <w:szCs w:val="20"/>
          <w:u w:val="single"/>
        </w:rPr>
        <w:t xml:space="preserve">Special Interest Group to all interested </w:t>
      </w:r>
      <w:r w:rsidR="00E9285D" w:rsidRPr="00E9285D">
        <w:rPr>
          <w:sz w:val="20"/>
          <w:szCs w:val="20"/>
          <w:u w:val="single"/>
        </w:rPr>
        <w:t xml:space="preserve">CP’s and other </w:t>
      </w:r>
      <w:r w:rsidRPr="00E9285D">
        <w:rPr>
          <w:sz w:val="20"/>
          <w:szCs w:val="20"/>
          <w:u w:val="single"/>
        </w:rPr>
        <w:t>stakeholders</w:t>
      </w:r>
      <w:r w:rsidR="00E9285D" w:rsidRPr="00E9285D">
        <w:rPr>
          <w:sz w:val="20"/>
          <w:szCs w:val="20"/>
          <w:u w:val="single"/>
        </w:rPr>
        <w:t xml:space="preserve"> </w:t>
      </w:r>
      <w:r w:rsidR="00E9285D">
        <w:rPr>
          <w:sz w:val="20"/>
          <w:szCs w:val="20"/>
        </w:rPr>
        <w:t>and to provide regular progress reports to GRE.</w:t>
      </w:r>
      <w:r w:rsidR="00234E17">
        <w:rPr>
          <w:sz w:val="20"/>
          <w:szCs w:val="20"/>
        </w:rPr>
        <w:t xml:space="preserve"> The meetings would provide opportunities to participate via WebEx.</w:t>
      </w:r>
    </w:p>
    <w:sectPr w:rsidR="006A36BA" w:rsidSect="000472F2">
      <w:footerReference w:type="default" r:id="rId14"/>
      <w:pgSz w:w="12240" w:h="15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7C" w:rsidRDefault="00DB167C" w:rsidP="00D60B7A">
      <w:r>
        <w:separator/>
      </w:r>
    </w:p>
  </w:endnote>
  <w:endnote w:type="continuationSeparator" w:id="0">
    <w:p w:rsidR="00DB167C" w:rsidRDefault="00DB167C" w:rsidP="00D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275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285D" w:rsidRDefault="00E9285D" w:rsidP="00E9285D">
            <w:pPr>
              <w:pStyle w:val="Footer"/>
              <w:jc w:val="right"/>
            </w:pPr>
            <w:r w:rsidRPr="00E9285D">
              <w:rPr>
                <w:sz w:val="18"/>
                <w:szCs w:val="18"/>
              </w:rPr>
              <w:t xml:space="preserve">Page </w:t>
            </w:r>
            <w:r w:rsidR="007B2B8C" w:rsidRPr="00E9285D">
              <w:rPr>
                <w:b/>
                <w:sz w:val="18"/>
                <w:szCs w:val="18"/>
              </w:rPr>
              <w:fldChar w:fldCharType="begin"/>
            </w:r>
            <w:r w:rsidRPr="00E9285D">
              <w:rPr>
                <w:b/>
                <w:sz w:val="18"/>
                <w:szCs w:val="18"/>
              </w:rPr>
              <w:instrText xml:space="preserve"> PAGE </w:instrText>
            </w:r>
            <w:r w:rsidR="007B2B8C" w:rsidRPr="00E9285D">
              <w:rPr>
                <w:b/>
                <w:sz w:val="18"/>
                <w:szCs w:val="18"/>
              </w:rPr>
              <w:fldChar w:fldCharType="separate"/>
            </w:r>
            <w:r w:rsidR="00734931">
              <w:rPr>
                <w:b/>
                <w:noProof/>
                <w:sz w:val="18"/>
                <w:szCs w:val="18"/>
              </w:rPr>
              <w:t>1</w:t>
            </w:r>
            <w:r w:rsidR="007B2B8C" w:rsidRPr="00E9285D">
              <w:rPr>
                <w:b/>
                <w:sz w:val="18"/>
                <w:szCs w:val="18"/>
              </w:rPr>
              <w:fldChar w:fldCharType="end"/>
            </w:r>
            <w:r w:rsidRPr="00E9285D">
              <w:rPr>
                <w:sz w:val="18"/>
                <w:szCs w:val="18"/>
              </w:rPr>
              <w:t xml:space="preserve"> of </w:t>
            </w:r>
            <w:r w:rsidR="007B2B8C" w:rsidRPr="00E9285D">
              <w:rPr>
                <w:b/>
                <w:sz w:val="18"/>
                <w:szCs w:val="18"/>
              </w:rPr>
              <w:fldChar w:fldCharType="begin"/>
            </w:r>
            <w:r w:rsidRPr="00E9285D">
              <w:rPr>
                <w:b/>
                <w:sz w:val="18"/>
                <w:szCs w:val="18"/>
              </w:rPr>
              <w:instrText xml:space="preserve"> NUMPAGES  </w:instrText>
            </w:r>
            <w:r w:rsidR="007B2B8C" w:rsidRPr="00E9285D">
              <w:rPr>
                <w:b/>
                <w:sz w:val="18"/>
                <w:szCs w:val="18"/>
              </w:rPr>
              <w:fldChar w:fldCharType="separate"/>
            </w:r>
            <w:r w:rsidR="00734931">
              <w:rPr>
                <w:b/>
                <w:noProof/>
                <w:sz w:val="18"/>
                <w:szCs w:val="18"/>
              </w:rPr>
              <w:t>2</w:t>
            </w:r>
            <w:r w:rsidR="007B2B8C" w:rsidRPr="00E9285D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60B7A" w:rsidRDefault="00D60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7C" w:rsidRDefault="00DB167C" w:rsidP="00D60B7A">
      <w:r>
        <w:separator/>
      </w:r>
    </w:p>
  </w:footnote>
  <w:footnote w:type="continuationSeparator" w:id="0">
    <w:p w:rsidR="00DB167C" w:rsidRDefault="00DB167C" w:rsidP="00D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AEE"/>
    <w:multiLevelType w:val="hybridMultilevel"/>
    <w:tmpl w:val="8F8ED65C"/>
    <w:lvl w:ilvl="0" w:tplc="10DC4D8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CF4EA3"/>
    <w:multiLevelType w:val="hybridMultilevel"/>
    <w:tmpl w:val="12EE891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5E418C"/>
    <w:multiLevelType w:val="hybridMultilevel"/>
    <w:tmpl w:val="8FB6D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B53"/>
    <w:rsid w:val="000472F2"/>
    <w:rsid w:val="000B1868"/>
    <w:rsid w:val="000D502A"/>
    <w:rsid w:val="000D59E5"/>
    <w:rsid w:val="00114E43"/>
    <w:rsid w:val="001157FA"/>
    <w:rsid w:val="001A47ED"/>
    <w:rsid w:val="00234E17"/>
    <w:rsid w:val="002B2173"/>
    <w:rsid w:val="00332C87"/>
    <w:rsid w:val="003770B2"/>
    <w:rsid w:val="003811CA"/>
    <w:rsid w:val="003A5ACA"/>
    <w:rsid w:val="003F268D"/>
    <w:rsid w:val="00401D7D"/>
    <w:rsid w:val="00421FD5"/>
    <w:rsid w:val="004C16D4"/>
    <w:rsid w:val="005279F4"/>
    <w:rsid w:val="0053194F"/>
    <w:rsid w:val="005329E1"/>
    <w:rsid w:val="005620F2"/>
    <w:rsid w:val="00566554"/>
    <w:rsid w:val="005A2F7D"/>
    <w:rsid w:val="005C03D1"/>
    <w:rsid w:val="00632E69"/>
    <w:rsid w:val="0064436C"/>
    <w:rsid w:val="006A36BA"/>
    <w:rsid w:val="0072221C"/>
    <w:rsid w:val="00734931"/>
    <w:rsid w:val="007B2B8C"/>
    <w:rsid w:val="007E20C9"/>
    <w:rsid w:val="008C14C6"/>
    <w:rsid w:val="00935DFE"/>
    <w:rsid w:val="00996ED7"/>
    <w:rsid w:val="009B78CD"/>
    <w:rsid w:val="00A909A9"/>
    <w:rsid w:val="00B24C70"/>
    <w:rsid w:val="00BF40D9"/>
    <w:rsid w:val="00C51CA3"/>
    <w:rsid w:val="00D507BD"/>
    <w:rsid w:val="00D553D2"/>
    <w:rsid w:val="00D60B7A"/>
    <w:rsid w:val="00DB167C"/>
    <w:rsid w:val="00DC49D6"/>
    <w:rsid w:val="00DE61BE"/>
    <w:rsid w:val="00E20EF8"/>
    <w:rsid w:val="00E9285D"/>
    <w:rsid w:val="00EC78BF"/>
    <w:rsid w:val="00EC7B53"/>
    <w:rsid w:val="00ED00E6"/>
    <w:rsid w:val="00F01EF9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EC7B53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eastAsia="en-US"/>
    </w:rPr>
  </w:style>
  <w:style w:type="character" w:customStyle="1" w:styleId="paraChar">
    <w:name w:val="para Char"/>
    <w:link w:val="para"/>
    <w:rsid w:val="00EC7B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01EF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eastAsia="en-US"/>
    </w:rPr>
  </w:style>
  <w:style w:type="character" w:customStyle="1" w:styleId="HChGChar">
    <w:name w:val="_ H _Ch_G Char"/>
    <w:link w:val="HChG"/>
    <w:rsid w:val="00F01EF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F45C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45C13"/>
    <w:rPr>
      <w:lang w:val="en-GB"/>
    </w:rPr>
  </w:style>
  <w:style w:type="paragraph" w:styleId="ListParagraph">
    <w:name w:val="List Paragraph"/>
    <w:basedOn w:val="Normal"/>
    <w:uiPriority w:val="34"/>
    <w:qFormat/>
    <w:rsid w:val="0037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D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0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7A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B24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EC7B53"/>
    <w:pPr>
      <w:suppressAutoHyphens/>
      <w:spacing w:after="120" w:line="240" w:lineRule="atLeast"/>
      <w:ind w:left="2268" w:right="1134" w:hanging="1134"/>
      <w:jc w:val="both"/>
    </w:pPr>
    <w:rPr>
      <w:sz w:val="20"/>
      <w:szCs w:val="20"/>
      <w:lang w:val="en-GB" w:eastAsia="en-US"/>
    </w:rPr>
  </w:style>
  <w:style w:type="character" w:customStyle="1" w:styleId="paraChar">
    <w:name w:val="para Char"/>
    <w:link w:val="para"/>
    <w:rsid w:val="00EC7B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01EF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F01EF9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oc/2018/wp29gre/GRE-79-35e.PDF" TargetMode="External"/><Relationship Id="rId13" Type="http://schemas.openxmlformats.org/officeDocument/2006/relationships/hyperlink" Target="https://www.unece.org/fileadmin/DAM/trans/doc/2018/wp1/ECE-TRANS-WP1-165e_0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ece.org/fileadmin/DAM/trans/doc/2018/wp29gre/GRE-79-36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trans/doc/2018/wp29grva/GRVA-01-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.unece.org/download/attachments/60364189/%28ITS_AD-15-05a-Rev1%29%20TCE-5523_GTB%20presentation%20for%2015th%20ITS-AD%20on%20ADS%20lighting%20and%20signalling.pdf?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trans/doc/2018/wp29gre/GRE-79-36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4543</Characters>
  <Application>Microsoft Office Word</Application>
  <DocSecurity>0</DocSecurity>
  <Lines>146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u070042</dc:creator>
  <cp:lastModifiedBy>Konstantin Glukhenkiy</cp:lastModifiedBy>
  <cp:revision>3</cp:revision>
  <dcterms:created xsi:type="dcterms:W3CDTF">2018-10-24T05:20:00Z</dcterms:created>
  <dcterms:modified xsi:type="dcterms:W3CDTF">2018-10-24T06:34:00Z</dcterms:modified>
</cp:coreProperties>
</file>