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228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228F8" w:rsidP="00E228F8">
            <w:pPr>
              <w:jc w:val="right"/>
            </w:pPr>
            <w:r w:rsidRPr="00E228F8">
              <w:rPr>
                <w:sz w:val="40"/>
              </w:rPr>
              <w:t>ECE</w:t>
            </w:r>
            <w:r>
              <w:t>/TRANS/WP.29/GRE/2018/50</w:t>
            </w:r>
          </w:p>
        </w:tc>
      </w:tr>
      <w:tr w:rsidR="002D5AAC" w:rsidRPr="00CB6F6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228F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228F8" w:rsidRDefault="00E228F8" w:rsidP="00E228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E228F8" w:rsidRDefault="00E228F8" w:rsidP="00E228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228F8" w:rsidRPr="008D53B6" w:rsidRDefault="00E228F8" w:rsidP="00E228F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228F8" w:rsidRPr="00066294" w:rsidRDefault="00E228F8" w:rsidP="00E228F8">
      <w:pPr>
        <w:spacing w:before="120"/>
        <w:rPr>
          <w:sz w:val="28"/>
          <w:szCs w:val="28"/>
        </w:rPr>
      </w:pPr>
      <w:r w:rsidRPr="00066294">
        <w:rPr>
          <w:sz w:val="28"/>
          <w:szCs w:val="28"/>
        </w:rPr>
        <w:t>Комитет по внутреннему транспорту</w:t>
      </w:r>
    </w:p>
    <w:p w:rsidR="00E228F8" w:rsidRPr="00066294" w:rsidRDefault="00E228F8" w:rsidP="00E228F8">
      <w:pPr>
        <w:spacing w:before="120"/>
        <w:rPr>
          <w:b/>
          <w:sz w:val="24"/>
          <w:szCs w:val="24"/>
        </w:rPr>
      </w:pPr>
      <w:r w:rsidRPr="00066294">
        <w:rPr>
          <w:b/>
          <w:sz w:val="24"/>
          <w:szCs w:val="24"/>
        </w:rPr>
        <w:t>Всемирный форум для согласования правил</w:t>
      </w:r>
      <w:r w:rsidRPr="00066294">
        <w:rPr>
          <w:b/>
          <w:sz w:val="24"/>
          <w:szCs w:val="24"/>
        </w:rPr>
        <w:br/>
        <w:t>в области транспортных средств</w:t>
      </w:r>
    </w:p>
    <w:p w:rsidR="00E228F8" w:rsidRPr="00066294" w:rsidRDefault="00E228F8" w:rsidP="00E228F8">
      <w:pPr>
        <w:spacing w:before="120" w:after="120"/>
        <w:rPr>
          <w:b/>
          <w:bCs/>
        </w:rPr>
      </w:pPr>
      <w:r w:rsidRPr="00066294">
        <w:rPr>
          <w:b/>
          <w:bCs/>
        </w:rPr>
        <w:t>Рабочая группа по вопросам освещения</w:t>
      </w:r>
      <w:r w:rsidRPr="00066294">
        <w:rPr>
          <w:b/>
          <w:bCs/>
        </w:rPr>
        <w:br/>
        <w:t>и световой сигнализации</w:t>
      </w:r>
    </w:p>
    <w:p w:rsidR="00E228F8" w:rsidRPr="00066294" w:rsidRDefault="00E228F8" w:rsidP="00E228F8">
      <w:pPr>
        <w:rPr>
          <w:b/>
        </w:rPr>
      </w:pPr>
      <w:r>
        <w:rPr>
          <w:b/>
        </w:rPr>
        <w:t xml:space="preserve">Восьмидесятая </w:t>
      </w:r>
      <w:r w:rsidRPr="00066294">
        <w:rPr>
          <w:b/>
        </w:rPr>
        <w:t>сессия</w:t>
      </w:r>
    </w:p>
    <w:p w:rsidR="00E228F8" w:rsidRPr="00066294" w:rsidRDefault="00E228F8" w:rsidP="00E228F8">
      <w:pPr>
        <w:rPr>
          <w:bCs/>
        </w:rPr>
      </w:pPr>
      <w:r w:rsidRPr="00066294">
        <w:t>Женева, 2</w:t>
      </w:r>
      <w:r>
        <w:t>3</w:t>
      </w:r>
      <w:r w:rsidRPr="00066294">
        <w:t>–2</w:t>
      </w:r>
      <w:r>
        <w:t>6 октября</w:t>
      </w:r>
      <w:r w:rsidRPr="00066294">
        <w:t xml:space="preserve"> 2018 года</w:t>
      </w:r>
    </w:p>
    <w:p w:rsidR="00E228F8" w:rsidRPr="00066294" w:rsidRDefault="00E228F8" w:rsidP="00E228F8">
      <w:pPr>
        <w:rPr>
          <w:bCs/>
        </w:rPr>
      </w:pPr>
      <w:r w:rsidRPr="00066294">
        <w:rPr>
          <w:bCs/>
        </w:rPr>
        <w:t xml:space="preserve">Пункты 4 и 7 </w:t>
      </w:r>
      <w:r>
        <w:rPr>
          <w:bCs/>
        </w:rPr>
        <w:t>b</w:t>
      </w:r>
      <w:r w:rsidRPr="00066294">
        <w:rPr>
          <w:bCs/>
        </w:rPr>
        <w:t>) предварительной повестки дня</w:t>
      </w:r>
    </w:p>
    <w:p w:rsidR="00E228F8" w:rsidRPr="00066294" w:rsidRDefault="00E228F8" w:rsidP="00E228F8">
      <w:pPr>
        <w:rPr>
          <w:b/>
        </w:rPr>
      </w:pPr>
      <w:r w:rsidRPr="00066294">
        <w:rPr>
          <w:b/>
          <w:bCs/>
        </w:rPr>
        <w:t>Упрощение правил</w:t>
      </w:r>
      <w:r>
        <w:rPr>
          <w:b/>
          <w:bCs/>
        </w:rPr>
        <w:t xml:space="preserve"> ООН</w:t>
      </w:r>
      <w:r w:rsidRPr="00066294">
        <w:rPr>
          <w:b/>
          <w:bCs/>
        </w:rPr>
        <w:t xml:space="preserve">, касающихся устройств </w:t>
      </w:r>
      <w:r>
        <w:rPr>
          <w:b/>
          <w:bCs/>
        </w:rPr>
        <w:br/>
      </w:r>
      <w:r w:rsidRPr="00066294">
        <w:rPr>
          <w:b/>
          <w:bCs/>
        </w:rPr>
        <w:t>освещения</w:t>
      </w:r>
      <w:r w:rsidRPr="00E228F8">
        <w:rPr>
          <w:b/>
          <w:bCs/>
        </w:rPr>
        <w:t xml:space="preserve"> </w:t>
      </w:r>
      <w:r w:rsidRPr="00066294">
        <w:rPr>
          <w:b/>
          <w:bCs/>
        </w:rPr>
        <w:t>и световой сигнализации</w:t>
      </w:r>
    </w:p>
    <w:p w:rsidR="00E228F8" w:rsidRPr="00066294" w:rsidRDefault="00E228F8" w:rsidP="00E228F8">
      <w:pPr>
        <w:rPr>
          <w:b/>
          <w:bCs/>
          <w:lang w:eastAsia="ja-JP"/>
        </w:rPr>
      </w:pPr>
      <w:r w:rsidRPr="00066294">
        <w:rPr>
          <w:b/>
        </w:rPr>
        <w:t xml:space="preserve">Другие правила </w:t>
      </w:r>
      <w:r>
        <w:rPr>
          <w:b/>
        </w:rPr>
        <w:t xml:space="preserve">ООН </w:t>
      </w:r>
      <w:r w:rsidRPr="00066294">
        <w:rPr>
          <w:b/>
        </w:rPr>
        <w:t xml:space="preserve">– Правила № 53 </w:t>
      </w:r>
      <w:r>
        <w:rPr>
          <w:b/>
        </w:rPr>
        <w:t xml:space="preserve">ООН </w:t>
      </w:r>
      <w:r>
        <w:rPr>
          <w:b/>
        </w:rPr>
        <w:br/>
      </w:r>
      <w:r w:rsidRPr="00066294">
        <w:rPr>
          <w:b/>
        </w:rPr>
        <w:t>(установка устройств</w:t>
      </w:r>
      <w:r w:rsidRPr="00E228F8">
        <w:rPr>
          <w:b/>
        </w:rPr>
        <w:t xml:space="preserve"> </w:t>
      </w:r>
      <w:r w:rsidRPr="00066294">
        <w:rPr>
          <w:b/>
        </w:rPr>
        <w:t>освещения и световой сигнализации</w:t>
      </w:r>
      <w:r w:rsidRPr="00066294">
        <w:rPr>
          <w:b/>
        </w:rPr>
        <w:br/>
        <w:t xml:space="preserve">для транспортных средств категории </w:t>
      </w:r>
      <w:r w:rsidRPr="00EF3FC8">
        <w:rPr>
          <w:b/>
        </w:rPr>
        <w:t>L</w:t>
      </w:r>
      <w:r w:rsidRPr="00066294">
        <w:rPr>
          <w:b/>
          <w:vertAlign w:val="subscript"/>
        </w:rPr>
        <w:t>3</w:t>
      </w:r>
      <w:r w:rsidRPr="00066294">
        <w:rPr>
          <w:b/>
        </w:rPr>
        <w:t>)</w:t>
      </w:r>
      <w:r w:rsidRPr="00066294">
        <w:rPr>
          <w:rFonts w:hint="eastAsia"/>
          <w:b/>
          <w:bCs/>
          <w:lang w:eastAsia="ja-JP"/>
        </w:rPr>
        <w:t xml:space="preserve"> </w:t>
      </w:r>
    </w:p>
    <w:p w:rsidR="00E228F8" w:rsidRDefault="00E228F8" w:rsidP="00E228F8">
      <w:pPr>
        <w:pStyle w:val="HChGR"/>
      </w:pPr>
      <w:r w:rsidRPr="009D5C75">
        <w:tab/>
      </w:r>
      <w:r w:rsidRPr="009D5C75">
        <w:tab/>
        <w:t xml:space="preserve">Предложение по поправкам серии 03 </w:t>
      </w:r>
      <w:r>
        <w:br/>
      </w:r>
      <w:r w:rsidRPr="009D5C75">
        <w:t>к Правилам № 53</w:t>
      </w:r>
      <w:r>
        <w:t xml:space="preserve"> ООН</w:t>
      </w:r>
      <w:r w:rsidRPr="009D5C75">
        <w:t>, а</w:t>
      </w:r>
      <w:r w:rsidR="00306AE7">
        <w:t xml:space="preserve"> т</w:t>
      </w:r>
      <w:r>
        <w:t>акже предложение по </w:t>
      </w:r>
      <w:r w:rsidRPr="009D5C75">
        <w:t>поправкам к проекту новых правил</w:t>
      </w:r>
      <w:r>
        <w:t xml:space="preserve"> ООН</w:t>
      </w:r>
      <w:r w:rsidRPr="009D5C75">
        <w:t>, касающихся устройств световой сигнализации</w:t>
      </w:r>
      <w:r>
        <w:t xml:space="preserve"> (УСС)</w:t>
      </w:r>
      <w:r w:rsidRPr="009D5C75">
        <w:t xml:space="preserve"> </w:t>
      </w:r>
    </w:p>
    <w:p w:rsidR="00E228F8" w:rsidRPr="009D5C75" w:rsidRDefault="00306AE7" w:rsidP="00306AE7">
      <w:pPr>
        <w:pStyle w:val="H1GR"/>
        <w:rPr>
          <w:szCs w:val="24"/>
        </w:rPr>
      </w:pPr>
      <w:r>
        <w:tab/>
      </w:r>
      <w:r>
        <w:tab/>
      </w:r>
      <w:r w:rsidR="00E228F8" w:rsidRPr="009D5C75">
        <w:t xml:space="preserve">Представлено экспертом от специализированной группы экспертов по дневным ходовым огням для транспортных средств категории </w:t>
      </w:r>
      <w:r w:rsidR="00E228F8" w:rsidRPr="00EF3FC8">
        <w:t>L</w:t>
      </w:r>
      <w:r w:rsidR="00E228F8" w:rsidRPr="009D5C75">
        <w:t xml:space="preserve"> (</w:t>
      </w:r>
      <w:r w:rsidR="00E228F8">
        <w:t>ДХО</w:t>
      </w:r>
      <w:r w:rsidR="00E228F8" w:rsidRPr="009D5C75">
        <w:t>-</w:t>
      </w:r>
      <w:r w:rsidR="00E228F8" w:rsidRPr="00EF3FC8">
        <w:t>L</w:t>
      </w:r>
      <w:r w:rsidR="00E228F8" w:rsidRPr="009D5C75">
        <w:t>)</w:t>
      </w:r>
      <w:r w:rsidR="00E228F8" w:rsidRPr="00306AE7">
        <w:rPr>
          <w:b w:val="0"/>
          <w:sz w:val="20"/>
        </w:rPr>
        <w:footnoteReference w:customMarkFollows="1" w:id="1"/>
        <w:t>*</w:t>
      </w:r>
    </w:p>
    <w:p w:rsidR="00E228F8" w:rsidRPr="00E228F8" w:rsidRDefault="00E228F8" w:rsidP="00E228F8">
      <w:pPr>
        <w:pStyle w:val="SingleTxtGR"/>
      </w:pPr>
      <w:r>
        <w:tab/>
      </w:r>
      <w:r w:rsidRPr="009D5C75">
        <w:t xml:space="preserve">Воспроизведенный ниже текст был подготовлен специализированной группой экспертов по </w:t>
      </w:r>
      <w:r>
        <w:t>ДХО</w:t>
      </w:r>
      <w:r w:rsidRPr="009D5C75">
        <w:t>-</w:t>
      </w:r>
      <w:r w:rsidRPr="00EF3FC8">
        <w:t>L</w:t>
      </w:r>
      <w:r w:rsidRPr="009D5C75">
        <w:t xml:space="preserve"> на основе документов </w:t>
      </w:r>
      <w:r w:rsidRPr="00BB2385">
        <w:t>ECE</w:t>
      </w:r>
      <w:r w:rsidRPr="009D5C75">
        <w:t>/</w:t>
      </w:r>
      <w:r w:rsidRPr="00BB2385">
        <w:t>TRANS</w:t>
      </w:r>
      <w:r w:rsidRPr="009D5C75">
        <w:t>/</w:t>
      </w:r>
      <w:r w:rsidRPr="00BB2385">
        <w:t>WP</w:t>
      </w:r>
      <w:r w:rsidRPr="009D5C75">
        <w:t>.29/</w:t>
      </w:r>
      <w:r w:rsidRPr="00BB2385">
        <w:t>GRE</w:t>
      </w:r>
      <w:r w:rsidRPr="009D5C75">
        <w:t xml:space="preserve">/2016/35, </w:t>
      </w:r>
      <w:r w:rsidRPr="00BB2385">
        <w:t>ECE</w:t>
      </w:r>
      <w:r w:rsidRPr="009D5C75">
        <w:t>/</w:t>
      </w:r>
      <w:r w:rsidRPr="00BB2385">
        <w:t>TRANS</w:t>
      </w:r>
      <w:r w:rsidRPr="009D5C75">
        <w:t>/</w:t>
      </w:r>
      <w:r w:rsidRPr="00BB2385">
        <w:t>WP</w:t>
      </w:r>
      <w:r w:rsidRPr="009D5C75">
        <w:t>.29/</w:t>
      </w:r>
      <w:r w:rsidRPr="00BB2385">
        <w:t>GRE</w:t>
      </w:r>
      <w:r w:rsidRPr="009D5C75">
        <w:t xml:space="preserve">/2017/9 </w:t>
      </w:r>
      <w:r>
        <w:t>и</w:t>
      </w:r>
      <w:r w:rsidRPr="009D5C75">
        <w:t xml:space="preserve"> </w:t>
      </w:r>
      <w:r w:rsidRPr="00BB2385">
        <w:t>ECE</w:t>
      </w:r>
      <w:r w:rsidRPr="009D5C75">
        <w:t>/</w:t>
      </w:r>
      <w:r w:rsidRPr="00BB2385">
        <w:t>TRANS</w:t>
      </w:r>
      <w:r w:rsidRPr="009D5C75">
        <w:t>/</w:t>
      </w:r>
      <w:r w:rsidRPr="00BB2385">
        <w:t>WP</w:t>
      </w:r>
      <w:r w:rsidRPr="009D5C75">
        <w:t>.29/</w:t>
      </w:r>
      <w:r w:rsidRPr="00BB2385">
        <w:t>GRE</w:t>
      </w:r>
      <w:r w:rsidRPr="009D5C75">
        <w:t>/2018/19. Содержащиеся в нем предложения отражают выводы, сделанные этой группой на своем специальном совещании 17 мая 2017 года с учетом соображений, высказанных Рабочей группой по вопросам освещения и световой сигнализации (</w:t>
      </w:r>
      <w:r w:rsidRPr="00EF3FC8">
        <w:t>GRE</w:t>
      </w:r>
      <w:r w:rsidRPr="009D5C75">
        <w:t xml:space="preserve">) на ее семьдесят седьмой </w:t>
      </w:r>
      <w:r>
        <w:t xml:space="preserve">и семьдесят девятой </w:t>
      </w:r>
      <w:r w:rsidRPr="009D5C75">
        <w:t>сесси</w:t>
      </w:r>
      <w:r>
        <w:t>ях</w:t>
      </w:r>
      <w:r w:rsidRPr="009D5C75">
        <w:t xml:space="preserve"> по поводу нового требования, касающегося автоматического переключения режима дневных ходовых огней (</w:t>
      </w:r>
      <w:r>
        <w:t>ДХО</w:t>
      </w:r>
      <w:r w:rsidRPr="009D5C75">
        <w:t xml:space="preserve">) на режим фар и обратно для транспортных средств категории </w:t>
      </w:r>
      <w:r w:rsidRPr="00EF3FC8">
        <w:t>L</w:t>
      </w:r>
      <w:r w:rsidRPr="009D5C75">
        <w:rPr>
          <w:vertAlign w:val="subscript"/>
        </w:rPr>
        <w:t>3</w:t>
      </w:r>
      <w:r w:rsidRPr="009D5C75">
        <w:t xml:space="preserve">. Изменения к существующему </w:t>
      </w:r>
      <w:r w:rsidRPr="009D5C75">
        <w:lastRenderedPageBreak/>
        <w:t>тексту Правил выделены жирным шрифтом</w:t>
      </w:r>
      <w:r>
        <w:t xml:space="preserve"> в случае новых положений и зачеркиванием в случае исключенных элементов</w:t>
      </w:r>
      <w:r w:rsidRPr="009D5C75">
        <w:t xml:space="preserve">. </w:t>
      </w:r>
    </w:p>
    <w:p w:rsidR="00E228F8" w:rsidRPr="00EF3FC8" w:rsidRDefault="00E228F8" w:rsidP="00E228F8">
      <w:pPr>
        <w:pStyle w:val="HChGR"/>
      </w:pPr>
      <w:r w:rsidRPr="00034DFB">
        <w:rPr>
          <w:b w:val="0"/>
        </w:rPr>
        <w:br w:type="page"/>
      </w:r>
      <w:r w:rsidRPr="00034DFB">
        <w:lastRenderedPageBreak/>
        <w:tab/>
      </w:r>
      <w:r w:rsidRPr="00BB2385">
        <w:rPr>
          <w:lang w:val="en-US"/>
        </w:rPr>
        <w:t>I</w:t>
      </w:r>
      <w:r w:rsidRPr="00DA309F">
        <w:t>.</w:t>
      </w:r>
      <w:r w:rsidRPr="00DA309F">
        <w:rPr>
          <w:b w:val="0"/>
        </w:rPr>
        <w:tab/>
      </w:r>
      <w:r w:rsidRPr="00EF3FC8">
        <w:t>Предложение</w:t>
      </w:r>
    </w:p>
    <w:p w:rsidR="00E228F8" w:rsidRPr="00EF3FC8" w:rsidRDefault="00E228F8" w:rsidP="00E228F8">
      <w:pPr>
        <w:pStyle w:val="H1GR"/>
        <w:rPr>
          <w:i/>
        </w:rPr>
      </w:pPr>
      <w:r w:rsidRPr="00EF3FC8">
        <w:tab/>
        <w:t>A.</w:t>
      </w:r>
      <w:r w:rsidRPr="00EF3FC8">
        <w:tab/>
        <w:t xml:space="preserve">Предложение по поправкам серии 03 к Правилам № 53 </w:t>
      </w:r>
    </w:p>
    <w:p w:rsidR="00E228F8" w:rsidRPr="00DA309F" w:rsidRDefault="00E228F8" w:rsidP="00E228F8">
      <w:pPr>
        <w:pStyle w:val="SingleTxtGR"/>
        <w:rPr>
          <w:b/>
        </w:rPr>
      </w:pPr>
      <w:r w:rsidRPr="00DA309F">
        <w:rPr>
          <w:i/>
          <w:iCs/>
        </w:rPr>
        <w:t xml:space="preserve">Пункт </w:t>
      </w:r>
      <w:r w:rsidRPr="00DA309F">
        <w:rPr>
          <w:rFonts w:hint="eastAsia"/>
          <w:i/>
          <w:iCs/>
          <w:lang w:eastAsia="ja-JP"/>
        </w:rPr>
        <w:t>4</w:t>
      </w:r>
      <w:r w:rsidRPr="00DA309F">
        <w:rPr>
          <w:i/>
          <w:iCs/>
        </w:rPr>
        <w:t>.</w:t>
      </w:r>
      <w:r w:rsidRPr="00DA309F">
        <w:rPr>
          <w:rFonts w:hint="eastAsia"/>
          <w:i/>
          <w:iCs/>
          <w:lang w:eastAsia="ja-JP"/>
        </w:rPr>
        <w:t>2</w:t>
      </w:r>
      <w:r w:rsidRPr="00DA309F">
        <w:rPr>
          <w:i/>
          <w:iCs/>
          <w:lang w:eastAsia="ja-JP"/>
        </w:rPr>
        <w:t xml:space="preserve"> </w:t>
      </w:r>
      <w:r w:rsidRPr="00DA309F">
        <w:t>изменить следующим образом:</w:t>
      </w:r>
    </w:p>
    <w:p w:rsidR="00E228F8" w:rsidRDefault="00E228F8" w:rsidP="00E228F8">
      <w:pPr>
        <w:pStyle w:val="SingleTxtG"/>
        <w:ind w:left="2268" w:right="1128" w:hanging="1134"/>
        <w:rPr>
          <w:lang w:val="ru-RU"/>
        </w:rPr>
      </w:pPr>
      <w:r w:rsidRPr="0036113B">
        <w:rPr>
          <w:iCs/>
          <w:lang w:val="ru-RU"/>
        </w:rPr>
        <w:t>«</w:t>
      </w:r>
      <w:r w:rsidRPr="0036113B">
        <w:rPr>
          <w:rFonts w:hint="eastAsia"/>
          <w:iCs/>
          <w:lang w:val="ru-RU" w:eastAsia="ja-JP"/>
        </w:rPr>
        <w:t>4</w:t>
      </w:r>
      <w:r w:rsidRPr="0036113B">
        <w:rPr>
          <w:rFonts w:eastAsia="MS PMincho"/>
          <w:lang w:val="ru-RU"/>
        </w:rPr>
        <w:t>.</w:t>
      </w:r>
      <w:r w:rsidRPr="0036113B">
        <w:rPr>
          <w:rFonts w:eastAsia="MS PMincho" w:hint="eastAsia"/>
          <w:lang w:val="ru-RU" w:eastAsia="ja-JP"/>
        </w:rPr>
        <w:t>2</w:t>
      </w:r>
      <w:r w:rsidRPr="0036113B">
        <w:rPr>
          <w:rFonts w:eastAsia="MS PMincho"/>
          <w:b/>
          <w:lang w:val="ru-RU"/>
        </w:rPr>
        <w:tab/>
      </w:r>
      <w:r w:rsidRPr="0036113B">
        <w:rPr>
          <w:lang w:val="ru-RU"/>
        </w:rPr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36113B">
        <w:rPr>
          <w:strike/>
          <w:lang w:val="ru-RU" w:eastAsia="ja-JP"/>
        </w:rPr>
        <w:t>01</w:t>
      </w:r>
      <w:r w:rsidRPr="0036113B">
        <w:rPr>
          <w:rFonts w:eastAsia="MS PMincho"/>
          <w:lang w:val="ru-RU"/>
        </w:rPr>
        <w:t xml:space="preserve"> </w:t>
      </w:r>
      <w:r w:rsidRPr="0036113B">
        <w:rPr>
          <w:rFonts w:eastAsia="MS PMincho" w:hint="eastAsia"/>
          <w:b/>
          <w:lang w:val="ru-RU" w:eastAsia="ja-JP"/>
        </w:rPr>
        <w:t>03</w:t>
      </w:r>
      <w:r w:rsidRPr="0036113B">
        <w:rPr>
          <w:lang w:val="ru-RU"/>
        </w:rPr>
        <w:t xml:space="preserve"> для Правил, включающих поправки серии </w:t>
      </w:r>
      <w:r w:rsidRPr="0036113B">
        <w:rPr>
          <w:strike/>
          <w:lang w:val="ru-RU" w:eastAsia="ja-JP"/>
        </w:rPr>
        <w:t>01</w:t>
      </w:r>
      <w:r w:rsidRPr="0036113B">
        <w:rPr>
          <w:rFonts w:eastAsia="MS PMincho"/>
          <w:lang w:val="ru-RU"/>
        </w:rPr>
        <w:t xml:space="preserve"> </w:t>
      </w:r>
      <w:r w:rsidRPr="0036113B">
        <w:rPr>
          <w:rFonts w:eastAsia="MS PMincho" w:hint="eastAsia"/>
          <w:b/>
          <w:lang w:val="ru-RU" w:eastAsia="ja-JP"/>
        </w:rPr>
        <w:t>03</w:t>
      </w:r>
      <w:r w:rsidRPr="0036113B">
        <w:rPr>
          <w:lang w:val="ru-RU"/>
        </w:rPr>
        <w:t>) указывают серию поправок, включающих последние основные технические изменения, внесенные в Правила к моменту предоставления официального утверждения</w:t>
      </w:r>
      <w:r>
        <w:rPr>
          <w:lang w:val="ru-RU"/>
        </w:rPr>
        <w:t>»</w:t>
      </w:r>
      <w:r w:rsidRPr="0036113B">
        <w:rPr>
          <w:lang w:val="ru-RU"/>
        </w:rPr>
        <w:t>.</w:t>
      </w:r>
    </w:p>
    <w:p w:rsidR="00E228F8" w:rsidRPr="00034DFB" w:rsidRDefault="00E228F8" w:rsidP="00E228F8">
      <w:pPr>
        <w:pStyle w:val="SingleTxtGR"/>
      </w:pPr>
      <w:r w:rsidRPr="00034DFB">
        <w:rPr>
          <w:i/>
          <w:iCs/>
        </w:rPr>
        <w:t xml:space="preserve">Пункт </w:t>
      </w:r>
      <w:r w:rsidRPr="00034DFB">
        <w:rPr>
          <w:rFonts w:hint="eastAsia"/>
          <w:i/>
          <w:iCs/>
          <w:lang w:eastAsia="ja-JP"/>
        </w:rPr>
        <w:t>5</w:t>
      </w:r>
      <w:r w:rsidRPr="00034DFB">
        <w:rPr>
          <w:i/>
          <w:iCs/>
        </w:rPr>
        <w:t>.</w:t>
      </w:r>
      <w:r w:rsidRPr="00034DFB">
        <w:rPr>
          <w:rFonts w:hint="eastAsia"/>
          <w:i/>
          <w:iCs/>
          <w:lang w:eastAsia="ja-JP"/>
        </w:rPr>
        <w:t>11</w:t>
      </w:r>
      <w:r w:rsidRPr="00034DFB">
        <w:rPr>
          <w:i/>
          <w:iCs/>
        </w:rPr>
        <w:t>.</w:t>
      </w:r>
      <w:r w:rsidRPr="00034DFB">
        <w:rPr>
          <w:rFonts w:hint="eastAsia"/>
          <w:i/>
          <w:iCs/>
          <w:lang w:eastAsia="ja-JP"/>
        </w:rPr>
        <w:t>1</w:t>
      </w:r>
      <w:r w:rsidRPr="00034DFB">
        <w:rPr>
          <w:i/>
        </w:rPr>
        <w:t xml:space="preserve"> </w:t>
      </w:r>
      <w:r w:rsidRPr="00034DFB">
        <w:t>изменить следующим образом:</w:t>
      </w:r>
    </w:p>
    <w:p w:rsidR="00E228F8" w:rsidRPr="00EF3FC8" w:rsidRDefault="00E228F8" w:rsidP="00E228F8">
      <w:pPr>
        <w:pStyle w:val="SingleTxtGR"/>
        <w:ind w:left="2268" w:hanging="1134"/>
        <w:rPr>
          <w:rFonts w:eastAsia="MS PMincho"/>
          <w:b/>
        </w:rPr>
      </w:pPr>
      <w:r w:rsidRPr="00EF3FC8">
        <w:t>«</w:t>
      </w:r>
      <w:r w:rsidRPr="00EF3FC8">
        <w:rPr>
          <w:rFonts w:eastAsia="MS PMincho"/>
        </w:rPr>
        <w:t>5.11.1</w:t>
      </w:r>
      <w:r w:rsidRPr="00EF3FC8">
        <w:rPr>
          <w:rFonts w:eastAsia="MS PMincho"/>
          <w:b/>
        </w:rPr>
        <w:tab/>
      </w:r>
      <w:r w:rsidRPr="00EF3FC8">
        <w:t xml:space="preserve">В случае установки дневного ходового огня он должен автоматически ВКЛЮЧАТЬСЯ при включении двигателя. Если с включением двигателя </w:t>
      </w:r>
      <w:r w:rsidRPr="00EF3FC8">
        <w:rPr>
          <w:b/>
          <w:bCs/>
        </w:rPr>
        <w:t>ВКЛЮЧАЕТСЯ</w:t>
      </w:r>
      <w:r w:rsidRPr="00EF3FC8">
        <w:t xml:space="preserve"> фара, то дневной ходовой огонь </w:t>
      </w:r>
      <w:r w:rsidRPr="00EF3FC8">
        <w:rPr>
          <w:b/>
          <w:bCs/>
        </w:rPr>
        <w:t xml:space="preserve">ВКЛЮЧАТЬСЯ </w:t>
      </w:r>
      <w:r w:rsidRPr="00EF3FC8">
        <w:rPr>
          <w:strike/>
        </w:rPr>
        <w:t>загораться</w:t>
      </w:r>
      <w:r w:rsidRPr="00EF3FC8">
        <w:t xml:space="preserve"> не должен.</w:t>
      </w:r>
      <w:r w:rsidRPr="00EF3FC8">
        <w:rPr>
          <w:rFonts w:eastAsia="MS PMincho"/>
          <w:b/>
        </w:rPr>
        <w:t xml:space="preserve"> </w:t>
      </w:r>
    </w:p>
    <w:p w:rsidR="00E228F8" w:rsidRPr="00EF3FC8" w:rsidRDefault="00E228F8" w:rsidP="00E228F8">
      <w:pPr>
        <w:pStyle w:val="SingleTxtGR"/>
        <w:ind w:left="2268" w:hanging="1134"/>
        <w:rPr>
          <w:strike/>
        </w:rPr>
      </w:pPr>
      <w:r w:rsidRPr="00EF3FC8">
        <w:tab/>
      </w:r>
      <w:r w:rsidRPr="00EF3FC8">
        <w:tab/>
      </w:r>
      <w:r w:rsidRPr="00EF3FC8">
        <w:rPr>
          <w:strike/>
        </w:rPr>
        <w:t>Если дневной ходовой огонь не установлен, то с включением двигателя автоматически должна включаться фара.</w:t>
      </w:r>
    </w:p>
    <w:p w:rsidR="00E228F8" w:rsidRDefault="00E228F8" w:rsidP="00E228F8">
      <w:pPr>
        <w:adjustRightInd w:val="0"/>
        <w:spacing w:after="120"/>
        <w:ind w:left="2268" w:right="1134" w:hanging="1134"/>
        <w:jc w:val="both"/>
      </w:pPr>
      <w:r w:rsidRPr="000573DA">
        <w:rPr>
          <w:b/>
        </w:rPr>
        <w:t xml:space="preserve">5.11.1.1 </w:t>
      </w:r>
      <w:r w:rsidRPr="000573DA">
        <w:rPr>
          <w:b/>
        </w:rPr>
        <w:tab/>
      </w:r>
      <w:r w:rsidRPr="00034DFB">
        <w:rPr>
          <w:b/>
          <w:bCs/>
        </w:rPr>
        <w:t xml:space="preserve">Если на транспортном средстве установлен ДХО, у которого максимальная сила света превышает 700 кд, как указано в приложении 1 [к Правилам, касающимся УСС], то </w:t>
      </w:r>
      <w:bookmarkStart w:id="1" w:name="OLE_LINK17"/>
      <w:r w:rsidRPr="00034DFB">
        <w:rPr>
          <w:b/>
          <w:bCs/>
        </w:rPr>
        <w:t>фара [(огонь ближнего света)] должны включаться и выключаться автоматически</w:t>
      </w:r>
      <w:bookmarkEnd w:id="1"/>
      <w:r w:rsidRPr="00034DFB">
        <w:rPr>
          <w:b/>
          <w:bCs/>
        </w:rPr>
        <w:t xml:space="preserve"> в зависимости от окружающих условий освещенности (например, включаться при движении в ночное время, в туннелях и т. д.) согласно требованиям приложения 7.</w:t>
      </w:r>
      <w:r w:rsidRPr="000573DA">
        <w:t xml:space="preserve"> </w:t>
      </w:r>
    </w:p>
    <w:p w:rsidR="00E228F8" w:rsidRPr="00306AE7" w:rsidRDefault="00E228F8" w:rsidP="00E228F8">
      <w:pPr>
        <w:adjustRightInd w:val="0"/>
        <w:spacing w:after="120"/>
        <w:ind w:left="2268" w:right="1134" w:hanging="1134"/>
        <w:jc w:val="both"/>
        <w:rPr>
          <w:bCs/>
        </w:rPr>
      </w:pPr>
      <w:r w:rsidRPr="00034DFB">
        <w:rPr>
          <w:b/>
        </w:rPr>
        <w:t xml:space="preserve">5.11.1.2 </w:t>
      </w:r>
      <w:r w:rsidRPr="00034DFB">
        <w:rPr>
          <w:b/>
        </w:rPr>
        <w:tab/>
      </w:r>
      <w:r w:rsidRPr="00034DFB">
        <w:rPr>
          <w:b/>
          <w:bCs/>
        </w:rPr>
        <w:t xml:space="preserve">Если на транспортном средстве установлен ДХО, у которого максимальная сила света </w:t>
      </w:r>
      <w:r>
        <w:rPr>
          <w:b/>
          <w:bCs/>
        </w:rPr>
        <w:t xml:space="preserve">не </w:t>
      </w:r>
      <w:r w:rsidRPr="00034DFB">
        <w:rPr>
          <w:b/>
          <w:bCs/>
        </w:rPr>
        <w:t xml:space="preserve">превышает 700 кд, как указано в приложении 1 [к Правилам, касающимся УСС], то фара [(огонь ближнего света)] должны включаться и выключаться </w:t>
      </w:r>
      <w:r>
        <w:rPr>
          <w:b/>
          <w:bCs/>
        </w:rPr>
        <w:t xml:space="preserve">либо вручную, либо </w:t>
      </w:r>
      <w:r w:rsidRPr="00034DFB">
        <w:rPr>
          <w:b/>
          <w:bCs/>
        </w:rPr>
        <w:t>автоматически</w:t>
      </w:r>
      <w:r w:rsidRPr="00034DFB">
        <w:rPr>
          <w:b/>
        </w:rPr>
        <w:t xml:space="preserve">. </w:t>
      </w:r>
      <w:r w:rsidRPr="006A3F2D">
        <w:rPr>
          <w:b/>
          <w:bCs/>
        </w:rPr>
        <w:t>В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случае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автоматического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включения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должны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соблюдаться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условия</w:t>
      </w:r>
      <w:r w:rsidRPr="00034DFB">
        <w:rPr>
          <w:b/>
          <w:bCs/>
        </w:rPr>
        <w:t xml:space="preserve"> </w:t>
      </w:r>
      <w:r w:rsidRPr="006A3F2D">
        <w:rPr>
          <w:b/>
          <w:bCs/>
        </w:rPr>
        <w:t>пункта</w:t>
      </w:r>
      <w:r w:rsidRPr="00034DFB">
        <w:rPr>
          <w:b/>
          <w:bCs/>
        </w:rPr>
        <w:t xml:space="preserve"> 5.11.1.1</w:t>
      </w:r>
      <w:r w:rsidRPr="00306AE7">
        <w:rPr>
          <w:bCs/>
        </w:rPr>
        <w:t>».</w:t>
      </w:r>
    </w:p>
    <w:p w:rsidR="00E228F8" w:rsidRPr="00EF3FC8" w:rsidRDefault="00E228F8" w:rsidP="00E228F8">
      <w:pPr>
        <w:pStyle w:val="SingleTxtGR"/>
        <w:rPr>
          <w:rFonts w:eastAsia="MS PMincho"/>
        </w:rPr>
      </w:pPr>
      <w:r w:rsidRPr="00EF3FC8">
        <w:rPr>
          <w:rFonts w:eastAsia="MS PMincho"/>
          <w:i/>
        </w:rPr>
        <w:t xml:space="preserve">Включить новый пункт </w:t>
      </w:r>
      <w:r w:rsidRPr="00EF3FC8">
        <w:rPr>
          <w:rFonts w:eastAsia="MS PMincho" w:hint="eastAsia"/>
          <w:i/>
        </w:rPr>
        <w:t>5.11</w:t>
      </w:r>
      <w:r w:rsidRPr="00EF3FC8">
        <w:rPr>
          <w:rFonts w:eastAsia="MS PMincho"/>
          <w:i/>
        </w:rPr>
        <w:t>.2</w:t>
      </w:r>
      <w:r w:rsidRPr="00EF3FC8">
        <w:rPr>
          <w:rFonts w:eastAsia="MS PMincho"/>
        </w:rPr>
        <w:t xml:space="preserve"> следующего содержания:</w:t>
      </w:r>
    </w:p>
    <w:p w:rsidR="00E228F8" w:rsidRPr="00EF3FC8" w:rsidRDefault="00E228F8" w:rsidP="00E228F8">
      <w:pPr>
        <w:pStyle w:val="SingleTxtGR"/>
        <w:ind w:left="2268" w:hanging="1134"/>
        <w:rPr>
          <w:rFonts w:eastAsia="MS PMincho"/>
        </w:rPr>
      </w:pPr>
      <w:r w:rsidRPr="00EF3FC8">
        <w:rPr>
          <w:rFonts w:eastAsia="MS PMincho"/>
        </w:rPr>
        <w:t>«</w:t>
      </w:r>
      <w:r w:rsidRPr="00EF3FC8">
        <w:rPr>
          <w:rFonts w:eastAsia="MS PMincho"/>
          <w:b/>
        </w:rPr>
        <w:t>5.11.2</w:t>
      </w:r>
      <w:r w:rsidRPr="00EF3FC8">
        <w:rPr>
          <w:rFonts w:eastAsia="MS PMincho"/>
        </w:rPr>
        <w:tab/>
      </w:r>
      <w:r w:rsidRPr="00EF3FC8">
        <w:rPr>
          <w:rFonts w:eastAsia="MS PMincho"/>
          <w:b/>
          <w:bCs/>
        </w:rPr>
        <w:t xml:space="preserve">Если дневной ходовой огонь не установлен, </w:t>
      </w:r>
      <w:r w:rsidRPr="00EF3FC8">
        <w:rPr>
          <w:b/>
          <w:bCs/>
        </w:rPr>
        <w:t xml:space="preserve">то с включением двигателя фара </w:t>
      </w:r>
      <w:r w:rsidRPr="00EF3FC8">
        <w:rPr>
          <w:b/>
        </w:rPr>
        <w:t xml:space="preserve">[(огонь ближнего света)] </w:t>
      </w:r>
      <w:r w:rsidRPr="00EF3FC8">
        <w:rPr>
          <w:b/>
          <w:bCs/>
        </w:rPr>
        <w:t>должна включаться автоматически</w:t>
      </w:r>
      <w:r w:rsidRPr="00EF3FC8">
        <w:t>».</w:t>
      </w:r>
    </w:p>
    <w:p w:rsidR="00E228F8" w:rsidRPr="0097613C" w:rsidRDefault="00E228F8" w:rsidP="00E228F8">
      <w:pPr>
        <w:pStyle w:val="SingleTxtG"/>
        <w:ind w:left="2268" w:hanging="1134"/>
        <w:rPr>
          <w:i/>
          <w:lang w:val="ru-RU" w:eastAsia="ja-JP"/>
        </w:rPr>
      </w:pPr>
      <w:r>
        <w:rPr>
          <w:i/>
          <w:iCs/>
          <w:lang w:val="ru-RU" w:eastAsia="ja-JP"/>
        </w:rPr>
        <w:t>Включить новые п</w:t>
      </w:r>
      <w:r w:rsidRPr="0097613C">
        <w:rPr>
          <w:i/>
          <w:iCs/>
          <w:lang w:val="ru-RU" w:eastAsia="ja-JP"/>
        </w:rPr>
        <w:t>ункт</w:t>
      </w:r>
      <w:r>
        <w:rPr>
          <w:i/>
          <w:iCs/>
          <w:lang w:val="ru-RU" w:eastAsia="ja-JP"/>
        </w:rPr>
        <w:t>ы</w:t>
      </w:r>
      <w:r w:rsidRPr="0097613C">
        <w:rPr>
          <w:i/>
          <w:iCs/>
          <w:lang w:val="ru-RU" w:eastAsia="ja-JP"/>
        </w:rPr>
        <w:t xml:space="preserve"> </w:t>
      </w:r>
      <w:r w:rsidRPr="0097613C">
        <w:rPr>
          <w:rFonts w:hint="eastAsia"/>
          <w:i/>
          <w:iCs/>
          <w:lang w:val="ru-RU" w:eastAsia="ja-JP"/>
        </w:rPr>
        <w:t>11</w:t>
      </w:r>
      <w:r w:rsidRPr="0097613C">
        <w:rPr>
          <w:i/>
          <w:iCs/>
          <w:lang w:val="ru-RU" w:eastAsia="ja-JP"/>
        </w:rPr>
        <w:t>.</w:t>
      </w:r>
      <w:r w:rsidRPr="0097613C">
        <w:rPr>
          <w:rFonts w:hint="eastAsia"/>
          <w:i/>
          <w:iCs/>
          <w:lang w:val="ru-RU" w:eastAsia="ja-JP"/>
        </w:rPr>
        <w:t>7</w:t>
      </w:r>
      <w:r w:rsidR="00306AE7">
        <w:rPr>
          <w:rFonts w:eastAsia="MS Mincho" w:hint="eastAsia"/>
          <w:i/>
          <w:iCs/>
          <w:lang w:val="ru-RU" w:eastAsia="ja-JP"/>
        </w:rPr>
        <w:t>–</w:t>
      </w:r>
      <w:r w:rsidRPr="0097613C">
        <w:rPr>
          <w:rFonts w:hint="eastAsia"/>
          <w:i/>
          <w:iCs/>
          <w:lang w:val="ru-RU" w:eastAsia="ja-JP"/>
        </w:rPr>
        <w:t>11</w:t>
      </w:r>
      <w:r w:rsidRPr="0097613C">
        <w:rPr>
          <w:i/>
          <w:iCs/>
          <w:lang w:val="ru-RU" w:eastAsia="ja-JP"/>
        </w:rPr>
        <w:t>.</w:t>
      </w:r>
      <w:r w:rsidRPr="0097613C">
        <w:rPr>
          <w:rFonts w:hint="eastAsia"/>
          <w:i/>
          <w:iCs/>
          <w:lang w:val="ru-RU" w:eastAsia="ja-JP"/>
        </w:rPr>
        <w:t>11</w:t>
      </w:r>
      <w:r w:rsidRPr="0097613C">
        <w:rPr>
          <w:i/>
          <w:lang w:val="ru-RU" w:eastAsia="ja-JP"/>
        </w:rPr>
        <w:t xml:space="preserve"> </w:t>
      </w:r>
      <w:r w:rsidRPr="0097613C">
        <w:rPr>
          <w:rFonts w:eastAsia="MS PMincho"/>
          <w:lang w:val="ru-RU"/>
        </w:rPr>
        <w:t>следующего содержания</w:t>
      </w:r>
      <w:r w:rsidRPr="0097613C">
        <w:rPr>
          <w:lang w:val="ru-RU" w:eastAsia="ja-JP"/>
        </w:rPr>
        <w:t>:</w:t>
      </w:r>
    </w:p>
    <w:p w:rsidR="00E228F8" w:rsidRDefault="00E228F8" w:rsidP="00E228F8">
      <w:pPr>
        <w:adjustRightInd w:val="0"/>
        <w:spacing w:after="120"/>
        <w:ind w:left="2268" w:right="1134" w:hanging="1134"/>
        <w:jc w:val="both"/>
        <w:rPr>
          <w:b/>
        </w:rPr>
      </w:pPr>
      <w:r w:rsidRPr="00E228F8">
        <w:rPr>
          <w:iCs/>
        </w:rPr>
        <w:t>«</w:t>
      </w:r>
      <w:r w:rsidRPr="00ED0578">
        <w:rPr>
          <w:rFonts w:eastAsia="MS PMincho"/>
          <w:b/>
        </w:rPr>
        <w:t>11.</w:t>
      </w:r>
      <w:r w:rsidRPr="00ED0578">
        <w:rPr>
          <w:rFonts w:eastAsia="MS PMincho" w:hAnsi="MS PMincho" w:hint="eastAsia"/>
          <w:b/>
        </w:rPr>
        <w:t>7</w:t>
      </w:r>
      <w:r w:rsidRPr="00ED0578">
        <w:rPr>
          <w:rFonts w:ascii="MS PMincho" w:eastAsia="MS PMincho" w:hAnsi="MS PMincho" w:hint="eastAsia"/>
          <w:b/>
        </w:rPr>
        <w:tab/>
      </w:r>
      <w:r w:rsidRPr="00ED0578">
        <w:rPr>
          <w:b/>
          <w:bCs/>
        </w:rPr>
        <w:t>Начиная с [официальной даты вступления в силу поправок серии 03] ни одна из Договаривающихся сторон, применяющих настоящие Правила ООН,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03.</w:t>
      </w:r>
      <w:r w:rsidRPr="00ED0578">
        <w:rPr>
          <w:b/>
        </w:rPr>
        <w:t xml:space="preserve"> </w:t>
      </w:r>
    </w:p>
    <w:p w:rsidR="00E228F8" w:rsidRDefault="00E228F8" w:rsidP="00E228F8">
      <w:pPr>
        <w:adjustRightInd w:val="0"/>
        <w:spacing w:after="120"/>
        <w:ind w:left="2268" w:right="1134" w:hanging="1134"/>
        <w:jc w:val="both"/>
        <w:rPr>
          <w:b/>
          <w:bCs/>
        </w:rPr>
      </w:pPr>
      <w:r w:rsidRPr="00ED0578">
        <w:rPr>
          <w:rFonts w:eastAsia="MS PMincho"/>
          <w:b/>
        </w:rPr>
        <w:t>11.8</w:t>
      </w:r>
      <w:r w:rsidRPr="00ED0578">
        <w:rPr>
          <w:rFonts w:ascii="MS PMincho" w:eastAsia="MS PMincho" w:hAnsi="MS PMincho" w:hint="eastAsia"/>
          <w:b/>
        </w:rPr>
        <w:tab/>
      </w:r>
      <w:r w:rsidRPr="00ED0578">
        <w:rPr>
          <w:b/>
          <w:bCs/>
        </w:rPr>
        <w:t xml:space="preserve">Начиная с 1 сентября [2023] года Договаривающиеся стороны, применяющие настоящие Правила ООН, не обязаны признавать официальные утверждения типа ООН на основании поправок предшествующих серий, которые были первоначально предоставлены после 1 сентября [2023] года. </w:t>
      </w:r>
    </w:p>
    <w:p w:rsidR="00E228F8" w:rsidRDefault="00E228F8" w:rsidP="00E228F8">
      <w:pPr>
        <w:spacing w:after="120"/>
        <w:ind w:left="2268" w:right="1134" w:hanging="1134"/>
        <w:jc w:val="both"/>
        <w:rPr>
          <w:b/>
          <w:bCs/>
        </w:rPr>
      </w:pPr>
      <w:r w:rsidRPr="00ED0578">
        <w:rPr>
          <w:b/>
          <w:bCs/>
        </w:rPr>
        <w:t>11.</w:t>
      </w:r>
      <w:r w:rsidRPr="00ED0578">
        <w:rPr>
          <w:rFonts w:hint="eastAsia"/>
          <w:b/>
          <w:bCs/>
          <w:lang w:eastAsia="ja-JP"/>
        </w:rPr>
        <w:t>9</w:t>
      </w:r>
      <w:r w:rsidRPr="00ED0578">
        <w:rPr>
          <w:b/>
          <w:bCs/>
        </w:rPr>
        <w:tab/>
        <w:t xml:space="preserve"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ООН. </w:t>
      </w:r>
    </w:p>
    <w:p w:rsidR="00E228F8" w:rsidRPr="00ED0578" w:rsidRDefault="00E228F8" w:rsidP="00E228F8">
      <w:pPr>
        <w:spacing w:after="120"/>
        <w:ind w:left="2268" w:right="1134" w:hanging="1134"/>
        <w:jc w:val="both"/>
        <w:rPr>
          <w:b/>
          <w:bCs/>
          <w:lang w:eastAsia="ja-JP"/>
        </w:rPr>
      </w:pPr>
      <w:r w:rsidRPr="00ED0578">
        <w:rPr>
          <w:b/>
          <w:bCs/>
        </w:rPr>
        <w:lastRenderedPageBreak/>
        <w:t>11.</w:t>
      </w:r>
      <w:r w:rsidRPr="00ED0578">
        <w:rPr>
          <w:rFonts w:hint="eastAsia"/>
          <w:b/>
          <w:bCs/>
          <w:lang w:eastAsia="ja-JP"/>
        </w:rPr>
        <w:t>10</w:t>
      </w:r>
      <w:r>
        <w:rPr>
          <w:b/>
          <w:bCs/>
          <w:lang w:eastAsia="ja-JP"/>
        </w:rPr>
        <w:tab/>
      </w:r>
      <w:r w:rsidRPr="00ED0578">
        <w:rPr>
          <w:b/>
          <w:bCs/>
        </w:rPr>
        <w:t xml:space="preserve">Независимо от пункта 11.8 Договаривающиеся стороны, применяющие настоящие Правила ООН, продолжают признавать официальные утверждения </w:t>
      </w:r>
      <w:r>
        <w:rPr>
          <w:b/>
          <w:bCs/>
        </w:rPr>
        <w:t xml:space="preserve">и распространения официальных утверждений </w:t>
      </w:r>
      <w:r w:rsidRPr="00ED0578">
        <w:rPr>
          <w:b/>
          <w:bCs/>
        </w:rPr>
        <w:t>типа ООН, выданные на основании поправок предшествующих серий к настоящим Правилам ООН</w:t>
      </w:r>
      <w:r>
        <w:rPr>
          <w:b/>
          <w:bCs/>
        </w:rPr>
        <w:t xml:space="preserve">, первоначально предоставленные после 1 сентября </w:t>
      </w:r>
      <w:r w:rsidRPr="00B55E15">
        <w:rPr>
          <w:b/>
          <w:bCs/>
        </w:rPr>
        <w:t>[2023</w:t>
      </w:r>
      <w:r>
        <w:rPr>
          <w:b/>
          <w:bCs/>
        </w:rPr>
        <w:t xml:space="preserve"> года] </w:t>
      </w:r>
      <w:r w:rsidRPr="00ED0578">
        <w:rPr>
          <w:b/>
          <w:bCs/>
        </w:rPr>
        <w:t>и касающиеся транспортных средств, которые не затронуты изменениями, внесенными на основании поправок серии 03.</w:t>
      </w:r>
      <w:r w:rsidRPr="00ED0578">
        <w:rPr>
          <w:b/>
          <w:bCs/>
          <w:lang w:eastAsia="ja-JP"/>
        </w:rPr>
        <w:t xml:space="preserve"> </w:t>
      </w:r>
    </w:p>
    <w:p w:rsidR="00E228F8" w:rsidRDefault="00E228F8" w:rsidP="00E228F8">
      <w:pPr>
        <w:spacing w:after="120"/>
        <w:ind w:left="2254" w:right="1134" w:hanging="1120"/>
        <w:jc w:val="both"/>
        <w:rPr>
          <w:b/>
          <w:bCs/>
        </w:rPr>
      </w:pPr>
      <w:r w:rsidRPr="00ED0578">
        <w:rPr>
          <w:b/>
          <w:bCs/>
        </w:rPr>
        <w:t>11.</w:t>
      </w:r>
      <w:r w:rsidRPr="00ED0578">
        <w:rPr>
          <w:rFonts w:hint="eastAsia"/>
          <w:b/>
          <w:bCs/>
          <w:lang w:eastAsia="ja-JP"/>
        </w:rPr>
        <w:t>11</w:t>
      </w:r>
      <w:r w:rsidRPr="00ED0578">
        <w:rPr>
          <w:b/>
          <w:bCs/>
          <w:lang w:eastAsia="ja-JP"/>
        </w:rPr>
        <w:tab/>
      </w:r>
      <w:r w:rsidRPr="00ED0578">
        <w:rPr>
          <w:b/>
          <w:bCs/>
        </w:rPr>
        <w:t>Договаривающиеся стороны</w:t>
      </w:r>
      <w:r w:rsidR="00306AE7">
        <w:rPr>
          <w:b/>
          <w:bCs/>
        </w:rPr>
        <w:t>, применяющие настоящие Правила </w:t>
      </w:r>
      <w:r w:rsidRPr="00ED0578">
        <w:rPr>
          <w:b/>
          <w:bCs/>
        </w:rPr>
        <w:t>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</w:t>
      </w:r>
      <w:r>
        <w:t>»</w:t>
      </w:r>
      <w:r w:rsidRPr="00ED0578">
        <w:t>.</w:t>
      </w:r>
      <w:r w:rsidRPr="00ED0578">
        <w:rPr>
          <w:b/>
          <w:bCs/>
        </w:rPr>
        <w:t xml:space="preserve"> </w:t>
      </w:r>
    </w:p>
    <w:p w:rsidR="00E228F8" w:rsidRPr="0097613C" w:rsidRDefault="00E228F8" w:rsidP="00E228F8">
      <w:pPr>
        <w:pStyle w:val="SingleTxtGR"/>
        <w:rPr>
          <w:lang w:eastAsia="ja-JP"/>
        </w:rPr>
      </w:pPr>
      <w:r>
        <w:rPr>
          <w:i/>
          <w:iCs/>
          <w:lang w:eastAsia="ja-JP"/>
        </w:rPr>
        <w:t>Приложение</w:t>
      </w:r>
      <w:r w:rsidRPr="0097613C">
        <w:rPr>
          <w:i/>
          <w:iCs/>
          <w:lang w:eastAsia="ja-JP"/>
        </w:rPr>
        <w:t xml:space="preserve"> </w:t>
      </w:r>
      <w:r w:rsidRPr="0097613C">
        <w:rPr>
          <w:rFonts w:hint="eastAsia"/>
          <w:i/>
          <w:iCs/>
          <w:lang w:eastAsia="ja-JP"/>
        </w:rPr>
        <w:t>2</w:t>
      </w:r>
      <w:r w:rsidRPr="0097613C">
        <w:rPr>
          <w:i/>
          <w:lang w:eastAsia="ja-JP"/>
        </w:rPr>
        <w:t xml:space="preserve"> </w:t>
      </w:r>
      <w:r w:rsidRPr="0097613C">
        <w:rPr>
          <w:lang w:eastAsia="ja-JP"/>
        </w:rPr>
        <w:t>изменить следующим образом:</w:t>
      </w:r>
    </w:p>
    <w:p w:rsidR="00E228F8" w:rsidRPr="0097613C" w:rsidRDefault="00E228F8" w:rsidP="00E228F8">
      <w:pPr>
        <w:pStyle w:val="HChGR"/>
      </w:pPr>
      <w:r w:rsidRPr="0097613C">
        <w:rPr>
          <w:b w:val="0"/>
          <w:iCs/>
          <w:sz w:val="20"/>
        </w:rPr>
        <w:tab/>
      </w:r>
      <w:r w:rsidRPr="0097613C">
        <w:rPr>
          <w:b w:val="0"/>
          <w:iCs/>
          <w:sz w:val="20"/>
        </w:rPr>
        <w:tab/>
        <w:t>«</w:t>
      </w:r>
      <w:r w:rsidRPr="002308FE">
        <w:t>Приложение</w:t>
      </w:r>
      <w:r w:rsidRPr="0097613C">
        <w:t xml:space="preserve"> 2</w:t>
      </w:r>
    </w:p>
    <w:p w:rsidR="00E228F8" w:rsidRPr="002308FE" w:rsidRDefault="00E228F8" w:rsidP="00E228F8">
      <w:pPr>
        <w:pStyle w:val="HChGR"/>
      </w:pPr>
      <w:r w:rsidRPr="0097613C">
        <w:tab/>
      </w:r>
      <w:r w:rsidRPr="0097613C">
        <w:tab/>
      </w:r>
      <w:r w:rsidRPr="002308FE">
        <w:t>Схема знаков официального утверждения</w:t>
      </w:r>
    </w:p>
    <w:p w:rsidR="00E228F8" w:rsidRPr="002308FE" w:rsidRDefault="00E228F8" w:rsidP="00E228F8">
      <w:pPr>
        <w:pStyle w:val="H23GR"/>
      </w:pPr>
      <w:r>
        <w:tab/>
      </w:r>
      <w:r>
        <w:tab/>
      </w:r>
      <w:r w:rsidRPr="002308FE">
        <w:t>Образец А</w:t>
      </w:r>
    </w:p>
    <w:p w:rsidR="00E228F8" w:rsidRPr="002308FE" w:rsidRDefault="00E228F8" w:rsidP="00E228F8">
      <w:pPr>
        <w:pStyle w:val="SingleTxtGR"/>
      </w:pPr>
      <w:r w:rsidRPr="002308FE">
        <w:t>(см. пункт 4.4 настоящих Правил)</w:t>
      </w:r>
    </w:p>
    <w:p w:rsidR="00E228F8" w:rsidRPr="00BB2385" w:rsidRDefault="00E228F8" w:rsidP="00E228F8">
      <w:pPr>
        <w:tabs>
          <w:tab w:val="left" w:pos="4820"/>
        </w:tabs>
        <w:ind w:leftChars="-71" w:left="-142"/>
        <w:jc w:val="center"/>
        <w:rPr>
          <w:sz w:val="24"/>
          <w:szCs w:val="24"/>
        </w:rPr>
      </w:pPr>
      <w:r w:rsidRPr="00BB2385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8E3A2" wp14:editId="3271AE8B">
                <wp:simplePos x="0" y="0"/>
                <wp:positionH relativeFrom="column">
                  <wp:posOffset>2832735</wp:posOffset>
                </wp:positionH>
                <wp:positionV relativeFrom="paragraph">
                  <wp:posOffset>320040</wp:posOffset>
                </wp:positionV>
                <wp:extent cx="1704975" cy="419100"/>
                <wp:effectExtent l="0" t="0" r="9525" b="0"/>
                <wp:wrapNone/>
                <wp:docPr id="2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F8" w:rsidRDefault="00E228F8" w:rsidP="00E228F8">
                            <w:pPr>
                              <w:rPr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R03 – 24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8E3A2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223.05pt;margin-top:25.2pt;width:134.2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" stroked="f">
                <v:textbox>
                  <w:txbxContent>
                    <w:p w:rsidR="00E228F8" w:rsidRDefault="00E228F8" w:rsidP="00E228F8">
                      <w:pPr>
                        <w:rPr>
                          <w:sz w:val="32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  <w:lang w:eastAsia="ja-JP"/>
                        </w:rPr>
                        <w:t>53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eastAsia="ja-JP"/>
                        </w:rPr>
                        <w:t>R03 – 24</w:t>
                      </w:r>
                      <w:r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  <w:lang w:eastAsia="ja-JP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Pr="00BB2385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4E41EB87" wp14:editId="51F57C7F">
            <wp:extent cx="1621790" cy="906145"/>
            <wp:effectExtent l="0" t="0" r="0" b="0"/>
            <wp:docPr id="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85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51B607E6" wp14:editId="4F59F4BF">
            <wp:extent cx="533400" cy="866775"/>
            <wp:effectExtent l="0" t="0" r="0" b="9525"/>
            <wp:docPr id="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2385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490F1655" wp14:editId="62D897A3">
            <wp:extent cx="533400" cy="866775"/>
            <wp:effectExtent l="0" t="0" r="0" b="9525"/>
            <wp:docPr id="4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2385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2A3E4379" wp14:editId="31AF4B14">
            <wp:extent cx="828675" cy="866775"/>
            <wp:effectExtent l="0" t="0" r="9525" b="9525"/>
            <wp:docPr id="18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061"/>
                    <a:stretch/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2385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2CE01B1A" wp14:editId="2C7C904F">
            <wp:extent cx="590550" cy="866775"/>
            <wp:effectExtent l="0" t="0" r="0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7" r="1"/>
                    <a:stretch/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8F8" w:rsidRPr="00034DFB" w:rsidRDefault="00E228F8" w:rsidP="00E228F8">
      <w:pPr>
        <w:pStyle w:val="SingleTxtGR"/>
        <w:jc w:val="right"/>
      </w:pPr>
      <w:r w:rsidRPr="00EA4782">
        <w:rPr>
          <w:lang w:val="en-US"/>
        </w:rPr>
        <w:t>a</w:t>
      </w:r>
      <w:r w:rsidRPr="00034DFB">
        <w:t xml:space="preserve"> = 8 </w:t>
      </w:r>
      <w:r w:rsidRPr="002308FE">
        <w:t>мм</w:t>
      </w:r>
      <w:r w:rsidRPr="00034DFB">
        <w:t xml:space="preserve"> </w:t>
      </w:r>
      <w:r w:rsidRPr="002308FE">
        <w:t>мин</w:t>
      </w:r>
      <w:r w:rsidRPr="00034DFB">
        <w:t>.</w:t>
      </w:r>
    </w:p>
    <w:p w:rsidR="00E228F8" w:rsidRPr="002308FE" w:rsidRDefault="00E228F8" w:rsidP="00E228F8">
      <w:pPr>
        <w:pStyle w:val="SingleTxtGR"/>
      </w:pPr>
      <w:r>
        <w:tab/>
      </w:r>
      <w:r w:rsidRPr="002308FE">
        <w:t>Приведенный выше знак официального утверждения, проставленный на мотоцикле, указывает, что этот тип мотоцикла офи</w:t>
      </w:r>
      <w:r>
        <w:t>циально утвержден в Нидерландах </w:t>
      </w:r>
      <w:r w:rsidRPr="002308FE">
        <w:t>(Е4) в отношении установки устройств освещения и световой сигнализации на основании Правил № 53</w:t>
      </w:r>
      <w:r>
        <w:t xml:space="preserve"> ООН</w:t>
      </w:r>
      <w:r w:rsidRPr="002308FE">
        <w:t xml:space="preserve">, включающих поправки серии </w:t>
      </w:r>
      <w:r w:rsidRPr="00BB2385">
        <w:rPr>
          <w:rFonts w:hint="eastAsia"/>
          <w:strike/>
          <w:lang w:eastAsia="ja-JP"/>
        </w:rPr>
        <w:t>0</w:t>
      </w:r>
      <w:r w:rsidRPr="00BB2385">
        <w:rPr>
          <w:strike/>
          <w:lang w:eastAsia="ja-JP"/>
        </w:rPr>
        <w:t>1</w:t>
      </w:r>
      <w:r>
        <w:rPr>
          <w:lang w:eastAsia="ja-JP"/>
        </w:rPr>
        <w:t xml:space="preserve"> </w:t>
      </w:r>
      <w:r w:rsidRPr="00BB2385">
        <w:rPr>
          <w:b/>
        </w:rPr>
        <w:t>0</w:t>
      </w:r>
      <w:r w:rsidRPr="00BB2385">
        <w:rPr>
          <w:rFonts w:hint="eastAsia"/>
          <w:b/>
          <w:lang w:eastAsia="ja-JP"/>
        </w:rPr>
        <w:t>3</w:t>
      </w:r>
      <w:r w:rsidRPr="002308FE">
        <w:t xml:space="preserve">. Номер официального утверждения показывает, что официальное утверждение было предоставлено в соответствии с требованиями Правил № 53 </w:t>
      </w:r>
      <w:r>
        <w:t xml:space="preserve">ООН </w:t>
      </w:r>
      <w:r w:rsidRPr="002308FE">
        <w:t>в их первоначальном варианте.</w:t>
      </w:r>
    </w:p>
    <w:p w:rsidR="00E228F8" w:rsidRPr="00045DB7" w:rsidRDefault="00E228F8" w:rsidP="00E228F8">
      <w:pPr>
        <w:pStyle w:val="H23GR"/>
      </w:pPr>
      <w:r>
        <w:tab/>
      </w:r>
      <w:r>
        <w:tab/>
      </w:r>
      <w:r w:rsidRPr="00045DB7">
        <w:t>Образец В</w:t>
      </w:r>
    </w:p>
    <w:p w:rsidR="00E228F8" w:rsidRPr="002308FE" w:rsidRDefault="00E228F8" w:rsidP="00E228F8">
      <w:pPr>
        <w:pStyle w:val="SingleTxtGR"/>
      </w:pPr>
      <w:r w:rsidRPr="002308FE">
        <w:t>(см. пункт 4.5 настоящих Правил)</w:t>
      </w:r>
    </w:p>
    <w:p w:rsidR="00E228F8" w:rsidRPr="00EA4782" w:rsidRDefault="00E228F8" w:rsidP="00E228F8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jc w:val="center"/>
        <w:rPr>
          <w:rFonts w:asciiTheme="majorBidi" w:hAnsiTheme="majorBidi" w:cstheme="majorBidi"/>
        </w:rPr>
      </w:pPr>
    </w:p>
    <w:p w:rsidR="00E228F8" w:rsidRPr="00BB2385" w:rsidRDefault="00E228F8" w:rsidP="00E228F8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  <w:rPr>
          <w:rFonts w:asciiTheme="majorBidi" w:hAnsiTheme="majorBidi" w:cstheme="majorBidi"/>
        </w:rPr>
      </w:pPr>
      <w:r w:rsidRPr="00BB2385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F4B3" wp14:editId="6F90543C">
                <wp:simplePos x="0" y="0"/>
                <wp:positionH relativeFrom="column">
                  <wp:posOffset>2480310</wp:posOffset>
                </wp:positionH>
                <wp:positionV relativeFrom="paragraph">
                  <wp:posOffset>59055</wp:posOffset>
                </wp:positionV>
                <wp:extent cx="5200650" cy="790575"/>
                <wp:effectExtent l="0" t="0" r="0" b="9525"/>
                <wp:wrapNone/>
                <wp:docPr id="29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</w:tblGrid>
                            <w:tr w:rsidR="00E228F8" w:rsidRPr="00D00EBE" w:rsidTr="00CC6768">
                              <w:trPr>
                                <w:trHeight w:val="411"/>
                              </w:trPr>
                              <w:tc>
                                <w:tcPr>
                                  <w:tcW w:w="3686" w:type="dxa"/>
                                  <w:vAlign w:val="bottom"/>
                                </w:tcPr>
                                <w:p w:rsidR="00E228F8" w:rsidRPr="00D00EBE" w:rsidRDefault="00E228F8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R</w:t>
                                  </w:r>
                                  <w:r w:rsidRPr="000D7FA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 –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E228F8" w:rsidRPr="00D65598" w:rsidTr="00CC6768">
                              <w:trPr>
                                <w:trHeight w:val="411"/>
                              </w:trPr>
                              <w:tc>
                                <w:tcPr>
                                  <w:tcW w:w="3686" w:type="dxa"/>
                                  <w:vAlign w:val="bottom"/>
                                </w:tcPr>
                                <w:p w:rsidR="00E228F8" w:rsidRPr="00520415" w:rsidRDefault="00E228F8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78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R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4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–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1628</w:t>
                                  </w:r>
                                </w:p>
                              </w:tc>
                            </w:tr>
                          </w:tbl>
                          <w:p w:rsidR="00E228F8" w:rsidRDefault="00E228F8" w:rsidP="00E22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F4B3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7" type="#_x0000_t202" style="position:absolute;left:0;text-align:left;margin-left:195.3pt;margin-top:4.65pt;width:40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ywhgIAABo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</w:tblGrid>
                      <w:tr w:rsidR="00E228F8" w:rsidRPr="00D00EBE" w:rsidTr="00CC6768">
                        <w:trPr>
                          <w:trHeight w:val="411"/>
                        </w:trPr>
                        <w:tc>
                          <w:tcPr>
                            <w:tcW w:w="3686" w:type="dxa"/>
                            <w:vAlign w:val="bottom"/>
                          </w:tcPr>
                          <w:p w:rsidR="00E228F8" w:rsidRPr="00D00EBE" w:rsidRDefault="00E228F8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R</w:t>
                            </w:r>
                            <w:r w:rsidRPr="000D7F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–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E228F8" w:rsidRPr="00D65598" w:rsidTr="00CC6768">
                        <w:trPr>
                          <w:trHeight w:val="411"/>
                        </w:trPr>
                        <w:tc>
                          <w:tcPr>
                            <w:tcW w:w="3686" w:type="dxa"/>
                            <w:vAlign w:val="bottom"/>
                          </w:tcPr>
                          <w:p w:rsidR="00E228F8" w:rsidRPr="00520415" w:rsidRDefault="00E228F8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R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4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1628</w:t>
                            </w:r>
                          </w:p>
                        </w:tc>
                      </w:tr>
                    </w:tbl>
                    <w:p w:rsidR="00E228F8" w:rsidRDefault="00E228F8" w:rsidP="00E228F8"/>
                  </w:txbxContent>
                </v:textbox>
              </v:shape>
            </w:pict>
          </mc:Fallback>
        </mc:AlternateContent>
      </w:r>
      <w:r w:rsidRPr="00BB2385">
        <w:rPr>
          <w:rFonts w:asciiTheme="majorBidi" w:hAnsiTheme="majorBidi" w:cstheme="majorBid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EFC8081" wp14:editId="07DA8E56">
            <wp:simplePos x="0" y="0"/>
            <wp:positionH relativeFrom="column">
              <wp:posOffset>5020752</wp:posOffset>
            </wp:positionH>
            <wp:positionV relativeFrom="paragraph">
              <wp:posOffset>106542</wp:posOffset>
            </wp:positionV>
            <wp:extent cx="394779" cy="620202"/>
            <wp:effectExtent l="0" t="0" r="5715" b="889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385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338EE" wp14:editId="38FBEB70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79755" cy="728345"/>
                <wp:effectExtent l="3175" t="0" r="0" b="0"/>
                <wp:wrapNone/>
                <wp:docPr id="2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8F8" w:rsidRDefault="00E228F8" w:rsidP="00E228F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38EE" id="Text Box 179" o:spid="_x0000_s1028" type="#_x0000_t202" style="position:absolute;left:0;text-align:left;margin-left:400pt;margin-top:4.3pt;width:45.65pt;height:5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" stroked="f">
                <v:textbox>
                  <w:txbxContent>
                    <w:p w:rsidR="00E228F8" w:rsidRDefault="00E228F8" w:rsidP="00E228F8"/>
                  </w:txbxContent>
                </v:textbox>
              </v:shape>
            </w:pict>
          </mc:Fallback>
        </mc:AlternateContent>
      </w:r>
      <w:r w:rsidRPr="00EA4782">
        <w:rPr>
          <w:rFonts w:asciiTheme="majorBidi" w:hAnsiTheme="majorBidi" w:cstheme="majorBidi"/>
        </w:rPr>
        <w:tab/>
      </w:r>
      <w:r w:rsidRPr="00BB2385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3383ED86" wp14:editId="673BEC3E">
            <wp:extent cx="1621790" cy="906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F8" w:rsidRPr="00034DFB" w:rsidRDefault="00E228F8" w:rsidP="00E228F8">
      <w:pPr>
        <w:pStyle w:val="SingleTxtGR"/>
        <w:jc w:val="right"/>
      </w:pPr>
      <w:r w:rsidRPr="00EA4782">
        <w:rPr>
          <w:lang w:val="en-US"/>
        </w:rPr>
        <w:t>a</w:t>
      </w:r>
      <w:r w:rsidRPr="00034DFB">
        <w:t xml:space="preserve"> = 8 </w:t>
      </w:r>
      <w:r w:rsidRPr="002308FE">
        <w:t>мм</w:t>
      </w:r>
      <w:r w:rsidRPr="00034DFB">
        <w:t xml:space="preserve"> </w:t>
      </w:r>
      <w:r w:rsidRPr="002308FE">
        <w:t>мин</w:t>
      </w:r>
      <w:r w:rsidRPr="00034DFB">
        <w:t>.</w:t>
      </w:r>
    </w:p>
    <w:p w:rsidR="00E228F8" w:rsidRDefault="00E228F8" w:rsidP="00E228F8">
      <w:pPr>
        <w:pStyle w:val="SingleTxtG"/>
        <w:ind w:firstLine="567"/>
        <w:rPr>
          <w:lang w:val="ru-RU"/>
        </w:rPr>
      </w:pPr>
      <w:r w:rsidRPr="00EA4782">
        <w:rPr>
          <w:lang w:val="ru-RU"/>
        </w:rPr>
        <w:t>Приведенный выше знак официального утверждения, проставленный на мотоцикле, указывает, что данный тип транспортного средства официально утвержден в Нидерландах (Е4) на основании Правил № 53 и Правил № 78</w:t>
      </w:r>
      <w:r w:rsidRPr="00EA4782">
        <w:rPr>
          <w:rStyle w:val="FootnoteReference"/>
          <w:lang w:val="ru-RU"/>
        </w:rPr>
        <w:footnoteReference w:customMarkFollows="1" w:id="2"/>
        <w:t>1</w:t>
      </w:r>
      <w:r w:rsidRPr="00EA4782">
        <w:rPr>
          <w:lang w:val="ru-RU"/>
        </w:rPr>
        <w:t xml:space="preserve">. Номера официального утверждения показывают, что к моменту предоставления соответствующих </w:t>
      </w:r>
      <w:r w:rsidRPr="00EA4782">
        <w:rPr>
          <w:lang w:val="ru-RU"/>
        </w:rPr>
        <w:lastRenderedPageBreak/>
        <w:t xml:space="preserve">официальных утверждений Правила № 53 </w:t>
      </w:r>
      <w:r>
        <w:rPr>
          <w:lang w:val="ru-RU"/>
        </w:rPr>
        <w:t xml:space="preserve">ООН </w:t>
      </w:r>
      <w:r w:rsidRPr="00EA4782">
        <w:rPr>
          <w:lang w:val="ru-RU"/>
        </w:rPr>
        <w:t xml:space="preserve">включали поправки серии </w:t>
      </w:r>
      <w:r w:rsidRPr="00EA4782">
        <w:rPr>
          <w:rFonts w:hint="eastAsia"/>
          <w:strike/>
          <w:lang w:val="ru-RU" w:eastAsia="ja-JP"/>
        </w:rPr>
        <w:t>0</w:t>
      </w:r>
      <w:r w:rsidRPr="00EA4782">
        <w:rPr>
          <w:strike/>
          <w:lang w:val="ru-RU" w:eastAsia="ja-JP"/>
        </w:rPr>
        <w:t>1</w:t>
      </w:r>
      <w:r w:rsidRPr="00EA4782">
        <w:rPr>
          <w:lang w:val="ru-RU"/>
        </w:rPr>
        <w:t xml:space="preserve"> </w:t>
      </w:r>
      <w:r w:rsidRPr="00EA4782">
        <w:rPr>
          <w:b/>
          <w:lang w:val="ru-RU"/>
        </w:rPr>
        <w:t>0</w:t>
      </w:r>
      <w:r w:rsidRPr="00EA4782">
        <w:rPr>
          <w:rFonts w:hint="eastAsia"/>
          <w:b/>
          <w:lang w:val="ru-RU" w:eastAsia="ja-JP"/>
        </w:rPr>
        <w:t>3</w:t>
      </w:r>
      <w:r>
        <w:rPr>
          <w:lang w:val="ru-RU"/>
        </w:rPr>
        <w:t>, а </w:t>
      </w:r>
      <w:r w:rsidRPr="00EA4782">
        <w:rPr>
          <w:lang w:val="ru-RU"/>
        </w:rPr>
        <w:t xml:space="preserve">Правила № 78 </w:t>
      </w:r>
      <w:r>
        <w:rPr>
          <w:lang w:val="ru-RU"/>
        </w:rPr>
        <w:t xml:space="preserve">ООН </w:t>
      </w:r>
      <w:r w:rsidRPr="00EA4782">
        <w:rPr>
          <w:lang w:val="ru-RU"/>
        </w:rPr>
        <w:t xml:space="preserve">включали поправки серии </w:t>
      </w:r>
      <w:r w:rsidRPr="00EA4782">
        <w:rPr>
          <w:rFonts w:hint="eastAsia"/>
          <w:strike/>
          <w:lang w:val="ru-RU" w:eastAsia="ja-JP"/>
        </w:rPr>
        <w:t>0</w:t>
      </w:r>
      <w:r w:rsidRPr="00EA4782">
        <w:rPr>
          <w:strike/>
          <w:lang w:val="ru-RU" w:eastAsia="ja-JP"/>
        </w:rPr>
        <w:t>2</w:t>
      </w:r>
      <w:r w:rsidRPr="00EA4782">
        <w:rPr>
          <w:lang w:val="ru-RU" w:eastAsia="ja-JP"/>
        </w:rPr>
        <w:t xml:space="preserve"> </w:t>
      </w:r>
      <w:r w:rsidRPr="00EA4782">
        <w:rPr>
          <w:b/>
          <w:lang w:val="ru-RU"/>
        </w:rPr>
        <w:t>0</w:t>
      </w:r>
      <w:r w:rsidRPr="00EA4782">
        <w:rPr>
          <w:rFonts w:hint="eastAsia"/>
          <w:b/>
          <w:lang w:val="ru-RU" w:eastAsia="ja-JP"/>
        </w:rPr>
        <w:t>4</w:t>
      </w:r>
      <w:r w:rsidRPr="00E228F8">
        <w:rPr>
          <w:lang w:val="ru-RU" w:eastAsia="ja-JP"/>
        </w:rPr>
        <w:t>»</w:t>
      </w:r>
      <w:r w:rsidRPr="00E228F8">
        <w:rPr>
          <w:lang w:val="ru-RU"/>
        </w:rPr>
        <w:t>.</w:t>
      </w:r>
    </w:p>
    <w:p w:rsidR="00E228F8" w:rsidRPr="00EF3FC8" w:rsidRDefault="00E228F8" w:rsidP="00E228F8">
      <w:pPr>
        <w:pStyle w:val="SingleTxtGR"/>
        <w:rPr>
          <w:lang w:eastAsia="ja-JP"/>
        </w:rPr>
      </w:pPr>
      <w:r w:rsidRPr="00E228F8">
        <w:rPr>
          <w:i/>
          <w:lang w:eastAsia="ja-JP"/>
        </w:rPr>
        <w:t xml:space="preserve">Включить новое приложение </w:t>
      </w:r>
      <w:r w:rsidRPr="00EF3FC8">
        <w:rPr>
          <w:rFonts w:hint="eastAsia"/>
          <w:lang w:eastAsia="ja-JP"/>
        </w:rPr>
        <w:t>7</w:t>
      </w:r>
      <w:r w:rsidRPr="00EF3FC8">
        <w:rPr>
          <w:lang w:eastAsia="ja-JP"/>
        </w:rPr>
        <w:t xml:space="preserve"> следующего содержания:</w:t>
      </w:r>
    </w:p>
    <w:p w:rsidR="00E228F8" w:rsidRPr="00EF3FC8" w:rsidRDefault="00E228F8" w:rsidP="00E228F8">
      <w:pPr>
        <w:pStyle w:val="HChGR"/>
      </w:pPr>
      <w:bookmarkStart w:id="2" w:name="_Toc338161483"/>
      <w:r w:rsidRPr="00EF3FC8">
        <w:rPr>
          <w:iCs/>
          <w:sz w:val="20"/>
        </w:rPr>
        <w:tab/>
      </w:r>
      <w:r w:rsidRPr="00EF3FC8">
        <w:rPr>
          <w:iCs/>
          <w:sz w:val="20"/>
        </w:rPr>
        <w:tab/>
      </w:r>
      <w:r w:rsidRPr="00EF3FC8">
        <w:rPr>
          <w:b w:val="0"/>
          <w:iCs/>
          <w:sz w:val="20"/>
        </w:rPr>
        <w:t>«</w:t>
      </w:r>
      <w:r w:rsidRPr="00EF3FC8">
        <w:t xml:space="preserve">Приложение </w:t>
      </w:r>
      <w:r w:rsidRPr="00EF3FC8">
        <w:rPr>
          <w:rFonts w:hint="eastAsia"/>
          <w:lang w:eastAsia="ja-JP"/>
        </w:rPr>
        <w:t>7</w:t>
      </w:r>
      <w:r w:rsidRPr="00EF3FC8">
        <w:t xml:space="preserve"> </w:t>
      </w:r>
    </w:p>
    <w:bookmarkEnd w:id="2"/>
    <w:p w:rsidR="00E228F8" w:rsidRPr="00EF3FC8" w:rsidRDefault="00E228F8" w:rsidP="00E228F8">
      <w:pPr>
        <w:pStyle w:val="HChGR"/>
      </w:pPr>
      <w:r w:rsidRPr="00EF3FC8">
        <w:tab/>
      </w:r>
      <w:r w:rsidRPr="00EF3FC8">
        <w:tab/>
      </w:r>
      <w:bookmarkStart w:id="3" w:name="_Toc338161484"/>
      <w:r w:rsidRPr="00EF3FC8">
        <w:t>Окру</w:t>
      </w:r>
      <w:r>
        <w:t>жающие условия освещенности для </w:t>
      </w:r>
      <w:r w:rsidRPr="00EF3FC8">
        <w:t>автоматического включения фар</w:t>
      </w:r>
      <w:bookmarkEnd w:id="3"/>
      <w:r w:rsidRPr="00EF3FC8">
        <w:t xml:space="preserve"> [</w:t>
      </w:r>
      <w:bookmarkStart w:id="4" w:name="_Hlk504554601"/>
      <w:r w:rsidRPr="00EF3FC8">
        <w:t>(ближнего света)</w:t>
      </w:r>
      <w:bookmarkEnd w:id="4"/>
      <w:r w:rsidRPr="00EF3FC8">
        <w:t>]</w:t>
      </w:r>
    </w:p>
    <w:tbl>
      <w:tblPr>
        <w:tblW w:w="7363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300"/>
        <w:gridCol w:w="2084"/>
      </w:tblGrid>
      <w:tr w:rsidR="00E228F8" w:rsidRPr="000573DA" w:rsidTr="00564A66">
        <w:tc>
          <w:tcPr>
            <w:tcW w:w="736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228F8" w:rsidRPr="000573DA" w:rsidRDefault="00E228F8" w:rsidP="00564A66">
            <w:pPr>
              <w:keepNext/>
              <w:keepLines/>
              <w:tabs>
                <w:tab w:val="left" w:pos="1122"/>
              </w:tabs>
              <w:spacing w:before="80" w:after="80" w:line="200" w:lineRule="exact"/>
              <w:rPr>
                <w:b/>
                <w:lang w:eastAsia="en-GB"/>
              </w:rPr>
            </w:pPr>
            <w:r w:rsidRPr="000573DA">
              <w:rPr>
                <w:b/>
                <w:i/>
                <w:sz w:val="16"/>
                <w:szCs w:val="16"/>
                <w:lang w:eastAsia="en-GB"/>
              </w:rPr>
              <w:t>Условия для автоматического включения фар [(ближнего света)]</w:t>
            </w:r>
            <w:r w:rsidRPr="00E228F8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</w:tr>
      <w:tr w:rsidR="00E228F8" w:rsidRPr="00EF3FC8" w:rsidTr="00564A66">
        <w:tc>
          <w:tcPr>
            <w:tcW w:w="2979" w:type="dxa"/>
            <w:tcBorders>
              <w:top w:val="single" w:sz="12" w:space="0" w:color="auto"/>
            </w:tcBorders>
            <w:shd w:val="pct15" w:color="auto" w:fill="auto"/>
          </w:tcPr>
          <w:p w:rsidR="00E228F8" w:rsidRPr="000573DA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0573DA">
              <w:rPr>
                <w:b/>
                <w:sz w:val="18"/>
                <w:szCs w:val="18"/>
                <w:lang w:eastAsia="en-GB"/>
              </w:rPr>
              <w:t>Окружающие условия освещенности вне транспортного средства</w:t>
            </w:r>
            <w:r w:rsidRPr="00E228F8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pct15" w:color="auto" w:fill="auto"/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  <w:lang w:eastAsia="en-GB"/>
              </w:rPr>
              <w:t>Требования к фарам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  <w:lang w:eastAsia="en-GB"/>
              </w:rPr>
              <w:t>Время срабатывания устройства включения</w:t>
            </w:r>
          </w:p>
        </w:tc>
      </w:tr>
      <w:tr w:rsidR="00E228F8" w:rsidRPr="00EF3FC8" w:rsidTr="00564A66">
        <w:tc>
          <w:tcPr>
            <w:tcW w:w="2979" w:type="dxa"/>
            <w:tcBorders>
              <w:bottom w:val="single" w:sz="4" w:space="0" w:color="auto"/>
            </w:tcBorders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  <w:lang w:eastAsia="en-GB"/>
              </w:rPr>
              <w:t>Менее 1</w:t>
            </w:r>
            <w:r>
              <w:rPr>
                <w:b/>
                <w:sz w:val="18"/>
                <w:szCs w:val="18"/>
                <w:lang w:eastAsia="en-GB"/>
              </w:rPr>
              <w:t xml:space="preserve"> </w:t>
            </w:r>
            <w:r w:rsidRPr="00EF3FC8">
              <w:rPr>
                <w:b/>
                <w:sz w:val="18"/>
                <w:szCs w:val="18"/>
                <w:lang w:eastAsia="en-GB"/>
              </w:rPr>
              <w:t xml:space="preserve">000 лк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  <w:lang w:eastAsia="en-GB"/>
              </w:rPr>
              <w:t>ВКЛЮЧЕНЫ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</w:rPr>
              <w:t>не более 2 секунд</w:t>
            </w:r>
          </w:p>
        </w:tc>
      </w:tr>
      <w:tr w:rsidR="00E228F8" w:rsidRPr="00EF3FC8" w:rsidTr="00564A66">
        <w:tc>
          <w:tcPr>
            <w:tcW w:w="2979" w:type="dxa"/>
            <w:tcBorders>
              <w:bottom w:val="single" w:sz="12" w:space="0" w:color="auto"/>
            </w:tcBorders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 xml:space="preserve">1 000 </w:t>
            </w:r>
            <w:r w:rsidRPr="00EF3FC8">
              <w:rPr>
                <w:b/>
                <w:sz w:val="18"/>
                <w:szCs w:val="18"/>
                <w:lang w:eastAsia="en-GB"/>
              </w:rPr>
              <w:t>лк и более 1 000 лк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  <w:lang w:eastAsia="en-GB"/>
              </w:rPr>
              <w:t>по усмотрению изготовителя</w:t>
            </w: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:rsidR="00E228F8" w:rsidRPr="00EF3FC8" w:rsidRDefault="00E228F8" w:rsidP="00564A66">
            <w:pPr>
              <w:keepNext/>
              <w:keepLines/>
              <w:tabs>
                <w:tab w:val="left" w:pos="1122"/>
              </w:tabs>
              <w:spacing w:before="40" w:after="40" w:line="220" w:lineRule="exact"/>
              <w:rPr>
                <w:b/>
                <w:sz w:val="18"/>
                <w:szCs w:val="18"/>
                <w:lang w:eastAsia="en-GB"/>
              </w:rPr>
            </w:pPr>
            <w:r w:rsidRPr="00EF3FC8">
              <w:rPr>
                <w:b/>
                <w:sz w:val="18"/>
                <w:szCs w:val="18"/>
                <w:lang w:eastAsia="en-GB"/>
              </w:rPr>
              <w:t>по усмотрению изготовителя</w:t>
            </w:r>
          </w:p>
        </w:tc>
      </w:tr>
    </w:tbl>
    <w:p w:rsidR="00E228F8" w:rsidRPr="00EF3FC8" w:rsidRDefault="00E228F8" w:rsidP="00E228F8">
      <w:pPr>
        <w:pStyle w:val="SingleTxtGR"/>
        <w:spacing w:before="120" w:after="0" w:line="220" w:lineRule="exact"/>
        <w:ind w:firstLine="170"/>
        <w:jc w:val="left"/>
        <w:rPr>
          <w:b/>
          <w:noProof/>
          <w:sz w:val="18"/>
          <w:szCs w:val="18"/>
          <w:lang w:eastAsia="en-GB"/>
        </w:rPr>
      </w:pPr>
      <w:r w:rsidRPr="00EF3FC8">
        <w:rPr>
          <w:sz w:val="18"/>
          <w:szCs w:val="18"/>
          <w:vertAlign w:val="superscript"/>
        </w:rPr>
        <w:t>1</w:t>
      </w:r>
      <w:r w:rsidRPr="00EF3FC8">
        <w:rPr>
          <w:b/>
          <w:noProof/>
          <w:sz w:val="18"/>
          <w:szCs w:val="18"/>
          <w:lang w:eastAsia="en-GB"/>
        </w:rPr>
        <w:tab/>
        <w:t xml:space="preserve">Соблюдение этих условий подтверждается подателем заявки путем моделирования или с помощью других средств проверки, признанных органом </w:t>
      </w:r>
      <w:r>
        <w:rPr>
          <w:b/>
          <w:noProof/>
          <w:sz w:val="18"/>
          <w:szCs w:val="18"/>
          <w:lang w:eastAsia="en-GB"/>
        </w:rPr>
        <w:t xml:space="preserve">по </w:t>
      </w:r>
      <w:r w:rsidRPr="00EF3FC8">
        <w:rPr>
          <w:b/>
          <w:noProof/>
          <w:sz w:val="18"/>
          <w:szCs w:val="18"/>
          <w:lang w:eastAsia="en-GB"/>
        </w:rPr>
        <w:t>официально</w:t>
      </w:r>
      <w:r>
        <w:rPr>
          <w:b/>
          <w:noProof/>
          <w:sz w:val="18"/>
          <w:szCs w:val="18"/>
          <w:lang w:eastAsia="en-GB"/>
        </w:rPr>
        <w:t>му</w:t>
      </w:r>
      <w:r w:rsidRPr="00EF3FC8">
        <w:rPr>
          <w:b/>
          <w:noProof/>
          <w:sz w:val="18"/>
          <w:szCs w:val="18"/>
          <w:lang w:eastAsia="en-GB"/>
        </w:rPr>
        <w:t xml:space="preserve"> утверждени</w:t>
      </w:r>
      <w:r>
        <w:rPr>
          <w:b/>
          <w:noProof/>
          <w:sz w:val="18"/>
          <w:szCs w:val="18"/>
          <w:lang w:eastAsia="en-GB"/>
        </w:rPr>
        <w:t>ю</w:t>
      </w:r>
      <w:r w:rsidRPr="00EF3FC8">
        <w:rPr>
          <w:b/>
          <w:noProof/>
          <w:sz w:val="18"/>
          <w:szCs w:val="18"/>
          <w:lang w:eastAsia="en-GB"/>
        </w:rPr>
        <w:t xml:space="preserve"> типа.</w:t>
      </w:r>
    </w:p>
    <w:p w:rsidR="00E228F8" w:rsidRPr="00EF3FC8" w:rsidRDefault="00E228F8" w:rsidP="00E228F8">
      <w:pPr>
        <w:pStyle w:val="SingleTxtGR"/>
        <w:spacing w:after="0" w:line="220" w:lineRule="exact"/>
        <w:ind w:firstLine="170"/>
        <w:jc w:val="left"/>
        <w:rPr>
          <w:b/>
          <w:bCs/>
          <w:sz w:val="18"/>
          <w:szCs w:val="18"/>
        </w:rPr>
      </w:pPr>
      <w:r w:rsidRPr="00EF3FC8">
        <w:rPr>
          <w:sz w:val="18"/>
          <w:szCs w:val="18"/>
          <w:vertAlign w:val="superscript"/>
        </w:rPr>
        <w:t>2</w:t>
      </w:r>
      <w:r w:rsidRPr="00EF3FC8">
        <w:rPr>
          <w:b/>
          <w:sz w:val="18"/>
          <w:szCs w:val="18"/>
        </w:rPr>
        <w:tab/>
      </w:r>
      <w:r w:rsidRPr="00EF3FC8">
        <w:rPr>
          <w:b/>
          <w:bCs/>
          <w:sz w:val="18"/>
          <w:szCs w:val="18"/>
        </w:rPr>
        <w:t>Освещенность измеряют на горизонтальной поверхности с использованием датчика, скорректированного на косинус угла, на той же высоте, на которой установлен датчик транспортного средства. Это может быть продемонстрировано изготовителем с помощью достаточной документации или других средств, признанных органом по официальному утверждению типа</w:t>
      </w:r>
      <w:r w:rsidRPr="00314C35">
        <w:rPr>
          <w:bCs/>
        </w:rPr>
        <w:t>»</w:t>
      </w:r>
      <w:r w:rsidRPr="00EF3FC8">
        <w:rPr>
          <w:bCs/>
          <w:sz w:val="18"/>
          <w:szCs w:val="18"/>
        </w:rPr>
        <w:t>.</w:t>
      </w:r>
    </w:p>
    <w:p w:rsidR="00E228F8" w:rsidRPr="000573DA" w:rsidRDefault="00E228F8" w:rsidP="00E228F8">
      <w:pPr>
        <w:pStyle w:val="H1GR"/>
        <w:rPr>
          <w:szCs w:val="24"/>
        </w:rPr>
      </w:pPr>
      <w:r>
        <w:rPr>
          <w:szCs w:val="24"/>
        </w:rPr>
        <w:tab/>
      </w:r>
      <w:r w:rsidRPr="00BB2385">
        <w:rPr>
          <w:szCs w:val="24"/>
        </w:rPr>
        <w:t>B</w:t>
      </w:r>
      <w:r w:rsidRPr="000573DA">
        <w:rPr>
          <w:szCs w:val="24"/>
        </w:rPr>
        <w:t>.</w:t>
      </w:r>
      <w:r w:rsidRPr="000573DA">
        <w:rPr>
          <w:szCs w:val="24"/>
        </w:rPr>
        <w:tab/>
      </w:r>
      <w:r w:rsidRPr="000573DA">
        <w:t>Предложение по поправкам к проекту новых правил</w:t>
      </w:r>
      <w:r>
        <w:t xml:space="preserve"> ООН</w:t>
      </w:r>
      <w:r w:rsidRPr="000573DA">
        <w:t>, касающихся устройств световой сигнализации</w:t>
      </w:r>
      <w:r w:rsidRPr="000573DA">
        <w:rPr>
          <w:szCs w:val="24"/>
        </w:rPr>
        <w:t xml:space="preserve"> (</w:t>
      </w:r>
      <w:r>
        <w:rPr>
          <w:szCs w:val="24"/>
        </w:rPr>
        <w:t>УСС</w:t>
      </w:r>
      <w:r w:rsidRPr="000573DA">
        <w:rPr>
          <w:szCs w:val="24"/>
        </w:rPr>
        <w:t>)</w:t>
      </w:r>
    </w:p>
    <w:p w:rsidR="00E228F8" w:rsidRPr="0097613C" w:rsidRDefault="00E228F8" w:rsidP="00E228F8">
      <w:pPr>
        <w:spacing w:after="120"/>
        <w:ind w:left="2127" w:right="1134" w:hanging="993"/>
        <w:jc w:val="both"/>
        <w:rPr>
          <w:rFonts w:eastAsia="MS PMincho"/>
        </w:rPr>
      </w:pPr>
      <w:r>
        <w:rPr>
          <w:rFonts w:eastAsia="MS PMincho"/>
          <w:i/>
          <w:iCs/>
        </w:rPr>
        <w:t>Включить новый п</w:t>
      </w:r>
      <w:r w:rsidRPr="0097613C">
        <w:rPr>
          <w:rFonts w:eastAsia="MS PMincho"/>
          <w:i/>
          <w:iCs/>
        </w:rPr>
        <w:t xml:space="preserve">ункт </w:t>
      </w:r>
      <w:r w:rsidRPr="0097613C">
        <w:rPr>
          <w:rFonts w:eastAsia="MS PMincho" w:hint="eastAsia"/>
          <w:i/>
          <w:iCs/>
          <w:lang w:eastAsia="ja-JP"/>
        </w:rPr>
        <w:t>3.</w:t>
      </w:r>
      <w:r w:rsidRPr="0097613C">
        <w:rPr>
          <w:rFonts w:eastAsia="MS PMincho" w:hint="eastAsia"/>
          <w:i/>
          <w:iCs/>
        </w:rPr>
        <w:t>5.1</w:t>
      </w:r>
      <w:r w:rsidRPr="0097613C">
        <w:rPr>
          <w:rFonts w:eastAsia="MS PMincho" w:hint="eastAsia"/>
          <w:i/>
          <w:iCs/>
          <w:lang w:eastAsia="ja-JP"/>
        </w:rPr>
        <w:t>.</w:t>
      </w:r>
      <w:r w:rsidRPr="0097613C">
        <w:rPr>
          <w:rFonts w:eastAsia="MS PMincho" w:hint="eastAsia"/>
          <w:i/>
          <w:iCs/>
        </w:rPr>
        <w:t>1</w:t>
      </w:r>
      <w:r w:rsidRPr="0097613C">
        <w:rPr>
          <w:rFonts w:eastAsia="MS PMincho"/>
          <w:i/>
          <w:iCs/>
        </w:rPr>
        <w:t>.</w:t>
      </w:r>
      <w:r w:rsidRPr="0097613C">
        <w:rPr>
          <w:rFonts w:eastAsia="MS PMincho" w:hint="eastAsia"/>
          <w:i/>
          <w:iCs/>
          <w:lang w:eastAsia="ja-JP"/>
        </w:rPr>
        <w:t>1</w:t>
      </w:r>
      <w:r w:rsidRPr="0097613C">
        <w:rPr>
          <w:rFonts w:eastAsia="MS PMincho"/>
        </w:rPr>
        <w:t xml:space="preserve"> следующего содержания:</w:t>
      </w:r>
    </w:p>
    <w:p w:rsidR="00E228F8" w:rsidRPr="00034DFB" w:rsidRDefault="00314C35" w:rsidP="00E228F8">
      <w:pPr>
        <w:spacing w:after="120"/>
        <w:ind w:left="2268" w:right="1134" w:hanging="1134"/>
        <w:jc w:val="both"/>
        <w:rPr>
          <w:rFonts w:eastAsia="MS PMincho"/>
        </w:rPr>
      </w:pPr>
      <w:r w:rsidRPr="00314C35">
        <w:rPr>
          <w:rFonts w:eastAsia="MS PMincho"/>
        </w:rPr>
        <w:t>«</w:t>
      </w:r>
      <w:r w:rsidR="00E228F8" w:rsidRPr="00034DFB">
        <w:rPr>
          <w:rFonts w:eastAsia="MS PMincho"/>
          <w:b/>
        </w:rPr>
        <w:t>3.5.1.1.1</w:t>
      </w:r>
      <w:r w:rsidR="00E228F8" w:rsidRPr="00034DFB">
        <w:rPr>
          <w:rFonts w:eastAsia="MS PMincho"/>
          <w:b/>
        </w:rPr>
        <w:tab/>
      </w:r>
      <w:r w:rsidR="00E228F8">
        <w:rPr>
          <w:rFonts w:eastAsia="MS PMincho"/>
          <w:b/>
        </w:rPr>
        <w:t>В случае дневного ходового огня, у которого максимальная сила света не превышает 700 кд, как указано в приложении 1, это значение в 700 кд применяется в качестве максимальной силы света в контексте процедур обеспечения соответствия производства, упомянутых в приложении 4</w:t>
      </w:r>
      <w:r w:rsidR="00E228F8" w:rsidRPr="00314C35">
        <w:rPr>
          <w:rFonts w:eastAsia="MS PMincho"/>
        </w:rPr>
        <w:t>».</w:t>
      </w:r>
    </w:p>
    <w:p w:rsidR="00E228F8" w:rsidRPr="00DA309F" w:rsidRDefault="00E228F8" w:rsidP="00E228F8">
      <w:pPr>
        <w:autoSpaceDE w:val="0"/>
        <w:autoSpaceDN w:val="0"/>
        <w:adjustRightInd w:val="0"/>
        <w:spacing w:after="120"/>
        <w:ind w:left="1134" w:right="1134"/>
        <w:jc w:val="both"/>
      </w:pPr>
      <w:r>
        <w:rPr>
          <w:i/>
        </w:rPr>
        <w:t>Приложение</w:t>
      </w:r>
      <w:r w:rsidRPr="00DA309F">
        <w:rPr>
          <w:i/>
        </w:rPr>
        <w:t xml:space="preserve"> 1, </w:t>
      </w:r>
      <w:r>
        <w:rPr>
          <w:i/>
        </w:rPr>
        <w:t>пункт</w:t>
      </w:r>
      <w:r w:rsidRPr="00DA309F">
        <w:rPr>
          <w:i/>
        </w:rPr>
        <w:t xml:space="preserve"> 9</w:t>
      </w:r>
      <w:r w:rsidRPr="00DA309F">
        <w:t xml:space="preserve"> изменить следующим образом:</w:t>
      </w:r>
    </w:p>
    <w:p w:rsidR="00E228F8" w:rsidRPr="00034DFB" w:rsidRDefault="00E228F8" w:rsidP="00E228F8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</w:pPr>
      <w:r>
        <w:t>«</w:t>
      </w:r>
      <w:r w:rsidRPr="00034DFB">
        <w:t>...</w:t>
      </w:r>
    </w:p>
    <w:p w:rsidR="00E228F8" w:rsidRPr="004B1BE2" w:rsidRDefault="00E228F8" w:rsidP="00E228F8">
      <w:pPr>
        <w:tabs>
          <w:tab w:val="left" w:pos="2000"/>
          <w:tab w:val="left" w:leader="dot" w:pos="8505"/>
        </w:tabs>
        <w:spacing w:after="120"/>
        <w:ind w:left="1134" w:right="1134"/>
        <w:jc w:val="both"/>
      </w:pPr>
      <w:r w:rsidRPr="004B1BE2">
        <w:t>9.1.4</w:t>
      </w:r>
      <w:r w:rsidRPr="004B1BE2">
        <w:tab/>
        <w:t>огня маневрирования:</w:t>
      </w:r>
    </w:p>
    <w:p w:rsidR="00E228F8" w:rsidRPr="004B1BE2" w:rsidRDefault="00E228F8" w:rsidP="00E228F8">
      <w:pPr>
        <w:tabs>
          <w:tab w:val="left" w:pos="2000"/>
          <w:tab w:val="left" w:leader="dot" w:pos="8505"/>
        </w:tabs>
        <w:spacing w:after="120"/>
        <w:ind w:left="2000" w:right="1134"/>
        <w:jc w:val="both"/>
      </w:pPr>
      <w:r w:rsidRPr="004B1BE2">
        <w:t>максимальная высота установки:</w:t>
      </w:r>
      <w:r w:rsidRPr="004B1BE2">
        <w:tab/>
      </w:r>
    </w:p>
    <w:p w:rsidR="00E228F8" w:rsidRPr="004B1BE2" w:rsidRDefault="00E228F8" w:rsidP="00E228F8">
      <w:pPr>
        <w:suppressAutoHyphens w:val="0"/>
        <w:spacing w:after="120"/>
        <w:ind w:left="567" w:firstLine="567"/>
        <w:rPr>
          <w:rFonts w:eastAsia="MS PMincho"/>
          <w:b/>
        </w:rPr>
      </w:pPr>
      <w:r w:rsidRPr="00BB2385">
        <w:rPr>
          <w:rFonts w:eastAsia="MS PMincho" w:hint="eastAsia"/>
          <w:b/>
          <w:iCs/>
          <w:lang w:eastAsia="ja-JP"/>
        </w:rPr>
        <w:t>9</w:t>
      </w:r>
      <w:r w:rsidRPr="00BB2385">
        <w:rPr>
          <w:rFonts w:eastAsia="MS PMincho"/>
          <w:b/>
        </w:rPr>
        <w:t>.</w:t>
      </w:r>
      <w:r w:rsidRPr="00BB2385">
        <w:rPr>
          <w:rFonts w:eastAsia="MS PMincho" w:hint="eastAsia"/>
          <w:b/>
          <w:lang w:eastAsia="ja-JP"/>
        </w:rPr>
        <w:t>1.</w:t>
      </w:r>
      <w:r w:rsidRPr="00BB2385">
        <w:rPr>
          <w:rFonts w:eastAsia="MS PMincho"/>
          <w:b/>
        </w:rPr>
        <w:t>5</w:t>
      </w:r>
      <w:r w:rsidRPr="00314C35">
        <w:rPr>
          <w:rFonts w:eastAsia="MS PMincho" w:hint="eastAsia"/>
          <w:b/>
          <w:sz w:val="16"/>
          <w:szCs w:val="16"/>
          <w:lang w:eastAsia="ja-JP"/>
        </w:rPr>
        <w:t xml:space="preserve">　</w:t>
      </w:r>
      <w:r w:rsidRPr="00314C35">
        <w:rPr>
          <w:rFonts w:eastAsia="MS PMincho"/>
          <w:b/>
          <w:sz w:val="16"/>
          <w:szCs w:val="16"/>
          <w:lang w:eastAsia="ja-JP"/>
        </w:rPr>
        <w:t xml:space="preserve">　　</w:t>
      </w:r>
      <w:r>
        <w:rPr>
          <w:rFonts w:eastAsia="MS PMincho" w:cs="Times New Roman"/>
          <w:b/>
          <w:lang w:eastAsia="ja-JP"/>
        </w:rPr>
        <w:t>Дневного ходового огня:</w:t>
      </w:r>
    </w:p>
    <w:p w:rsidR="00E228F8" w:rsidRPr="004B1BE2" w:rsidRDefault="00E228F8" w:rsidP="00E228F8">
      <w:pPr>
        <w:suppressAutoHyphens w:val="0"/>
        <w:spacing w:after="120"/>
        <w:ind w:leftChars="986" w:left="1984" w:rightChars="564" w:right="1128" w:hangingChars="6" w:hanging="12"/>
        <w:rPr>
          <w:rFonts w:eastAsia="MS PMincho"/>
          <w:b/>
          <w:sz w:val="18"/>
          <w:szCs w:val="18"/>
          <w:lang w:eastAsia="ja-JP"/>
        </w:rPr>
      </w:pPr>
      <w:r w:rsidRPr="00E228F8">
        <w:rPr>
          <w:rFonts w:eastAsia="MS PMincho" w:cs="Times New Roman"/>
          <w:b/>
          <w:lang w:eastAsia="ja-JP"/>
        </w:rPr>
        <w:t>максимальная сила света не превышает 700 кд: да/нет</w:t>
      </w:r>
    </w:p>
    <w:p w:rsidR="00E228F8" w:rsidRPr="00BB2385" w:rsidRDefault="00E228F8" w:rsidP="00E228F8">
      <w:pPr>
        <w:tabs>
          <w:tab w:val="left" w:pos="1985"/>
          <w:tab w:val="left" w:pos="4962"/>
          <w:tab w:val="left" w:leader="dot" w:pos="8505"/>
        </w:tabs>
        <w:spacing w:after="120"/>
        <w:ind w:left="1134" w:right="1134"/>
        <w:jc w:val="both"/>
      </w:pPr>
      <w:r w:rsidRPr="00E228F8">
        <w:t>...»</w:t>
      </w:r>
    </w:p>
    <w:p w:rsidR="00021E6C" w:rsidRDefault="00021E6C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E228F8" w:rsidRPr="006727C9" w:rsidRDefault="00E228F8" w:rsidP="00021E6C">
      <w:pPr>
        <w:pStyle w:val="HChGR"/>
      </w:pPr>
      <w:r w:rsidRPr="00E228F8">
        <w:lastRenderedPageBreak/>
        <w:tab/>
      </w:r>
      <w:r w:rsidRPr="00BB2385">
        <w:rPr>
          <w:lang w:val="en-US"/>
        </w:rPr>
        <w:t>II</w:t>
      </w:r>
      <w:r w:rsidRPr="006727C9">
        <w:t>.</w:t>
      </w:r>
      <w:r w:rsidRPr="006727C9">
        <w:tab/>
      </w:r>
      <w:r>
        <w:t>Обоснование</w:t>
      </w:r>
    </w:p>
    <w:p w:rsidR="00E228F8" w:rsidRPr="009A4A81" w:rsidRDefault="00E228F8" w:rsidP="00021E6C">
      <w:pPr>
        <w:pStyle w:val="SingleTxtGR"/>
      </w:pPr>
      <w:r w:rsidRPr="006727C9">
        <w:t>1.</w:t>
      </w:r>
      <w:r w:rsidRPr="006727C9">
        <w:tab/>
        <w:t xml:space="preserve">На своем специальном селекторном совещании 17 мая 2017 года специализированная группа экспертов по дневным ходовым огням для транспортных средств категории </w:t>
      </w:r>
      <w:r>
        <w:t>L</w:t>
      </w:r>
      <w:r w:rsidRPr="006727C9">
        <w:t xml:space="preserve"> (</w:t>
      </w:r>
      <w:r>
        <w:t>ДХО</w:t>
      </w:r>
      <w:r w:rsidRPr="006727C9">
        <w:t>-</w:t>
      </w:r>
      <w:r>
        <w:t>L</w:t>
      </w:r>
      <w:r w:rsidRPr="006727C9">
        <w:t>) пришла к выводу о необходимости ввести в действие требования, регламентирующие переключение режима дневных ходовых огней (</w:t>
      </w:r>
      <w:r>
        <w:t>ДХО</w:t>
      </w:r>
      <w:r w:rsidRPr="006727C9">
        <w:t xml:space="preserve">) на режим фар и обратно, если максимальная сила света </w:t>
      </w:r>
      <w:r>
        <w:t>ДХО</w:t>
      </w:r>
      <w:r w:rsidRPr="006727C9">
        <w:t xml:space="preserve"> превышает 700 кд. </w:t>
      </w:r>
      <w:r>
        <w:t>Значение «700 кд» обусловлено положениями Правил № 113 ООН, в которых указана максимальная сила света в районе зоны II.</w:t>
      </w:r>
    </w:p>
    <w:p w:rsidR="00E228F8" w:rsidRPr="009A4A81" w:rsidRDefault="00021E6C" w:rsidP="00021E6C">
      <w:pPr>
        <w:pStyle w:val="H4GR"/>
      </w:pPr>
      <w:r>
        <w:tab/>
      </w:r>
      <w:r>
        <w:tab/>
      </w:r>
      <w:r w:rsidR="00E228F8">
        <w:t>Часть</w:t>
      </w:r>
      <w:r w:rsidR="00E228F8" w:rsidRPr="009A4A81">
        <w:t xml:space="preserve"> </w:t>
      </w:r>
      <w:r w:rsidR="00E228F8" w:rsidRPr="00E0378C">
        <w:t>A</w:t>
      </w:r>
    </w:p>
    <w:p w:rsidR="00E228F8" w:rsidRPr="009A4A81" w:rsidRDefault="00E228F8" w:rsidP="00021E6C">
      <w:pPr>
        <w:pStyle w:val="SingleTxtGR"/>
      </w:pPr>
      <w:r w:rsidRPr="009A4A81">
        <w:t>2.</w:t>
      </w:r>
      <w:r w:rsidRPr="009A4A81">
        <w:tab/>
      </w:r>
      <w:r>
        <w:t>Текст</w:t>
      </w:r>
      <w:r w:rsidRPr="009A4A81">
        <w:t xml:space="preserve"> </w:t>
      </w:r>
      <w:r>
        <w:t>основан</w:t>
      </w:r>
      <w:r w:rsidRPr="009A4A81">
        <w:t xml:space="preserve"> </w:t>
      </w:r>
      <w:r>
        <w:t>на</w:t>
      </w:r>
      <w:r w:rsidRPr="009A4A81">
        <w:t xml:space="preserve"> </w:t>
      </w:r>
      <w:r>
        <w:t>официальном</w:t>
      </w:r>
      <w:r w:rsidRPr="009A4A81">
        <w:t xml:space="preserve"> </w:t>
      </w:r>
      <w:r>
        <w:t>документе</w:t>
      </w:r>
      <w:r w:rsidRPr="009A4A81">
        <w:t xml:space="preserve"> </w:t>
      </w:r>
      <w:r w:rsidRPr="00E0378C">
        <w:t>ECE</w:t>
      </w:r>
      <w:r w:rsidRPr="009A4A81">
        <w:t>/</w:t>
      </w:r>
      <w:r w:rsidRPr="00E0378C">
        <w:t>TRANS</w:t>
      </w:r>
      <w:r w:rsidRPr="009A4A81">
        <w:t>/</w:t>
      </w:r>
      <w:r w:rsidRPr="00E0378C">
        <w:t>WP</w:t>
      </w:r>
      <w:r w:rsidRPr="009A4A81">
        <w:t>.29/</w:t>
      </w:r>
      <w:r w:rsidRPr="00E0378C">
        <w:t>GRE</w:t>
      </w:r>
      <w:r w:rsidRPr="009A4A81">
        <w:t>/201</w:t>
      </w:r>
      <w:r w:rsidRPr="009A4A81">
        <w:rPr>
          <w:lang w:eastAsia="ja-JP"/>
        </w:rPr>
        <w:t>8</w:t>
      </w:r>
      <w:r w:rsidRPr="009A4A81">
        <w:t>/</w:t>
      </w:r>
      <w:r w:rsidRPr="009A4A81">
        <w:rPr>
          <w:lang w:eastAsia="ja-JP"/>
        </w:rPr>
        <w:t xml:space="preserve">19, </w:t>
      </w:r>
      <w:r>
        <w:rPr>
          <w:lang w:eastAsia="ja-JP"/>
        </w:rPr>
        <w:t>подготовленном</w:t>
      </w:r>
      <w:r w:rsidRPr="009A4A81">
        <w:rPr>
          <w:lang w:eastAsia="ja-JP"/>
        </w:rPr>
        <w:t xml:space="preserve"> </w:t>
      </w:r>
      <w:r>
        <w:rPr>
          <w:lang w:eastAsia="ja-JP"/>
        </w:rPr>
        <w:t>экспертом</w:t>
      </w:r>
      <w:r w:rsidRPr="009A4A81">
        <w:rPr>
          <w:lang w:eastAsia="ja-JP"/>
        </w:rPr>
        <w:t xml:space="preserve"> </w:t>
      </w:r>
      <w:r>
        <w:rPr>
          <w:lang w:eastAsia="ja-JP"/>
        </w:rPr>
        <w:t>от</w:t>
      </w:r>
      <w:r w:rsidRPr="009A4A81">
        <w:rPr>
          <w:lang w:eastAsia="ja-JP"/>
        </w:rPr>
        <w:t xml:space="preserve"> </w:t>
      </w:r>
      <w:r w:rsidRPr="009A4A81">
        <w:t xml:space="preserve">специализированной группы экспертов </w:t>
      </w:r>
      <w:r w:rsidR="00021E6C">
        <w:br/>
      </w:r>
      <w:r w:rsidRPr="009A4A81">
        <w:t xml:space="preserve">по </w:t>
      </w:r>
      <w:r>
        <w:t>ДХО</w:t>
      </w:r>
      <w:r w:rsidRPr="009A4A81">
        <w:t>-</w:t>
      </w:r>
      <w:r w:rsidRPr="00EF3FC8">
        <w:t>L</w:t>
      </w:r>
      <w:r w:rsidR="00021E6C">
        <w:t xml:space="preserve"> и </w:t>
      </w:r>
      <w:r>
        <w:t xml:space="preserve">распространенном на семьдесят девятой сессии </w:t>
      </w:r>
      <w:r w:rsidRPr="00E0378C">
        <w:t>GRE</w:t>
      </w:r>
      <w:r w:rsidRPr="009A4A81">
        <w:t xml:space="preserve">, </w:t>
      </w:r>
      <w:r>
        <w:t>со следующими изменениями</w:t>
      </w:r>
      <w:r w:rsidRPr="009A4A81">
        <w:t xml:space="preserve">: </w:t>
      </w:r>
    </w:p>
    <w:p w:rsidR="00E228F8" w:rsidRPr="00591C8E" w:rsidRDefault="00E228F8" w:rsidP="00021E6C">
      <w:pPr>
        <w:pStyle w:val="SingleTxtGR"/>
        <w:ind w:left="1701" w:hanging="567"/>
        <w:rPr>
          <w:lang w:eastAsia="ja-JP"/>
        </w:rPr>
      </w:pPr>
      <w:r w:rsidRPr="00E0378C">
        <w:t>a</w:t>
      </w:r>
      <w:r w:rsidRPr="001A1A4B">
        <w:t>)</w:t>
      </w:r>
      <w:r w:rsidRPr="001A1A4B">
        <w:tab/>
      </w:r>
      <w:r w:rsidRPr="00E4316D">
        <w:t>Введение в действие требований, регламентирующих автоматическое переключение режима дневных ходовых огней (</w:t>
      </w:r>
      <w:r>
        <w:t>ДХО</w:t>
      </w:r>
      <w:r w:rsidRPr="00E4316D">
        <w:t xml:space="preserve">) на режим фар и обратно в том случае, если максимальная сила света </w:t>
      </w:r>
      <w:r>
        <w:t>ДХО</w:t>
      </w:r>
      <w:r w:rsidRPr="00E4316D">
        <w:t xml:space="preserve"> превышает 700 кд.</w:t>
      </w:r>
      <w:r>
        <w:t xml:space="preserve"> </w:t>
      </w:r>
      <w:r>
        <w:rPr>
          <w:lang w:eastAsia="ja-JP"/>
        </w:rPr>
        <w:t>Информация</w:t>
      </w:r>
      <w:r w:rsidRPr="00591C8E">
        <w:rPr>
          <w:lang w:eastAsia="ja-JP"/>
        </w:rPr>
        <w:t xml:space="preserve"> </w:t>
      </w:r>
      <w:r>
        <w:rPr>
          <w:lang w:eastAsia="ja-JP"/>
        </w:rPr>
        <w:t>о</w:t>
      </w:r>
      <w:r w:rsidRPr="00591C8E">
        <w:rPr>
          <w:lang w:eastAsia="ja-JP"/>
        </w:rPr>
        <w:t xml:space="preserve"> </w:t>
      </w:r>
      <w:r>
        <w:rPr>
          <w:lang w:eastAsia="ja-JP"/>
        </w:rPr>
        <w:t>том</w:t>
      </w:r>
      <w:r w:rsidRPr="00591C8E">
        <w:rPr>
          <w:lang w:eastAsia="ja-JP"/>
        </w:rPr>
        <w:t xml:space="preserve">, </w:t>
      </w:r>
      <w:r>
        <w:rPr>
          <w:lang w:eastAsia="ja-JP"/>
        </w:rPr>
        <w:t>превышает</w:t>
      </w:r>
      <w:r w:rsidRPr="00591C8E">
        <w:rPr>
          <w:lang w:eastAsia="ja-JP"/>
        </w:rPr>
        <w:t xml:space="preserve"> </w:t>
      </w:r>
      <w:r>
        <w:rPr>
          <w:lang w:eastAsia="ja-JP"/>
        </w:rPr>
        <w:t>ли</w:t>
      </w:r>
      <w:r w:rsidRPr="00591C8E">
        <w:rPr>
          <w:lang w:eastAsia="ja-JP"/>
        </w:rPr>
        <w:t xml:space="preserve"> </w:t>
      </w:r>
      <w:r>
        <w:t>максимальная</w:t>
      </w:r>
      <w:r w:rsidRPr="00591C8E">
        <w:t xml:space="preserve"> </w:t>
      </w:r>
      <w:r>
        <w:t>сила</w:t>
      </w:r>
      <w:r w:rsidRPr="00591C8E">
        <w:t xml:space="preserve"> </w:t>
      </w:r>
      <w:r>
        <w:t>света</w:t>
      </w:r>
      <w:r w:rsidRPr="00591C8E">
        <w:t xml:space="preserve"> </w:t>
      </w:r>
      <w:r>
        <w:t>ДХО</w:t>
      </w:r>
      <w:r w:rsidRPr="00591C8E">
        <w:t xml:space="preserve"> 700 </w:t>
      </w:r>
      <w:r>
        <w:t>кд</w:t>
      </w:r>
      <w:r w:rsidRPr="00591C8E">
        <w:t xml:space="preserve">, </w:t>
      </w:r>
      <w:r>
        <w:t>должна</w:t>
      </w:r>
      <w:r w:rsidRPr="00591C8E">
        <w:t xml:space="preserve"> </w:t>
      </w:r>
      <w:r>
        <w:t>быть</w:t>
      </w:r>
      <w:r w:rsidRPr="00591C8E">
        <w:t xml:space="preserve"> </w:t>
      </w:r>
      <w:r>
        <w:t>документально подтверждена в карточке сообщения, приведенной в приложении 1 к</w:t>
      </w:r>
      <w:r w:rsidRPr="00591C8E">
        <w:rPr>
          <w:lang w:eastAsia="ja-JP"/>
        </w:rPr>
        <w:t xml:space="preserve"> [</w:t>
      </w:r>
      <w:r>
        <w:rPr>
          <w:lang w:eastAsia="ja-JP"/>
        </w:rPr>
        <w:t>Правилам ООН, касающимся УСС</w:t>
      </w:r>
      <w:r w:rsidRPr="00591C8E">
        <w:rPr>
          <w:lang w:eastAsia="ja-JP"/>
        </w:rPr>
        <w:t>].</w:t>
      </w:r>
      <w:r w:rsidRPr="001A1A4B">
        <w:rPr>
          <w:lang w:eastAsia="ja-JP"/>
        </w:rPr>
        <w:t xml:space="preserve"> </w:t>
      </w:r>
    </w:p>
    <w:p w:rsidR="00E228F8" w:rsidRPr="00E4316D" w:rsidRDefault="00E228F8" w:rsidP="00021E6C">
      <w:pPr>
        <w:pStyle w:val="SingleTxtGR"/>
        <w:ind w:left="1701" w:hanging="567"/>
      </w:pPr>
      <w:r w:rsidRPr="00E0378C">
        <w:t>b</w:t>
      </w:r>
      <w:r w:rsidRPr="00E4316D">
        <w:t>)</w:t>
      </w:r>
      <w:r w:rsidRPr="00E4316D">
        <w:tab/>
      </w:r>
      <w:r>
        <w:t xml:space="preserve">Введение переходных положений, которые уже были предложены Японией в документе </w:t>
      </w:r>
      <w:r w:rsidRPr="00E0378C">
        <w:t>ECE</w:t>
      </w:r>
      <w:r w:rsidRPr="00E4316D">
        <w:t>/</w:t>
      </w:r>
      <w:r w:rsidRPr="00E0378C">
        <w:t>TRANS</w:t>
      </w:r>
      <w:r w:rsidRPr="00E4316D">
        <w:t>/</w:t>
      </w:r>
      <w:r w:rsidRPr="00E0378C">
        <w:t>WP</w:t>
      </w:r>
      <w:r w:rsidRPr="00E4316D">
        <w:t>.29/</w:t>
      </w:r>
      <w:r w:rsidRPr="00E0378C">
        <w:t>GRE</w:t>
      </w:r>
      <w:r w:rsidRPr="00E4316D">
        <w:t xml:space="preserve">/2016/35 </w:t>
      </w:r>
      <w:r>
        <w:t xml:space="preserve">и подтверждены в ходе </w:t>
      </w:r>
      <w:r w:rsidRPr="00E4316D">
        <w:t xml:space="preserve">специального совещания 17 мая 2017 года </w:t>
      </w:r>
      <w:r>
        <w:t xml:space="preserve">и семьдесят девятой сессии </w:t>
      </w:r>
      <w:r w:rsidRPr="00E0378C">
        <w:t>GRE</w:t>
      </w:r>
      <w:r w:rsidRPr="00E4316D">
        <w:t xml:space="preserve">; </w:t>
      </w:r>
      <w:r w:rsidR="00021E6C">
        <w:t>см. </w:t>
      </w:r>
      <w:r>
        <w:t>пункты</w:t>
      </w:r>
      <w:r w:rsidRPr="00E4316D">
        <w:t xml:space="preserve"> 11.7–11.11</w:t>
      </w:r>
      <w:r>
        <w:t>.</w:t>
      </w:r>
    </w:p>
    <w:p w:rsidR="00E228F8" w:rsidRPr="00E4316D" w:rsidRDefault="00E228F8" w:rsidP="00021E6C">
      <w:pPr>
        <w:pStyle w:val="SingleTxtGR"/>
        <w:ind w:left="1701" w:hanging="567"/>
      </w:pPr>
      <w:r w:rsidRPr="00E0378C">
        <w:t>c</w:t>
      </w:r>
      <w:r w:rsidRPr="00E4316D">
        <w:t>)</w:t>
      </w:r>
      <w:r w:rsidRPr="00E4316D">
        <w:tab/>
        <w:t xml:space="preserve">Уточнение требований к окружающим условиям освещенности, изменение редакции первоначального предложения Японии в пункте 5.11.1 </w:t>
      </w:r>
      <w:r>
        <w:t>документа ECE</w:t>
      </w:r>
      <w:r w:rsidRPr="00E4316D">
        <w:t>/</w:t>
      </w:r>
      <w:r>
        <w:t>TRANS</w:t>
      </w:r>
      <w:r w:rsidRPr="00E4316D">
        <w:t>/</w:t>
      </w:r>
      <w:r>
        <w:t>WP</w:t>
      </w:r>
      <w:r w:rsidRPr="00E4316D">
        <w:t>.29/</w:t>
      </w:r>
      <w:r>
        <w:t>GRE</w:t>
      </w:r>
      <w:r w:rsidRPr="00E4316D">
        <w:t>/2016/35, но сохранение его содержания</w:t>
      </w:r>
      <w:r>
        <w:t>.</w:t>
      </w:r>
      <w:r w:rsidRPr="00E4316D">
        <w:t xml:space="preserve"> Для справки следует отметить, что в первоначальном предложении Японии </w:t>
      </w:r>
      <w:r>
        <w:t>(ECE</w:t>
      </w:r>
      <w:r w:rsidRPr="00E4316D">
        <w:t>/</w:t>
      </w:r>
      <w:r>
        <w:t>TRANS</w:t>
      </w:r>
      <w:r w:rsidRPr="00E4316D">
        <w:t>/</w:t>
      </w:r>
      <w:r>
        <w:t>WP</w:t>
      </w:r>
      <w:r w:rsidRPr="00E4316D">
        <w:t>.29/</w:t>
      </w:r>
      <w:r>
        <w:t>GRE</w:t>
      </w:r>
      <w:r w:rsidRPr="00E4316D">
        <w:t>/2016/35</w:t>
      </w:r>
      <w:r>
        <w:t>)</w:t>
      </w:r>
      <w:r w:rsidRPr="00E4316D">
        <w:t xml:space="preserve"> это требование было изложено следующим образом:</w:t>
      </w:r>
    </w:p>
    <w:p w:rsidR="00E228F8" w:rsidRDefault="00021E6C" w:rsidP="00021E6C">
      <w:pPr>
        <w:pStyle w:val="SingleTxtGR"/>
        <w:ind w:left="2835" w:hanging="1701"/>
      </w:pPr>
      <w:r>
        <w:tab/>
      </w:r>
      <w:r w:rsidR="00E228F8" w:rsidRPr="00E4316D">
        <w:t>«5.11.1</w:t>
      </w:r>
      <w:r w:rsidR="00E228F8" w:rsidRPr="00E4316D">
        <w:tab/>
        <w:t>Фара должна автоматически ВКЛЮЧАТЬСЯ в течение двух секунд после того, как окружающая освещенность уменьшится до менее 1</w:t>
      </w:r>
      <w:r w:rsidR="00E228F8">
        <w:t> </w:t>
      </w:r>
      <w:r w:rsidR="00E228F8" w:rsidRPr="00E4316D">
        <w:t>000</w:t>
      </w:r>
      <w:r w:rsidR="00E228F8">
        <w:t> </w:t>
      </w:r>
      <w:r w:rsidR="00E228F8" w:rsidRPr="00E4316D">
        <w:t xml:space="preserve">лк (например, в условиях движения в ночное время, в туннелях и т. д.), и затем фара должна оставаться включенной до тех пор, пока окружающая освещенность не составит по меньшей мере 1 000 лк». </w:t>
      </w:r>
    </w:p>
    <w:p w:rsidR="00E228F8" w:rsidRPr="00CD5729" w:rsidRDefault="00E228F8" w:rsidP="00021E6C">
      <w:pPr>
        <w:pStyle w:val="SingleTxtGR"/>
        <w:ind w:left="1701" w:hanging="567"/>
      </w:pPr>
      <w:r w:rsidRPr="00E0378C">
        <w:t>d</w:t>
      </w:r>
      <w:r w:rsidRPr="00E4316D">
        <w:t>)</w:t>
      </w:r>
      <w:r w:rsidRPr="00E4316D">
        <w:tab/>
        <w:t xml:space="preserve">Предполагается, что в случае установки двух </w:t>
      </w:r>
      <w:r>
        <w:t>ДХО</w:t>
      </w:r>
      <w:r w:rsidRPr="00E4316D">
        <w:t xml:space="preserve"> (категории </w:t>
      </w:r>
      <w:r>
        <w:t>MRL</w:t>
      </w:r>
      <w:r w:rsidRPr="00E4316D">
        <w:t xml:space="preserve">) требование 700 кд применяется к каждому </w:t>
      </w:r>
      <w:r>
        <w:t>ДХО</w:t>
      </w:r>
      <w:r w:rsidRPr="00E4316D">
        <w:t xml:space="preserve">. </w:t>
      </w:r>
      <w:r w:rsidRPr="00CD5729">
        <w:t>В соответствии с Правилами № 53 ООН на мотоциклах допускается установка двух фар.</w:t>
      </w:r>
      <w:r>
        <w:t xml:space="preserve"> </w:t>
      </w:r>
      <w:r w:rsidRPr="00CD5729">
        <w:t xml:space="preserve">В этой связи эффект ослепления </w:t>
      </w:r>
      <w:r>
        <w:t xml:space="preserve">двумя ДХО </w:t>
      </w:r>
      <w:r w:rsidRPr="00CD5729">
        <w:t>будет оставаться тем же, что и в случае фар.</w:t>
      </w:r>
    </w:p>
    <w:p w:rsidR="00E228F8" w:rsidRPr="00CD5729" w:rsidRDefault="00E228F8" w:rsidP="00021E6C">
      <w:pPr>
        <w:pStyle w:val="SingleTxtGR"/>
        <w:ind w:left="1701" w:hanging="567"/>
      </w:pPr>
      <w:r w:rsidRPr="00E0378C">
        <w:t>e</w:t>
      </w:r>
      <w:r w:rsidRPr="00CD5729">
        <w:t>)</w:t>
      </w:r>
      <w:r w:rsidRPr="00CD5729">
        <w:tab/>
        <w:t>Это предложение связано с с</w:t>
      </w:r>
      <w:r>
        <w:t>оответствующим предложением по П</w:t>
      </w:r>
      <w:r w:rsidRPr="00CD5729">
        <w:t>равилам, касающимся УСС.</w:t>
      </w:r>
    </w:p>
    <w:p w:rsidR="00E228F8" w:rsidRPr="00E228F8" w:rsidRDefault="00021E6C" w:rsidP="00021E6C">
      <w:pPr>
        <w:pStyle w:val="H4GR"/>
      </w:pPr>
      <w:r>
        <w:tab/>
      </w:r>
      <w:r>
        <w:tab/>
      </w:r>
      <w:r w:rsidR="00E228F8">
        <w:t>Часть</w:t>
      </w:r>
      <w:r w:rsidR="00E228F8" w:rsidRPr="00E228F8">
        <w:t xml:space="preserve"> </w:t>
      </w:r>
      <w:r w:rsidR="00E228F8" w:rsidRPr="00E0378C">
        <w:t>B</w:t>
      </w:r>
    </w:p>
    <w:p w:rsidR="00E228F8" w:rsidRPr="00CD5729" w:rsidRDefault="00E228F8" w:rsidP="00021E6C">
      <w:pPr>
        <w:pStyle w:val="SingleTxtGR"/>
        <w:rPr>
          <w:lang w:eastAsia="ja-JP"/>
        </w:rPr>
      </w:pPr>
      <w:r w:rsidRPr="00CD5729">
        <w:rPr>
          <w:lang w:eastAsia="ja-JP"/>
        </w:rPr>
        <w:t>3.</w:t>
      </w:r>
      <w:r w:rsidRPr="00CD5729">
        <w:rPr>
          <w:lang w:eastAsia="ja-JP"/>
        </w:rPr>
        <w:tab/>
      </w:r>
      <w:r>
        <w:rPr>
          <w:lang w:eastAsia="ja-JP"/>
        </w:rPr>
        <w:t>Текст</w:t>
      </w:r>
      <w:r w:rsidRPr="00CD5729">
        <w:rPr>
          <w:lang w:eastAsia="ja-JP"/>
        </w:rPr>
        <w:t xml:space="preserve"> </w:t>
      </w:r>
      <w:r>
        <w:rPr>
          <w:lang w:eastAsia="ja-JP"/>
        </w:rPr>
        <w:t>в</w:t>
      </w:r>
      <w:r w:rsidRPr="00CD5729">
        <w:rPr>
          <w:lang w:eastAsia="ja-JP"/>
        </w:rPr>
        <w:t xml:space="preserve"> </w:t>
      </w:r>
      <w:r>
        <w:rPr>
          <w:lang w:eastAsia="ja-JP"/>
        </w:rPr>
        <w:t>части</w:t>
      </w:r>
      <w:r w:rsidRPr="00CD5729">
        <w:rPr>
          <w:lang w:eastAsia="ja-JP"/>
        </w:rPr>
        <w:t xml:space="preserve"> </w:t>
      </w:r>
      <w:r>
        <w:rPr>
          <w:lang w:eastAsia="ja-JP"/>
        </w:rPr>
        <w:t>B</w:t>
      </w:r>
      <w:r w:rsidRPr="00CD5729">
        <w:rPr>
          <w:lang w:eastAsia="ja-JP"/>
        </w:rPr>
        <w:t xml:space="preserve"> </w:t>
      </w:r>
      <w:r>
        <w:rPr>
          <w:lang w:eastAsia="ja-JP"/>
        </w:rPr>
        <w:t>нацелен на внесение поп</w:t>
      </w:r>
      <w:r w:rsidR="00021E6C">
        <w:rPr>
          <w:lang w:eastAsia="ja-JP"/>
        </w:rPr>
        <w:t>равок в Правила ООН, касающиеся </w:t>
      </w:r>
      <w:r>
        <w:rPr>
          <w:lang w:eastAsia="ja-JP"/>
        </w:rPr>
        <w:t>УСС</w:t>
      </w:r>
      <w:r w:rsidRPr="00CD5729">
        <w:rPr>
          <w:lang w:eastAsia="ja-JP"/>
        </w:rPr>
        <w:t xml:space="preserve"> (</w:t>
      </w:r>
      <w:r w:rsidRPr="00E0378C">
        <w:rPr>
          <w:lang w:eastAsia="ja-JP"/>
        </w:rPr>
        <w:t>ECE</w:t>
      </w:r>
      <w:r w:rsidRPr="00CD5729">
        <w:rPr>
          <w:lang w:eastAsia="ja-JP"/>
        </w:rPr>
        <w:t>/</w:t>
      </w:r>
      <w:r w:rsidRPr="00E0378C">
        <w:rPr>
          <w:lang w:eastAsia="ja-JP"/>
        </w:rPr>
        <w:t>TRANS</w:t>
      </w:r>
      <w:r w:rsidRPr="00CD5729">
        <w:rPr>
          <w:lang w:eastAsia="ja-JP"/>
        </w:rPr>
        <w:t>/</w:t>
      </w:r>
      <w:r w:rsidRPr="00E0378C">
        <w:rPr>
          <w:lang w:eastAsia="ja-JP"/>
        </w:rPr>
        <w:t>WP</w:t>
      </w:r>
      <w:r w:rsidRPr="00CD5729">
        <w:rPr>
          <w:lang w:eastAsia="ja-JP"/>
        </w:rPr>
        <w:t>.29/</w:t>
      </w:r>
      <w:r w:rsidRPr="00E0378C">
        <w:rPr>
          <w:lang w:eastAsia="ja-JP"/>
        </w:rPr>
        <w:t>GRE</w:t>
      </w:r>
      <w:r w:rsidRPr="00CD5729">
        <w:rPr>
          <w:lang w:eastAsia="ja-JP"/>
        </w:rPr>
        <w:t>/2018/2)</w:t>
      </w:r>
      <w:r>
        <w:rPr>
          <w:lang w:eastAsia="ja-JP"/>
        </w:rPr>
        <w:t>,</w:t>
      </w:r>
      <w:r w:rsidRPr="00CD5729">
        <w:rPr>
          <w:lang w:eastAsia="ja-JP"/>
        </w:rPr>
        <w:t xml:space="preserve"> </w:t>
      </w:r>
      <w:r>
        <w:rPr>
          <w:lang w:eastAsia="ja-JP"/>
        </w:rPr>
        <w:t>для отражения в них следующих изменений</w:t>
      </w:r>
      <w:r w:rsidRPr="00CD5729">
        <w:rPr>
          <w:lang w:eastAsia="ja-JP"/>
        </w:rPr>
        <w:t>:</w:t>
      </w:r>
    </w:p>
    <w:p w:rsidR="00E228F8" w:rsidRPr="00021E6C" w:rsidRDefault="00E228F8" w:rsidP="00021E6C">
      <w:pPr>
        <w:pStyle w:val="SingleTxtGR"/>
        <w:ind w:left="1701" w:hanging="567"/>
      </w:pPr>
      <w:r w:rsidRPr="00E0378C">
        <w:t>a</w:t>
      </w:r>
      <w:r w:rsidRPr="00CD5729">
        <w:t>)</w:t>
      </w:r>
      <w:r w:rsidRPr="00CD5729">
        <w:tab/>
      </w:r>
      <w:r>
        <w:t>В</w:t>
      </w:r>
      <w:r w:rsidRPr="00CD5729">
        <w:t xml:space="preserve"> </w:t>
      </w:r>
      <w:r>
        <w:t>карточку</w:t>
      </w:r>
      <w:r w:rsidRPr="00CD5729">
        <w:t xml:space="preserve"> </w:t>
      </w:r>
      <w:r>
        <w:t>сообщения</w:t>
      </w:r>
      <w:r w:rsidRPr="00CD5729">
        <w:t xml:space="preserve">, </w:t>
      </w:r>
      <w:r>
        <w:t>содержащуюся</w:t>
      </w:r>
      <w:r w:rsidRPr="00CD5729">
        <w:t xml:space="preserve"> </w:t>
      </w:r>
      <w:r>
        <w:t>в</w:t>
      </w:r>
      <w:r w:rsidRPr="00CD5729">
        <w:t xml:space="preserve"> </w:t>
      </w:r>
      <w:r>
        <w:t>приложении</w:t>
      </w:r>
      <w:r w:rsidRPr="00CD5729">
        <w:t xml:space="preserve"> 1, </w:t>
      </w:r>
      <w:r>
        <w:t>введен</w:t>
      </w:r>
      <w:r w:rsidRPr="00CD5729">
        <w:t xml:space="preserve"> </w:t>
      </w:r>
      <w:r>
        <w:t>новый</w:t>
      </w:r>
      <w:r w:rsidRPr="00CD5729">
        <w:t xml:space="preserve"> </w:t>
      </w:r>
      <w:r>
        <w:t>пу</w:t>
      </w:r>
      <w:r w:rsidRPr="00CD5729">
        <w:t>нкт</w:t>
      </w:r>
      <w:r w:rsidR="00314C35">
        <w:t> </w:t>
      </w:r>
      <w:r w:rsidRPr="00CD5729">
        <w:t xml:space="preserve">9.1.5, </w:t>
      </w:r>
      <w:r>
        <w:t>с</w:t>
      </w:r>
      <w:r w:rsidRPr="00CD5729">
        <w:t xml:space="preserve"> </w:t>
      </w:r>
      <w:r>
        <w:t>тем</w:t>
      </w:r>
      <w:r w:rsidRPr="00CD5729">
        <w:t xml:space="preserve"> </w:t>
      </w:r>
      <w:r>
        <w:t>чтобы</w:t>
      </w:r>
      <w:r w:rsidRPr="00CD5729">
        <w:t xml:space="preserve"> </w:t>
      </w:r>
      <w:r>
        <w:t>сразу</w:t>
      </w:r>
      <w:r w:rsidRPr="00CD5729">
        <w:t xml:space="preserve"> </w:t>
      </w:r>
      <w:r>
        <w:t>было</w:t>
      </w:r>
      <w:r w:rsidRPr="00CD5729">
        <w:t xml:space="preserve"> </w:t>
      </w:r>
      <w:r>
        <w:t>ясно, превышает ли 700 кд значение максимальной силы света, измеренное в ходе испытания на официальное утверждение</w:t>
      </w:r>
      <w:r w:rsidRPr="00CD5729">
        <w:t xml:space="preserve">. </w:t>
      </w:r>
    </w:p>
    <w:p w:rsidR="00E228F8" w:rsidRDefault="00E228F8" w:rsidP="00021E6C">
      <w:pPr>
        <w:pStyle w:val="SingleTxtGR"/>
        <w:pageBreakBefore/>
        <w:ind w:left="1701" w:hanging="567"/>
      </w:pPr>
      <w:r w:rsidRPr="00E0378C">
        <w:lastRenderedPageBreak/>
        <w:t>b</w:t>
      </w:r>
      <w:r>
        <w:t>)</w:t>
      </w:r>
      <w:r>
        <w:tab/>
        <w:t>Введен</w:t>
      </w:r>
      <w:r w:rsidRPr="00CD5729">
        <w:t xml:space="preserve"> </w:t>
      </w:r>
      <w:r>
        <w:t>новый</w:t>
      </w:r>
      <w:r w:rsidRPr="00CD5729">
        <w:t xml:space="preserve"> </w:t>
      </w:r>
      <w:r>
        <w:t>п</w:t>
      </w:r>
      <w:r w:rsidRPr="00CD5729">
        <w:t xml:space="preserve">ункт 3.5.1.1.1 </w:t>
      </w:r>
      <w:r>
        <w:t>для</w:t>
      </w:r>
      <w:r w:rsidRPr="00CD5729">
        <w:t xml:space="preserve"> </w:t>
      </w:r>
      <w:r>
        <w:t>уточнения</w:t>
      </w:r>
      <w:r w:rsidRPr="00CD5729">
        <w:t xml:space="preserve"> </w:t>
      </w:r>
      <w:r>
        <w:t>того</w:t>
      </w:r>
      <w:r w:rsidRPr="00CD5729">
        <w:t xml:space="preserve">, </w:t>
      </w:r>
      <w:r>
        <w:t>что</w:t>
      </w:r>
      <w:r w:rsidRPr="00CD5729">
        <w:t xml:space="preserve"> </w:t>
      </w:r>
      <w:r>
        <w:t>значение</w:t>
      </w:r>
      <w:r w:rsidRPr="00CD5729">
        <w:t xml:space="preserve"> </w:t>
      </w:r>
      <w:r>
        <w:t>в</w:t>
      </w:r>
      <w:r w:rsidRPr="00CD5729">
        <w:t xml:space="preserve"> 700 </w:t>
      </w:r>
      <w:r>
        <w:t>кд</w:t>
      </w:r>
      <w:r w:rsidRPr="00CD5729">
        <w:t xml:space="preserve"> </w:t>
      </w:r>
      <w:r>
        <w:t>может</w:t>
      </w:r>
      <w:r w:rsidRPr="00CD5729">
        <w:t xml:space="preserve"> </w:t>
      </w:r>
      <w:r>
        <w:t>применяться</w:t>
      </w:r>
      <w:r w:rsidRPr="00CD5729">
        <w:t xml:space="preserve"> </w:t>
      </w:r>
      <w:r>
        <w:t>в</w:t>
      </w:r>
      <w:r w:rsidRPr="00CD5729">
        <w:t xml:space="preserve"> </w:t>
      </w:r>
      <w:r>
        <w:t>качестве</w:t>
      </w:r>
      <w:r w:rsidRPr="00CD5729">
        <w:t xml:space="preserve"> </w:t>
      </w:r>
      <w:r>
        <w:t>максимальной силы света</w:t>
      </w:r>
      <w:r w:rsidRPr="00CD5729">
        <w:t xml:space="preserve"> </w:t>
      </w:r>
      <w:r w:rsidRPr="00021E6C">
        <w:t xml:space="preserve">в контексте процедур обеспечения соответствия производства, упомянутых в приложении 4, если </w:t>
      </w:r>
      <w:r>
        <w:t>максимальная сила света не превышает 700 кд</w:t>
      </w:r>
      <w:r w:rsidRPr="00021E6C">
        <w:t>.</w:t>
      </w:r>
    </w:p>
    <w:p w:rsidR="00021E6C" w:rsidRPr="00021E6C" w:rsidRDefault="00021E6C" w:rsidP="00021E6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E228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30" w:rsidRPr="00A312BC" w:rsidRDefault="00AC2830" w:rsidP="00A312BC"/>
  </w:endnote>
  <w:endnote w:type="continuationSeparator" w:id="0">
    <w:p w:rsidR="00AC2830" w:rsidRPr="00A312BC" w:rsidRDefault="00AC28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F8" w:rsidRPr="00E228F8" w:rsidRDefault="00E228F8">
    <w:pPr>
      <w:pStyle w:val="Footer"/>
    </w:pPr>
    <w:r w:rsidRPr="00E228F8">
      <w:rPr>
        <w:b/>
        <w:sz w:val="18"/>
      </w:rPr>
      <w:fldChar w:fldCharType="begin"/>
    </w:r>
    <w:r w:rsidRPr="00E228F8">
      <w:rPr>
        <w:b/>
        <w:sz w:val="18"/>
      </w:rPr>
      <w:instrText xml:space="preserve"> PAGE  \* MERGEFORMAT </w:instrText>
    </w:r>
    <w:r w:rsidRPr="00E228F8">
      <w:rPr>
        <w:b/>
        <w:sz w:val="18"/>
      </w:rPr>
      <w:fldChar w:fldCharType="separate"/>
    </w:r>
    <w:r w:rsidR="00CB6F6B">
      <w:rPr>
        <w:b/>
        <w:noProof/>
        <w:sz w:val="18"/>
      </w:rPr>
      <w:t>6</w:t>
    </w:r>
    <w:r w:rsidRPr="00E228F8">
      <w:rPr>
        <w:b/>
        <w:sz w:val="18"/>
      </w:rPr>
      <w:fldChar w:fldCharType="end"/>
    </w:r>
    <w:r>
      <w:rPr>
        <w:b/>
        <w:sz w:val="18"/>
      </w:rPr>
      <w:tab/>
    </w:r>
    <w:r>
      <w:t>GE.18-13200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F8" w:rsidRPr="00E228F8" w:rsidRDefault="00E228F8" w:rsidP="00E228F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GE.18-13200</w:t>
    </w:r>
    <w:r>
      <w:tab/>
    </w:r>
    <w:r w:rsidRPr="00E228F8">
      <w:rPr>
        <w:b/>
        <w:sz w:val="18"/>
      </w:rPr>
      <w:fldChar w:fldCharType="begin"/>
    </w:r>
    <w:r w:rsidRPr="00E228F8">
      <w:rPr>
        <w:b/>
        <w:sz w:val="18"/>
      </w:rPr>
      <w:instrText xml:space="preserve"> PAGE  \* MERGEFORMAT </w:instrText>
    </w:r>
    <w:r w:rsidRPr="00E228F8">
      <w:rPr>
        <w:b/>
        <w:sz w:val="18"/>
      </w:rPr>
      <w:fldChar w:fldCharType="separate"/>
    </w:r>
    <w:r w:rsidR="00CB6F6B">
      <w:rPr>
        <w:b/>
        <w:noProof/>
        <w:sz w:val="18"/>
      </w:rPr>
      <w:t>5</w:t>
    </w:r>
    <w:r w:rsidRPr="00E228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228F8" w:rsidRDefault="00E228F8" w:rsidP="00E228F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18-13200  (R)</w:t>
    </w:r>
    <w:r>
      <w:rPr>
        <w:lang w:val="en-US"/>
      </w:rPr>
      <w:t xml:space="preserve">  140818  150818</w:t>
    </w:r>
    <w:r>
      <w:br/>
    </w:r>
    <w:r w:rsidRPr="00E228F8">
      <w:rPr>
        <w:rFonts w:ascii="C39T30Lfz" w:hAnsi="C39T30Lfz"/>
        <w:kern w:val="14"/>
        <w:sz w:val="56"/>
      </w:rPr>
      <w:t></w:t>
    </w:r>
    <w:r w:rsidRPr="00E228F8">
      <w:rPr>
        <w:rFonts w:ascii="C39T30Lfz" w:hAnsi="C39T30Lfz"/>
        <w:kern w:val="14"/>
        <w:sz w:val="56"/>
      </w:rPr>
      <w:t></w:t>
    </w:r>
    <w:r w:rsidRPr="00E228F8">
      <w:rPr>
        <w:rFonts w:ascii="C39T30Lfz" w:hAnsi="C39T30Lfz"/>
        <w:kern w:val="14"/>
        <w:sz w:val="56"/>
      </w:rPr>
      <w:t></w:t>
    </w:r>
    <w:r w:rsidRPr="00E228F8">
      <w:rPr>
        <w:rFonts w:ascii="C39T30Lfz" w:hAnsi="C39T30Lfz"/>
        <w:kern w:val="14"/>
        <w:sz w:val="56"/>
      </w:rPr>
      <w:t></w:t>
    </w:r>
    <w:r w:rsidRPr="00E228F8">
      <w:rPr>
        <w:rFonts w:ascii="C39T30Lfz" w:hAnsi="C39T30Lfz"/>
        <w:kern w:val="14"/>
        <w:sz w:val="56"/>
      </w:rPr>
      <w:t></w:t>
    </w:r>
    <w:r w:rsidRPr="00E228F8">
      <w:rPr>
        <w:rFonts w:ascii="C39T30Lfz" w:hAnsi="C39T30Lfz"/>
        <w:kern w:val="14"/>
        <w:sz w:val="56"/>
      </w:rPr>
      <w:t></w:t>
    </w:r>
    <w:r w:rsidRPr="00E228F8">
      <w:rPr>
        <w:rFonts w:ascii="C39T30Lfz" w:hAnsi="C39T30Lfz"/>
        <w:kern w:val="14"/>
        <w:sz w:val="56"/>
      </w:rPr>
      <w:t></w:t>
    </w:r>
    <w:r w:rsidRPr="00E228F8">
      <w:rPr>
        <w:rFonts w:ascii="C39T30Lfz" w:hAnsi="C39T30Lfz"/>
        <w:kern w:val="14"/>
        <w:sz w:val="56"/>
      </w:rPr>
      <w:t></w:t>
    </w:r>
    <w:r w:rsidRPr="00E228F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30" w:rsidRPr="001075E9" w:rsidRDefault="00AC28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2830" w:rsidRDefault="00AC28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228F8" w:rsidRPr="00EF3FC8" w:rsidRDefault="00E228F8" w:rsidP="00E228F8">
      <w:pPr>
        <w:pStyle w:val="FootnoteText"/>
      </w:pPr>
      <w:r w:rsidRPr="00EF3FC8">
        <w:tab/>
      </w:r>
      <w:r w:rsidRPr="00E228F8">
        <w:rPr>
          <w:rStyle w:val="FootnoteReference"/>
          <w:sz w:val="20"/>
          <w:vertAlign w:val="baseline"/>
        </w:rPr>
        <w:t>*</w:t>
      </w:r>
      <w:r w:rsidRPr="00EF3FC8">
        <w:rPr>
          <w:sz w:val="20"/>
        </w:rPr>
        <w:tab/>
      </w:r>
      <w:r w:rsidRPr="00EF3FC8">
        <w:rPr>
          <w:szCs w:val="18"/>
        </w:rPr>
        <w:t xml:space="preserve">В соответствии с программой работы Комитета по внутреннему транспорту </w:t>
      </w:r>
      <w:r>
        <w:rPr>
          <w:szCs w:val="18"/>
        </w:rPr>
        <w:br/>
      </w:r>
      <w:r w:rsidRPr="00EF3FC8">
        <w:rPr>
          <w:szCs w:val="18"/>
        </w:rPr>
        <w:t xml:space="preserve">на </w:t>
      </w:r>
      <w:r w:rsidRPr="009D5C75">
        <w:rPr>
          <w:szCs w:val="18"/>
        </w:rPr>
        <w:t xml:space="preserve">2018–2019 </w:t>
      </w:r>
      <w:r w:rsidRPr="00EF3FC8">
        <w:rPr>
          <w:szCs w:val="18"/>
        </w:rPr>
        <w:t>годы (</w:t>
      </w:r>
      <w:r w:rsidRPr="00EF3FC8">
        <w:rPr>
          <w:szCs w:val="18"/>
          <w:lang w:val="en-US"/>
        </w:rPr>
        <w:t>ECE</w:t>
      </w:r>
      <w:r w:rsidRPr="00EF3FC8">
        <w:rPr>
          <w:szCs w:val="18"/>
        </w:rPr>
        <w:t>/</w:t>
      </w:r>
      <w:r w:rsidRPr="00EF3FC8">
        <w:rPr>
          <w:szCs w:val="18"/>
          <w:lang w:val="en-US"/>
        </w:rPr>
        <w:t>TRANS</w:t>
      </w:r>
      <w:r w:rsidRPr="00EF3FC8">
        <w:rPr>
          <w:szCs w:val="18"/>
        </w:rPr>
        <w:t>/</w:t>
      </w:r>
      <w:r w:rsidRPr="009D5C75">
        <w:rPr>
          <w:szCs w:val="18"/>
        </w:rPr>
        <w:t>274</w:t>
      </w:r>
      <w:r w:rsidRPr="00EF3FC8">
        <w:rPr>
          <w:szCs w:val="18"/>
        </w:rPr>
        <w:t>, пункт 1</w:t>
      </w:r>
      <w:r>
        <w:rPr>
          <w:szCs w:val="18"/>
        </w:rPr>
        <w:t>23</w:t>
      </w:r>
      <w:r w:rsidRPr="00EF3FC8">
        <w:rPr>
          <w:szCs w:val="18"/>
        </w:rPr>
        <w:t xml:space="preserve">, и </w:t>
      </w:r>
      <w:r w:rsidRPr="00EF3FC8">
        <w:rPr>
          <w:szCs w:val="18"/>
          <w:lang w:val="en-US"/>
        </w:rPr>
        <w:t>ECE</w:t>
      </w:r>
      <w:r w:rsidRPr="00EF3FC8">
        <w:rPr>
          <w:szCs w:val="18"/>
        </w:rPr>
        <w:t>/</w:t>
      </w:r>
      <w:r w:rsidRPr="00EF3FC8">
        <w:rPr>
          <w:szCs w:val="18"/>
          <w:lang w:val="en-US"/>
        </w:rPr>
        <w:t>TRANS</w:t>
      </w:r>
      <w:r w:rsidRPr="00EF3FC8">
        <w:rPr>
          <w:szCs w:val="18"/>
        </w:rPr>
        <w:t>/</w:t>
      </w:r>
      <w:r w:rsidRPr="009D5C75">
        <w:rPr>
          <w:szCs w:val="18"/>
        </w:rPr>
        <w:t>2018/21/</w:t>
      </w:r>
      <w:r w:rsidRPr="00626F57">
        <w:rPr>
          <w:szCs w:val="18"/>
          <w:lang w:val="en-US"/>
        </w:rPr>
        <w:t>Add</w:t>
      </w:r>
      <w:r w:rsidRPr="009D5C75">
        <w:rPr>
          <w:szCs w:val="18"/>
        </w:rPr>
        <w:t>.1</w:t>
      </w:r>
      <w:r w:rsidRPr="00EF3FC8">
        <w:rPr>
          <w:szCs w:val="18"/>
        </w:rPr>
        <w:t xml:space="preserve">, </w:t>
      </w:r>
      <w:r>
        <w:rPr>
          <w:szCs w:val="18"/>
        </w:rPr>
        <w:br/>
      </w:r>
      <w:r w:rsidRPr="00EF3FC8">
        <w:rPr>
          <w:szCs w:val="18"/>
        </w:rPr>
        <w:t xml:space="preserve">направление работы </w:t>
      </w:r>
      <w:r>
        <w:rPr>
          <w:szCs w:val="18"/>
        </w:rPr>
        <w:t>3.1</w:t>
      </w:r>
      <w:r w:rsidRPr="00EF3FC8">
        <w:rPr>
          <w:szCs w:val="18"/>
        </w:rPr>
        <w:t xml:space="preserve">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EF3FC8">
        <w:t>Настоящий документ представлен в соответствии с этим мандатом</w:t>
      </w:r>
      <w:r w:rsidRPr="00EF3FC8">
        <w:rPr>
          <w:szCs w:val="18"/>
        </w:rPr>
        <w:t>.</w:t>
      </w:r>
    </w:p>
  </w:footnote>
  <w:footnote w:id="2">
    <w:p w:rsidR="00E228F8" w:rsidRPr="00045DB7" w:rsidRDefault="00E228F8" w:rsidP="00E228F8">
      <w:pPr>
        <w:pStyle w:val="FootnoteText"/>
      </w:pPr>
      <w:r>
        <w:tab/>
      </w:r>
      <w:r w:rsidRPr="00D966F0">
        <w:rPr>
          <w:rStyle w:val="FootnoteReference"/>
        </w:rPr>
        <w:t>1</w:t>
      </w:r>
      <w:r>
        <w:tab/>
        <w:t xml:space="preserve">Второй </w:t>
      </w:r>
      <w:r w:rsidRPr="00D966F0">
        <w:t>номер приведен лишь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F8" w:rsidRPr="00E228F8" w:rsidRDefault="00CB6F6B">
    <w:pPr>
      <w:pStyle w:val="Header"/>
    </w:pPr>
    <w:fldSimple w:instr=" TITLE  \* MERGEFORMAT ">
      <w:r w:rsidR="00342BC0">
        <w:t>ECE/TRANS/WP.29/GRE/2018/50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8F8" w:rsidRPr="00E228F8" w:rsidRDefault="00CB6F6B" w:rsidP="00E228F8">
    <w:pPr>
      <w:pStyle w:val="Header"/>
      <w:jc w:val="right"/>
    </w:pPr>
    <w:fldSimple w:instr=" TITLE  \* MERGEFORMAT ">
      <w:r w:rsidR="00342BC0">
        <w:t>ECE/TRANS/WP.29/GRE/2018/50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30"/>
    <w:rsid w:val="00021E6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AE7"/>
    <w:rsid w:val="00307FB6"/>
    <w:rsid w:val="00314C35"/>
    <w:rsid w:val="00317339"/>
    <w:rsid w:val="00322004"/>
    <w:rsid w:val="003402C2"/>
    <w:rsid w:val="00342BC0"/>
    <w:rsid w:val="00374DE9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392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05AE"/>
    <w:rsid w:val="00A917B3"/>
    <w:rsid w:val="00AB4B51"/>
    <w:rsid w:val="00AC2830"/>
    <w:rsid w:val="00B10CC7"/>
    <w:rsid w:val="00B36DF7"/>
    <w:rsid w:val="00B539E7"/>
    <w:rsid w:val="00B62458"/>
    <w:rsid w:val="00BC18B2"/>
    <w:rsid w:val="00BD33EE"/>
    <w:rsid w:val="00BE1CC7"/>
    <w:rsid w:val="00C013F1"/>
    <w:rsid w:val="00C106D6"/>
    <w:rsid w:val="00C119AE"/>
    <w:rsid w:val="00C60F0C"/>
    <w:rsid w:val="00C805C9"/>
    <w:rsid w:val="00C92939"/>
    <w:rsid w:val="00CA1679"/>
    <w:rsid w:val="00CB151C"/>
    <w:rsid w:val="00CB6F6B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28F8"/>
    <w:rsid w:val="00E73F76"/>
    <w:rsid w:val="00EA2C9F"/>
    <w:rsid w:val="00EA420E"/>
    <w:rsid w:val="00ED0BDA"/>
    <w:rsid w:val="00EE142A"/>
    <w:rsid w:val="00EE2880"/>
    <w:rsid w:val="00EF1360"/>
    <w:rsid w:val="00EF3220"/>
    <w:rsid w:val="00F2523A"/>
    <w:rsid w:val="00F43903"/>
    <w:rsid w:val="00F94155"/>
    <w:rsid w:val="00F9783F"/>
    <w:rsid w:val="00FD2EF7"/>
    <w:rsid w:val="00FE447E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35F616-1396-49C4-948E-6E3BC72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E228F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E228F8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228F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BlockText">
    <w:name w:val="Block Text"/>
    <w:basedOn w:val="Normal"/>
    <w:semiHidden/>
    <w:rsid w:val="00E228F8"/>
    <w:pPr>
      <w:ind w:left="1440" w:right="1440"/>
    </w:pPr>
    <w:rPr>
      <w:rFonts w:eastAsia="MS Mincho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E228F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E228F8"/>
    <w:rPr>
      <w:rFonts w:eastAsia="MS Mincho"/>
      <w:b/>
      <w:sz w:val="28"/>
      <w:lang w:val="en-GB" w:eastAsia="en-US"/>
    </w:rPr>
  </w:style>
  <w:style w:type="character" w:customStyle="1" w:styleId="H1GChar">
    <w:name w:val="_ H_1_G Char"/>
    <w:link w:val="H1G"/>
    <w:uiPriority w:val="99"/>
    <w:rsid w:val="00E228F8"/>
    <w:rPr>
      <w:rFonts w:eastAsia="MS Mincho"/>
      <w:b/>
      <w:sz w:val="24"/>
      <w:lang w:val="en-GB" w:eastAsia="en-US"/>
    </w:rPr>
  </w:style>
  <w:style w:type="paragraph" w:customStyle="1" w:styleId="endnotetable">
    <w:name w:val="endnote table"/>
    <w:basedOn w:val="Normal"/>
    <w:link w:val="endnotetableChar"/>
    <w:rsid w:val="00E228F8"/>
    <w:pPr>
      <w:spacing w:line="220" w:lineRule="exact"/>
      <w:ind w:left="1134" w:right="1134" w:firstLine="170"/>
    </w:pPr>
    <w:rPr>
      <w:rFonts w:eastAsia="MS Mincho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228F8"/>
    <w:rPr>
      <w:rFonts w:eastAsia="MS Mincho"/>
      <w:sz w:val="18"/>
      <w:szCs w:val="18"/>
      <w:lang w:val="en-GB" w:eastAsia="en-US"/>
    </w:rPr>
  </w:style>
  <w:style w:type="character" w:customStyle="1" w:styleId="SingleTxtGR0">
    <w:name w:val="_ Single Txt_GR Знак"/>
    <w:link w:val="SingleTxtGR"/>
    <w:rsid w:val="00E228F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ECE/TRANS/WP.29/GRE/2018/50</vt:lpstr>
      <vt:lpstr>ECE/TRANS/WP.29/GRE/2018/50</vt:lpstr>
      <vt:lpstr>A/</vt:lpstr>
    </vt:vector>
  </TitlesOfParts>
  <Company>DCM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ECE/TRANS/WP.29/GRE/2018/50</dc:title>
  <dc:subject/>
  <dc:creator>Elena IZOTOVA</dc:creator>
  <cp:keywords/>
  <cp:lastModifiedBy>Benedicte Boudol</cp:lastModifiedBy>
  <cp:revision>2</cp:revision>
  <cp:lastPrinted>2018-08-15T09:51:00Z</cp:lastPrinted>
  <dcterms:created xsi:type="dcterms:W3CDTF">2018-09-11T07:37:00Z</dcterms:created>
  <dcterms:modified xsi:type="dcterms:W3CDTF">2018-09-11T07:37:00Z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