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42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42EE" w:rsidP="00FB42EE">
            <w:pPr>
              <w:jc w:val="right"/>
            </w:pPr>
            <w:r w:rsidRPr="00FB42EE">
              <w:rPr>
                <w:sz w:val="40"/>
              </w:rPr>
              <w:t>ECE</w:t>
            </w:r>
            <w:r>
              <w:t>/TRANS/WP.29/GRE/2018/45</w:t>
            </w:r>
          </w:p>
        </w:tc>
      </w:tr>
      <w:tr w:rsidR="002D5AAC" w:rsidRPr="00A520E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42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42EE" w:rsidRDefault="00FB42EE" w:rsidP="00FB42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FB42EE" w:rsidRDefault="00FB42EE" w:rsidP="00FB42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42EE" w:rsidRPr="008D53B6" w:rsidRDefault="00FB42EE" w:rsidP="00FB42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42EE" w:rsidRPr="00FC7DE8" w:rsidRDefault="00FB42EE" w:rsidP="00FB42EE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C7DE8">
        <w:rPr>
          <w:sz w:val="28"/>
          <w:szCs w:val="28"/>
        </w:rPr>
        <w:t>Комитет по внутреннему транспорту</w:t>
      </w:r>
    </w:p>
    <w:p w:rsidR="00FB42EE" w:rsidRPr="00FC7DE8" w:rsidRDefault="00FB42EE" w:rsidP="00FB42EE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FC7DE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C7DE8">
        <w:rPr>
          <w:b/>
          <w:bCs/>
          <w:sz w:val="24"/>
          <w:szCs w:val="24"/>
        </w:rPr>
        <w:br/>
        <w:t>в области транспортных средств</w:t>
      </w:r>
    </w:p>
    <w:p w:rsidR="00FB42EE" w:rsidRPr="00FC7DE8" w:rsidRDefault="00FB42EE" w:rsidP="00FB42EE">
      <w:pPr>
        <w:spacing w:before="120" w:after="120"/>
        <w:rPr>
          <w:b/>
          <w:bCs/>
        </w:rPr>
      </w:pPr>
      <w:r w:rsidRPr="00FC7DE8">
        <w:rPr>
          <w:b/>
          <w:bCs/>
        </w:rPr>
        <w:t xml:space="preserve">Рабочая группа по вопросам освещения </w:t>
      </w:r>
      <w:r w:rsidRPr="00FC7DE8">
        <w:rPr>
          <w:b/>
          <w:bCs/>
        </w:rPr>
        <w:br/>
        <w:t>и световой сигнализации</w:t>
      </w:r>
    </w:p>
    <w:p w:rsidR="00FB42EE" w:rsidRPr="00FC7DE8" w:rsidRDefault="00FB42EE" w:rsidP="00FB42EE">
      <w:pPr>
        <w:rPr>
          <w:b/>
        </w:rPr>
      </w:pPr>
      <w:r w:rsidRPr="00FC7DE8">
        <w:rPr>
          <w:b/>
        </w:rPr>
        <w:t xml:space="preserve">Восьмидесятая </w:t>
      </w:r>
      <w:r w:rsidRPr="00FC7DE8">
        <w:rPr>
          <w:b/>
          <w:bCs/>
        </w:rPr>
        <w:t>сессия</w:t>
      </w:r>
    </w:p>
    <w:p w:rsidR="00FB42EE" w:rsidRPr="00FC7DE8" w:rsidRDefault="00FB42EE" w:rsidP="00FB42EE">
      <w:pPr>
        <w:rPr>
          <w:bCs/>
        </w:rPr>
      </w:pPr>
      <w:r w:rsidRPr="00FC7DE8">
        <w:t>Женева</w:t>
      </w:r>
      <w:r w:rsidRPr="00FC7DE8">
        <w:rPr>
          <w:bCs/>
        </w:rPr>
        <w:t>, 23</w:t>
      </w:r>
      <w:r w:rsidRPr="00FC7DE8">
        <w:t>–</w:t>
      </w:r>
      <w:r w:rsidRPr="00FC7DE8">
        <w:rPr>
          <w:bCs/>
        </w:rPr>
        <w:t xml:space="preserve">26 октября 2018 </w:t>
      </w:r>
      <w:r w:rsidRPr="00FC7DE8">
        <w:t>года</w:t>
      </w:r>
    </w:p>
    <w:p w:rsidR="00FB42EE" w:rsidRPr="00FC7DE8" w:rsidRDefault="00FB42EE" w:rsidP="00FB42EE">
      <w:pPr>
        <w:ind w:right="1134"/>
        <w:rPr>
          <w:b/>
          <w:bCs/>
        </w:rPr>
      </w:pPr>
      <w:r w:rsidRPr="00FC7DE8">
        <w:t xml:space="preserve">Пункт </w:t>
      </w:r>
      <w:r w:rsidRPr="00FC7DE8">
        <w:rPr>
          <w:bCs/>
        </w:rPr>
        <w:t xml:space="preserve">7 b) </w:t>
      </w:r>
      <w:r w:rsidRPr="00FC7DE8">
        <w:t>предварительной повестки дня</w:t>
      </w:r>
      <w:r w:rsidRPr="00FC7DE8">
        <w:rPr>
          <w:bCs/>
        </w:rPr>
        <w:br/>
      </w:r>
      <w:r w:rsidRPr="00FC7DE8">
        <w:rPr>
          <w:b/>
        </w:rPr>
        <w:t>Другие правила ООН</w:t>
      </w:r>
      <w:r w:rsidRPr="00FC7DE8">
        <w:rPr>
          <w:b/>
          <w:bCs/>
        </w:rPr>
        <w:t>:</w:t>
      </w:r>
    </w:p>
    <w:p w:rsidR="00FB42EE" w:rsidRPr="00FC7DE8" w:rsidRDefault="00FB42EE" w:rsidP="00FB42EE">
      <w:pPr>
        <w:ind w:right="1134"/>
        <w:rPr>
          <w:b/>
          <w:bCs/>
        </w:rPr>
      </w:pPr>
      <w:r w:rsidRPr="00FC7DE8">
        <w:rPr>
          <w:b/>
        </w:rPr>
        <w:t xml:space="preserve">Правила № 53 ООН (установка устройств освещения </w:t>
      </w:r>
      <w:r w:rsidR="00A520E4">
        <w:rPr>
          <w:b/>
        </w:rPr>
        <w:br/>
      </w:r>
      <w:r w:rsidRPr="00FC7DE8">
        <w:rPr>
          <w:b/>
        </w:rPr>
        <w:t xml:space="preserve">и световой сигнализации для транспортных средств </w:t>
      </w:r>
      <w:r w:rsidR="00A520E4">
        <w:rPr>
          <w:b/>
        </w:rPr>
        <w:br/>
      </w:r>
      <w:r w:rsidRPr="00FC7DE8">
        <w:rPr>
          <w:b/>
        </w:rPr>
        <w:t>категории</w:t>
      </w:r>
      <w:r w:rsidRPr="00FC7DE8">
        <w:rPr>
          <w:b/>
          <w:bCs/>
        </w:rPr>
        <w:t xml:space="preserve"> L</w:t>
      </w:r>
      <w:r w:rsidRPr="00FC7DE8">
        <w:rPr>
          <w:b/>
          <w:bCs/>
          <w:vertAlign w:val="subscript"/>
        </w:rPr>
        <w:t>3</w:t>
      </w:r>
      <w:r w:rsidRPr="00FC7DE8">
        <w:rPr>
          <w:b/>
          <w:bCs/>
        </w:rPr>
        <w:t>)</w:t>
      </w:r>
    </w:p>
    <w:p w:rsidR="00FB42EE" w:rsidRPr="00FC7DE8" w:rsidRDefault="00FB42EE" w:rsidP="00FB42EE">
      <w:pPr>
        <w:pStyle w:val="HChG"/>
        <w:tabs>
          <w:tab w:val="clear" w:pos="851"/>
        </w:tabs>
        <w:ind w:firstLine="0"/>
        <w:rPr>
          <w:lang w:val="ru-RU"/>
        </w:rPr>
      </w:pPr>
      <w:r w:rsidRPr="00FC7DE8">
        <w:rPr>
          <w:lang w:val="ru-RU"/>
        </w:rPr>
        <w:t>Предложение по ново</w:t>
      </w:r>
      <w:r w:rsidR="00A520E4">
        <w:rPr>
          <w:lang w:val="ru-RU"/>
        </w:rPr>
        <w:t>му дополнению к поправкам серии </w:t>
      </w:r>
      <w:r w:rsidRPr="00FC7DE8">
        <w:rPr>
          <w:lang w:val="ru-RU"/>
        </w:rPr>
        <w:t>01 и к поправкам серии 02 к</w:t>
      </w:r>
      <w:r w:rsidRPr="00FC7DE8">
        <w:rPr>
          <w:lang w:val="en-US"/>
        </w:rPr>
        <w:t> </w:t>
      </w:r>
      <w:r w:rsidRPr="00FC7DE8">
        <w:rPr>
          <w:lang w:val="ru-RU"/>
        </w:rPr>
        <w:t xml:space="preserve">Правилам № 53 ООН </w:t>
      </w:r>
      <w:r w:rsidRPr="00FC7DE8">
        <w:rPr>
          <w:szCs w:val="28"/>
          <w:lang w:val="ru-RU"/>
        </w:rPr>
        <w:t>(</w:t>
      </w:r>
      <w:r w:rsidRPr="00FC7DE8">
        <w:rPr>
          <w:lang w:val="ru-RU"/>
        </w:rPr>
        <w:t>установка устройств освещения и световой сигнализации для транспортных средств категории</w:t>
      </w:r>
      <w:r w:rsidRPr="00FC7DE8">
        <w:rPr>
          <w:szCs w:val="28"/>
          <w:lang w:val="ru-RU"/>
        </w:rPr>
        <w:t xml:space="preserve"> </w:t>
      </w:r>
      <w:r w:rsidRPr="00FC7DE8">
        <w:rPr>
          <w:szCs w:val="28"/>
        </w:rPr>
        <w:t>L</w:t>
      </w:r>
      <w:r w:rsidRPr="00FC7DE8">
        <w:rPr>
          <w:szCs w:val="28"/>
          <w:vertAlign w:val="subscript"/>
          <w:lang w:val="ru-RU"/>
        </w:rPr>
        <w:t>3</w:t>
      </w:r>
      <w:r w:rsidRPr="00FC7DE8">
        <w:rPr>
          <w:szCs w:val="28"/>
          <w:lang w:val="ru-RU"/>
        </w:rPr>
        <w:t>)</w:t>
      </w:r>
    </w:p>
    <w:p w:rsidR="00FB42EE" w:rsidRPr="00FC7DE8" w:rsidRDefault="00FB42EE" w:rsidP="00FB42EE">
      <w:pPr>
        <w:pStyle w:val="H1G"/>
        <w:ind w:firstLine="0"/>
        <w:rPr>
          <w:lang w:val="ru-RU"/>
        </w:rPr>
      </w:pPr>
      <w:r w:rsidRPr="00FC7DE8">
        <w:rPr>
          <w:lang w:val="ru-RU"/>
        </w:rPr>
        <w:t xml:space="preserve">Представлено экспертом от Международной ассоциации </w:t>
      </w:r>
      <w:r>
        <w:rPr>
          <w:lang w:val="ru-RU"/>
        </w:rPr>
        <w:br/>
      </w:r>
      <w:r w:rsidRPr="00FC7DE8">
        <w:rPr>
          <w:lang w:val="ru-RU"/>
        </w:rPr>
        <w:t>заводов-изготовителей мотоциклов (МАЗМ)</w:t>
      </w:r>
      <w:r w:rsidRPr="00FB42EE">
        <w:rPr>
          <w:b w:val="0"/>
          <w:sz w:val="20"/>
          <w:lang w:val="ru-RU"/>
        </w:rPr>
        <w:footnoteReference w:customMarkFollows="1" w:id="1"/>
        <w:t>*</w:t>
      </w:r>
    </w:p>
    <w:p w:rsidR="00FB42EE" w:rsidRPr="00FC7DE8" w:rsidRDefault="00FB42EE" w:rsidP="00FB42EE">
      <w:pPr>
        <w:tabs>
          <w:tab w:val="left" w:pos="8505"/>
        </w:tabs>
        <w:spacing w:after="120"/>
        <w:ind w:left="1134" w:right="1134" w:firstLine="567"/>
        <w:jc w:val="both"/>
      </w:pPr>
      <w:r w:rsidRPr="00FC7DE8">
        <w:t xml:space="preserve">Воспроизведенный ниже текст был подготовлен экспертом от МАЗМ с целью уточнить применение указателей поворота для обозначения состояния устройства защиты транспортного средства от несанкционированного использования. Изменения к </w:t>
      </w:r>
      <w:r w:rsidRPr="00FC7DE8">
        <w:rPr>
          <w:sz w:val="21"/>
          <w:szCs w:val="21"/>
          <w:shd w:val="clear" w:color="auto" w:fill="FFFFFF"/>
        </w:rPr>
        <w:t xml:space="preserve">существующему </w:t>
      </w:r>
      <w:r w:rsidRPr="00FC7DE8">
        <w:t>тексту Правил № 53 ООН выделены жирным шрифтом</w:t>
      </w:r>
      <w:r w:rsidRPr="00FC7DE8">
        <w:rPr>
          <w:shd w:val="clear" w:color="auto" w:fill="FFFFFF"/>
        </w:rPr>
        <w:t xml:space="preserve"> случае новых положений или зачеркиванием в случае исключенных элементов.</w:t>
      </w:r>
    </w:p>
    <w:p w:rsidR="00FB42EE" w:rsidRPr="002B6A46" w:rsidRDefault="00FB42EE" w:rsidP="00FB42EE">
      <w:pPr>
        <w:pStyle w:val="HChG"/>
        <w:rPr>
          <w:lang w:val="ru-RU"/>
        </w:rPr>
      </w:pPr>
      <w:r w:rsidRPr="002B6A46">
        <w:rPr>
          <w:lang w:val="ru-RU"/>
        </w:rPr>
        <w:tab/>
      </w:r>
      <w:r w:rsidRPr="002B6A46">
        <w:rPr>
          <w:lang w:val="ru-RU"/>
        </w:rPr>
        <w:br w:type="page"/>
      </w:r>
    </w:p>
    <w:p w:rsidR="00FB42EE" w:rsidRPr="00FC7DE8" w:rsidRDefault="00FB42EE" w:rsidP="00FB42EE">
      <w:pPr>
        <w:pStyle w:val="HChG"/>
        <w:ind w:left="357" w:firstLine="0"/>
        <w:rPr>
          <w:lang w:val="ru-RU"/>
        </w:rPr>
      </w:pPr>
      <w:r w:rsidRPr="002B6A46">
        <w:rPr>
          <w:lang w:val="ru-RU"/>
        </w:rPr>
        <w:lastRenderedPageBreak/>
        <w:tab/>
      </w:r>
      <w:r w:rsidRPr="00FC7DE8">
        <w:t>I</w:t>
      </w:r>
      <w:r w:rsidRPr="00FC7DE8">
        <w:rPr>
          <w:lang w:val="ru-RU"/>
        </w:rPr>
        <w:t>.</w:t>
      </w:r>
      <w:r w:rsidRPr="00FC7DE8">
        <w:rPr>
          <w:lang w:val="ru-RU"/>
        </w:rPr>
        <w:tab/>
      </w:r>
      <w:r w:rsidRPr="00FC7DE8">
        <w:rPr>
          <w:rFonts w:eastAsia="Times New Roman"/>
          <w:lang w:val="ru-RU"/>
        </w:rPr>
        <w:t>Предложение</w:t>
      </w:r>
    </w:p>
    <w:p w:rsidR="00FB42EE" w:rsidRPr="00FC7DE8" w:rsidRDefault="00FB42EE" w:rsidP="00FB42EE">
      <w:pPr>
        <w:spacing w:after="120"/>
        <w:ind w:left="567" w:right="1134" w:firstLine="567"/>
        <w:jc w:val="both"/>
        <w:rPr>
          <w:i/>
          <w:iCs/>
        </w:rPr>
      </w:pPr>
      <w:r w:rsidRPr="00FC7DE8">
        <w:rPr>
          <w:i/>
        </w:rPr>
        <w:t xml:space="preserve">Пункт </w:t>
      </w:r>
      <w:r w:rsidRPr="00FC7DE8">
        <w:rPr>
          <w:i/>
          <w:iCs/>
        </w:rPr>
        <w:t>6.3.6</w:t>
      </w:r>
      <w:r w:rsidRPr="00FC7DE8">
        <w:rPr>
          <w:iCs/>
        </w:rPr>
        <w:t xml:space="preserve"> </w:t>
      </w:r>
      <w:r w:rsidRPr="00FC7DE8">
        <w:t>изменить следующим образом</w:t>
      </w:r>
      <w:r w:rsidRPr="00FC7DE8">
        <w:rPr>
          <w:iCs/>
        </w:rPr>
        <w:t>:</w:t>
      </w:r>
    </w:p>
    <w:p w:rsidR="00FB42EE" w:rsidRPr="00FC7DE8" w:rsidRDefault="00FB42EE" w:rsidP="00FB42EE">
      <w:pPr>
        <w:pStyle w:val="NormalWeb"/>
        <w:spacing w:after="120"/>
        <w:ind w:leftChars="567" w:left="1134" w:right="113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Pr="00FC7DE8">
        <w:rPr>
          <w:sz w:val="20"/>
          <w:szCs w:val="20"/>
          <w:lang w:val="ru-RU"/>
        </w:rPr>
        <w:t>6.3.6</w:t>
      </w:r>
      <w:r w:rsidRPr="00FC7DE8">
        <w:rPr>
          <w:sz w:val="20"/>
          <w:szCs w:val="20"/>
          <w:lang w:val="ru-RU"/>
        </w:rPr>
        <w:tab/>
      </w:r>
      <w:r w:rsidRPr="00FC7DE8">
        <w:rPr>
          <w:sz w:val="20"/>
          <w:szCs w:val="20"/>
          <w:lang w:val="ru-RU"/>
        </w:rPr>
        <w:tab/>
        <w:t>Схема электрических соединений</w:t>
      </w:r>
    </w:p>
    <w:p w:rsidR="00FB42EE" w:rsidRPr="00FC7DE8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sz w:val="20"/>
          <w:szCs w:val="20"/>
          <w:lang w:val="ru-RU"/>
        </w:rPr>
      </w:pPr>
      <w:r w:rsidRPr="00FC7DE8">
        <w:rPr>
          <w:b/>
          <w:sz w:val="20"/>
          <w:szCs w:val="20"/>
          <w:lang w:val="ru-RU"/>
        </w:rPr>
        <w:t>6.3.6.1</w:t>
      </w:r>
      <w:r w:rsidRPr="00FC7DE8">
        <w:rPr>
          <w:b/>
          <w:sz w:val="20"/>
          <w:szCs w:val="20"/>
          <w:lang w:val="ru-RU" w:eastAsia="ja-JP"/>
        </w:rPr>
        <w:tab/>
      </w:r>
      <w:r w:rsidRPr="00FC7DE8">
        <w:rPr>
          <w:b/>
          <w:sz w:val="20"/>
          <w:szCs w:val="20"/>
          <w:lang w:val="ru-RU"/>
        </w:rPr>
        <w:tab/>
      </w:r>
      <w:r w:rsidRPr="00FC7DE8">
        <w:rPr>
          <w:sz w:val="20"/>
          <w:szCs w:val="20"/>
          <w:lang w:val="ru-RU"/>
        </w:rPr>
        <w:t>Указатели поворота должны включаться независимо от включения других огней. Все указатели поворота, находящиеся с одной стороны транспортного средства, должны включаться и отключаться при помощи одного органа управления.</w:t>
      </w:r>
    </w:p>
    <w:p w:rsidR="00FB42EE" w:rsidRPr="00FC7DE8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z w:val="20"/>
          <w:szCs w:val="20"/>
          <w:lang w:val="ru-RU"/>
        </w:rPr>
      </w:pPr>
      <w:r w:rsidRPr="00FC7DE8">
        <w:rPr>
          <w:b/>
          <w:sz w:val="20"/>
          <w:szCs w:val="20"/>
          <w:lang w:val="ru-RU"/>
        </w:rPr>
        <w:t>6.3.6.2</w:t>
      </w:r>
      <w:r w:rsidRPr="00FC7DE8">
        <w:rPr>
          <w:b/>
          <w:sz w:val="20"/>
          <w:szCs w:val="20"/>
          <w:lang w:val="ru-RU"/>
        </w:rPr>
        <w:tab/>
        <w:t>Указатели поворота могут включаться для обозначения состояния устройства защиты транспортного средства от несанкционированного использования.</w:t>
      </w:r>
    </w:p>
    <w:p w:rsidR="00FB42EE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z w:val="20"/>
          <w:szCs w:val="20"/>
          <w:lang w:val="ru-RU"/>
        </w:rPr>
      </w:pPr>
      <w:r w:rsidRPr="00FC7DE8">
        <w:rPr>
          <w:b/>
          <w:sz w:val="20"/>
          <w:szCs w:val="20"/>
          <w:lang w:val="ru-RU"/>
        </w:rPr>
        <w:t>6.3.6.3</w:t>
      </w:r>
      <w:r w:rsidRPr="00FC7DE8">
        <w:rPr>
          <w:b/>
          <w:sz w:val="20"/>
          <w:szCs w:val="20"/>
          <w:lang w:val="ru-RU"/>
        </w:rPr>
        <w:tab/>
        <w:t>Указанный в пункте 6.3.6.2 сигнал подается посредством одновременного включения указателей поворота, и он должен соответствовать следующим требованиям:</w:t>
      </w:r>
    </w:p>
    <w:p w:rsidR="00A520E4" w:rsidRPr="00A520E4" w:rsidRDefault="00A520E4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pacing w:val="-2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 w:rsidRPr="00A520E4">
        <w:rPr>
          <w:b/>
          <w:spacing w:val="-2"/>
          <w:sz w:val="20"/>
          <w:szCs w:val="20"/>
          <w:lang w:val="ru-RU"/>
        </w:rPr>
        <w:t>при одиночном сигнале обозначения состояния:   максимум 3 секунды</w:t>
      </w:r>
    </w:p>
    <w:p w:rsidR="00FB42EE" w:rsidRPr="00FC7DE8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z w:val="20"/>
          <w:szCs w:val="20"/>
          <w:lang w:val="ru-RU"/>
        </w:rPr>
      </w:pPr>
      <w:r w:rsidRPr="00FC7DE8">
        <w:rPr>
          <w:b/>
          <w:sz w:val="20"/>
          <w:szCs w:val="20"/>
          <w:lang w:val="ru-RU"/>
        </w:rPr>
        <w:tab/>
        <w:t>при непрерывном сигнале обозначения состояния:</w:t>
      </w:r>
    </w:p>
    <w:p w:rsidR="00FB42EE" w:rsidRPr="00FC7DE8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z w:val="20"/>
          <w:szCs w:val="20"/>
          <w:lang w:val="ru-RU"/>
        </w:rPr>
      </w:pPr>
      <w:r w:rsidRPr="002B6A46">
        <w:rPr>
          <w:b/>
          <w:sz w:val="20"/>
          <w:szCs w:val="20"/>
          <w:lang w:val="ru-RU"/>
        </w:rPr>
        <w:tab/>
      </w:r>
      <w:r w:rsidRPr="002B6A46">
        <w:rPr>
          <w:b/>
          <w:sz w:val="20"/>
          <w:szCs w:val="20"/>
          <w:lang w:val="ru-RU"/>
        </w:rPr>
        <w:tab/>
      </w:r>
      <w:r w:rsidRPr="002B6A46">
        <w:rPr>
          <w:b/>
          <w:sz w:val="20"/>
          <w:szCs w:val="20"/>
          <w:lang w:val="ru-RU"/>
        </w:rPr>
        <w:tab/>
      </w:r>
      <w:r w:rsidRPr="00FC7DE8">
        <w:rPr>
          <w:b/>
          <w:sz w:val="20"/>
          <w:szCs w:val="20"/>
          <w:lang w:val="ru-RU"/>
        </w:rPr>
        <w:t>продолжительность:</w:t>
      </w:r>
      <w:r w:rsidRPr="00FC7DE8">
        <w:rPr>
          <w:b/>
          <w:sz w:val="20"/>
          <w:szCs w:val="20"/>
          <w:lang w:val="ru-RU"/>
        </w:rPr>
        <w:tab/>
        <w:t xml:space="preserve">максимум 5 минут </w:t>
      </w:r>
    </w:p>
    <w:p w:rsidR="00FB42EE" w:rsidRPr="002B6A46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z w:val="20"/>
          <w:szCs w:val="20"/>
          <w:lang w:val="ru-RU"/>
        </w:rPr>
      </w:pPr>
      <w:r w:rsidRPr="00FC7DE8">
        <w:rPr>
          <w:b/>
          <w:sz w:val="20"/>
          <w:szCs w:val="20"/>
          <w:lang w:val="ru-RU"/>
        </w:rPr>
        <w:tab/>
      </w:r>
      <w:r w:rsidRPr="00FC7DE8">
        <w:rPr>
          <w:b/>
          <w:sz w:val="20"/>
          <w:szCs w:val="20"/>
          <w:lang w:val="ru-RU"/>
        </w:rPr>
        <w:tab/>
      </w:r>
      <w:r w:rsidRPr="00FC7DE8">
        <w:rPr>
          <w:b/>
          <w:sz w:val="20"/>
          <w:szCs w:val="20"/>
          <w:lang w:val="ru-RU"/>
        </w:rPr>
        <w:tab/>
        <w:t>частота</w:t>
      </w:r>
      <w:r w:rsidRPr="002B6A46">
        <w:rPr>
          <w:b/>
          <w:sz w:val="20"/>
          <w:szCs w:val="20"/>
          <w:lang w:val="ru-RU"/>
        </w:rPr>
        <w:t>:</w:t>
      </w:r>
      <w:r w:rsidRPr="002B6A46">
        <w:rPr>
          <w:b/>
          <w:sz w:val="20"/>
          <w:szCs w:val="20"/>
          <w:lang w:val="ru-RU"/>
        </w:rPr>
        <w:tab/>
      </w:r>
      <w:r w:rsidRPr="002B6A46">
        <w:rPr>
          <w:b/>
          <w:sz w:val="20"/>
          <w:szCs w:val="20"/>
          <w:lang w:val="ru-RU"/>
        </w:rPr>
        <w:tab/>
      </w:r>
      <w:r w:rsidRPr="002B6A46">
        <w:rPr>
          <w:b/>
          <w:sz w:val="20"/>
          <w:szCs w:val="20"/>
          <w:lang w:val="ru-RU"/>
        </w:rPr>
        <w:tab/>
        <w:t xml:space="preserve">(2 ± 1) </w:t>
      </w:r>
      <w:r w:rsidRPr="00FC7DE8">
        <w:rPr>
          <w:b/>
          <w:sz w:val="20"/>
          <w:szCs w:val="20"/>
          <w:lang w:val="ru-RU"/>
        </w:rPr>
        <w:t>Гц</w:t>
      </w:r>
    </w:p>
    <w:p w:rsidR="00FB42EE" w:rsidRPr="00FC7DE8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z w:val="20"/>
          <w:szCs w:val="20"/>
          <w:lang w:val="ru-RU" w:eastAsia="ja-JP"/>
        </w:rPr>
      </w:pPr>
      <w:r w:rsidRPr="002B6A46">
        <w:rPr>
          <w:b/>
          <w:sz w:val="20"/>
          <w:szCs w:val="20"/>
          <w:lang w:val="ru-RU"/>
        </w:rPr>
        <w:tab/>
      </w:r>
      <w:r w:rsidRPr="002B6A46">
        <w:rPr>
          <w:b/>
          <w:sz w:val="20"/>
          <w:szCs w:val="20"/>
          <w:lang w:val="ru-RU"/>
        </w:rPr>
        <w:tab/>
      </w:r>
      <w:r w:rsidRPr="002B6A46">
        <w:rPr>
          <w:b/>
          <w:sz w:val="20"/>
          <w:szCs w:val="20"/>
          <w:lang w:val="ru-RU"/>
        </w:rPr>
        <w:tab/>
      </w:r>
      <w:r w:rsidRPr="00FC7DE8">
        <w:rPr>
          <w:b/>
          <w:sz w:val="20"/>
          <w:szCs w:val="20"/>
          <w:lang w:val="ru-RU"/>
        </w:rPr>
        <w:t>период включения:</w:t>
      </w:r>
      <w:r w:rsidRPr="00FC7DE8">
        <w:rPr>
          <w:b/>
          <w:sz w:val="20"/>
          <w:szCs w:val="20"/>
          <w:lang w:val="ru-RU"/>
        </w:rPr>
        <w:tab/>
        <w:t>период отключения ±10%.</w:t>
      </w:r>
    </w:p>
    <w:p w:rsidR="00FB42EE" w:rsidRPr="00FC7DE8" w:rsidRDefault="00FB42EE" w:rsidP="00FB42EE">
      <w:pPr>
        <w:pStyle w:val="NormalWeb"/>
        <w:spacing w:after="120"/>
        <w:ind w:leftChars="567" w:left="2267" w:rightChars="567" w:right="1134" w:hanging="1133"/>
        <w:jc w:val="both"/>
        <w:rPr>
          <w:b/>
          <w:sz w:val="20"/>
          <w:szCs w:val="20"/>
          <w:lang w:val="ru-RU"/>
        </w:rPr>
      </w:pPr>
      <w:r w:rsidRPr="00FC7DE8">
        <w:rPr>
          <w:b/>
          <w:sz w:val="20"/>
          <w:szCs w:val="20"/>
          <w:lang w:val="ru-RU"/>
        </w:rPr>
        <w:tab/>
        <w:t>Подача данного сигнала обозначения состояния допускается только когда устройство запуска и/или остановки двигателя (силовой установки) установлено в такое положение, которое не исключает возможности работы двигателя (силовой установки)</w:t>
      </w:r>
      <w:r w:rsidRPr="00FB42EE">
        <w:rPr>
          <w:sz w:val="20"/>
          <w:szCs w:val="20"/>
          <w:lang w:val="ru-RU"/>
        </w:rPr>
        <w:t>».</w:t>
      </w:r>
    </w:p>
    <w:p w:rsidR="00FB42EE" w:rsidRPr="002B6A46" w:rsidRDefault="00FB42EE" w:rsidP="00FB42EE">
      <w:pPr>
        <w:pStyle w:val="HChG"/>
        <w:tabs>
          <w:tab w:val="left" w:pos="1080"/>
        </w:tabs>
        <w:rPr>
          <w:lang w:val="ru-RU"/>
        </w:rPr>
      </w:pPr>
      <w:r w:rsidRPr="002B6A46">
        <w:rPr>
          <w:lang w:val="ru-RU"/>
        </w:rPr>
        <w:tab/>
      </w:r>
      <w:r w:rsidRPr="00FC7DE8">
        <w:t>II</w:t>
      </w:r>
      <w:r w:rsidRPr="002B6A46">
        <w:rPr>
          <w:lang w:val="ru-RU"/>
        </w:rPr>
        <w:t>.</w:t>
      </w:r>
      <w:r w:rsidRPr="002B6A46">
        <w:rPr>
          <w:lang w:val="ru-RU"/>
        </w:rPr>
        <w:tab/>
      </w:r>
      <w:r w:rsidRPr="00FC7DE8">
        <w:rPr>
          <w:lang w:val="ru-RU"/>
        </w:rPr>
        <w:t>Обоснование</w:t>
      </w:r>
    </w:p>
    <w:p w:rsidR="00FB42EE" w:rsidRPr="002B6A46" w:rsidRDefault="00FB42EE" w:rsidP="00FB42EE">
      <w:pPr>
        <w:spacing w:after="120"/>
        <w:ind w:left="1134" w:right="1134"/>
        <w:jc w:val="both"/>
      </w:pPr>
      <w:bookmarkStart w:id="1" w:name="_Hlk504739624"/>
      <w:r w:rsidRPr="00FC7DE8">
        <w:t>1.</w:t>
      </w:r>
      <w:r w:rsidRPr="00FC7DE8">
        <w:tab/>
      </w:r>
      <w:r w:rsidRPr="002B6A46">
        <w:t>Настоящее предложение направлено на уточнение того, что указатели поворота могут включаться для обозначения состояния устройства предотвращения несанкционированного использования.</w:t>
      </w:r>
    </w:p>
    <w:p w:rsidR="00FB42EE" w:rsidRPr="002B6A46" w:rsidRDefault="00FB42EE" w:rsidP="00FB42EE">
      <w:pPr>
        <w:spacing w:after="120"/>
        <w:ind w:left="1134" w:right="1134"/>
        <w:jc w:val="both"/>
        <w:rPr>
          <w:lang w:eastAsia="ja-JP"/>
        </w:rPr>
      </w:pPr>
      <w:bookmarkStart w:id="2" w:name="_Hlk504739728"/>
      <w:bookmarkEnd w:id="1"/>
      <w:r w:rsidRPr="00FC7DE8">
        <w:rPr>
          <w:lang w:eastAsia="ja-JP"/>
        </w:rPr>
        <w:t>2.</w:t>
      </w:r>
      <w:r w:rsidRPr="00FC7DE8">
        <w:rPr>
          <w:lang w:eastAsia="ja-JP"/>
        </w:rPr>
        <w:tab/>
      </w:r>
      <w:r w:rsidRPr="002B6A46">
        <w:rPr>
          <w:lang w:eastAsia="ja-JP"/>
        </w:rPr>
        <w:t xml:space="preserve">Такого рода использование </w:t>
      </w:r>
      <w:r w:rsidRPr="002B6A46">
        <w:t>указателей пов</w:t>
      </w:r>
      <w:r>
        <w:t>орота уже допускается Правилами </w:t>
      </w:r>
      <w:r w:rsidRPr="002B6A46">
        <w:t>№ 53 ООН</w:t>
      </w:r>
      <w:r w:rsidRPr="002B6A46">
        <w:rPr>
          <w:lang w:eastAsia="ja-JP"/>
        </w:rPr>
        <w:t xml:space="preserve"> в сочетании с Правилами № 97 ООН (для системы охранной сигнализации и </w:t>
      </w:r>
      <w:r w:rsidR="00A520E4">
        <w:rPr>
          <w:lang w:eastAsia="ja-JP"/>
        </w:rPr>
        <w:t>иммобилизатора):</w:t>
      </w:r>
    </w:p>
    <w:p w:rsidR="00FB42EE" w:rsidRPr="00FC7DE8" w:rsidRDefault="00FB42EE" w:rsidP="00FB42EE">
      <w:pPr>
        <w:pStyle w:val="SingleTxtG"/>
        <w:rPr>
          <w:lang w:val="ru-RU"/>
        </w:rPr>
      </w:pPr>
      <w:r w:rsidRPr="00FC7DE8">
        <w:rPr>
          <w:lang w:val="ru-RU"/>
        </w:rPr>
        <w:t>«2.5.8</w:t>
      </w:r>
      <w:r w:rsidRPr="00FC7DE8">
        <w:rPr>
          <w:lang w:val="ru-RU"/>
        </w:rPr>
        <w:tab/>
      </w:r>
      <w:r w:rsidRPr="00FC7DE8">
        <w:rPr>
          <w:lang w:val="ru-RU"/>
        </w:rPr>
        <w:tab/>
        <w:t>"</w:t>
      </w:r>
      <w:r w:rsidRPr="00FC7DE8">
        <w:rPr>
          <w:i/>
          <w:lang w:val="ru-RU"/>
        </w:rPr>
        <w:t>указатель поворота</w:t>
      </w:r>
      <w:r w:rsidRPr="00FC7DE8">
        <w:rPr>
          <w:lang w:val="ru-RU"/>
        </w:rPr>
        <w:t xml:space="preserve">" означает </w:t>
      </w:r>
      <w:r w:rsidRPr="00FC7DE8">
        <w:rPr>
          <w:lang w:val="ru-RU" w:eastAsia="ja-JP"/>
        </w:rPr>
        <w:t>…</w:t>
      </w:r>
    </w:p>
    <w:p w:rsidR="00FB42EE" w:rsidRPr="00FC7DE8" w:rsidRDefault="00FB42EE" w:rsidP="00FB42EE">
      <w:pPr>
        <w:pStyle w:val="SingleTxtG"/>
        <w:ind w:left="2268"/>
        <w:rPr>
          <w:lang w:val="ru-RU"/>
        </w:rPr>
      </w:pPr>
      <w:r w:rsidRPr="00FC7DE8">
        <w:rPr>
          <w:lang w:val="ru-RU"/>
        </w:rPr>
        <w:t>Указатель или указатели поворота могут также использоваться в соответствии с предписаниями Правил № 97 ООН».</w:t>
      </w:r>
    </w:p>
    <w:p w:rsidR="00FB42EE" w:rsidRPr="00FC7DE8" w:rsidRDefault="00FB42EE" w:rsidP="00FB42EE">
      <w:pPr>
        <w:pStyle w:val="SingleTxtG"/>
        <w:rPr>
          <w:lang w:val="ru-RU" w:eastAsia="ja-JP"/>
        </w:rPr>
      </w:pPr>
      <w:r w:rsidRPr="00FC7DE8">
        <w:rPr>
          <w:lang w:val="ru-RU" w:eastAsia="ja-JP"/>
        </w:rPr>
        <w:t>3.</w:t>
      </w:r>
      <w:r w:rsidRPr="00FC7DE8">
        <w:rPr>
          <w:lang w:val="ru-RU" w:eastAsia="ja-JP"/>
        </w:rPr>
        <w:tab/>
        <w:t xml:space="preserve">Все это согласуется с определением, содержащимся в Правилах </w:t>
      </w:r>
      <w:r w:rsidR="00A520E4">
        <w:rPr>
          <w:lang w:val="ru-RU"/>
        </w:rPr>
        <w:t>№ 48 ООН, с </w:t>
      </w:r>
      <w:r w:rsidRPr="00FC7DE8">
        <w:rPr>
          <w:lang w:val="ru-RU"/>
        </w:rPr>
        <w:t xml:space="preserve">дальнейшей ссылкой на </w:t>
      </w:r>
      <w:r w:rsidRPr="00FC7DE8">
        <w:rPr>
          <w:lang w:val="ru-RU" w:eastAsia="ja-JP"/>
        </w:rPr>
        <w:t xml:space="preserve">Правила </w:t>
      </w:r>
      <w:r w:rsidRPr="00FC7DE8">
        <w:rPr>
          <w:lang w:val="ru-RU"/>
        </w:rPr>
        <w:t>№ 116 ООН (в отношении устройства защиты транспортного средства от несанкционированного использования, включая</w:t>
      </w:r>
      <w:r w:rsidRPr="00FC7DE8">
        <w:rPr>
          <w:lang w:val="ru-RU" w:eastAsia="ja-JP"/>
        </w:rPr>
        <w:t xml:space="preserve"> систему охранной сигнализации и иммобилизатор</w:t>
      </w:r>
      <w:r w:rsidRPr="00FC7DE8">
        <w:rPr>
          <w:lang w:val="ru-RU"/>
        </w:rPr>
        <w:t>):</w:t>
      </w:r>
    </w:p>
    <w:p w:rsidR="00FB42EE" w:rsidRPr="002B6A46" w:rsidRDefault="00FB42EE" w:rsidP="00FB42EE">
      <w:pPr>
        <w:pStyle w:val="SingleTxtG"/>
        <w:rPr>
          <w:lang w:val="ru-RU"/>
        </w:rPr>
      </w:pPr>
      <w:r w:rsidRPr="002B6A46">
        <w:rPr>
          <w:lang w:val="ru-RU"/>
        </w:rPr>
        <w:t>«2.</w:t>
      </w:r>
      <w:r w:rsidRPr="002B6A46">
        <w:rPr>
          <w:lang w:val="ru-RU" w:eastAsia="ja-JP"/>
        </w:rPr>
        <w:t>7.11</w:t>
      </w:r>
      <w:r w:rsidRPr="002B6A46">
        <w:rPr>
          <w:lang w:val="ru-RU"/>
        </w:rPr>
        <w:tab/>
        <w:t>"</w:t>
      </w:r>
      <w:r w:rsidRPr="00FC7DE8">
        <w:rPr>
          <w:i/>
          <w:lang w:val="ru-RU"/>
        </w:rPr>
        <w:t>указатель</w:t>
      </w:r>
      <w:r w:rsidRPr="002B6A46">
        <w:rPr>
          <w:i/>
          <w:lang w:val="ru-RU"/>
        </w:rPr>
        <w:t xml:space="preserve"> </w:t>
      </w:r>
      <w:r w:rsidRPr="00FC7DE8">
        <w:rPr>
          <w:i/>
          <w:lang w:val="ru-RU"/>
        </w:rPr>
        <w:t>поворота</w:t>
      </w:r>
      <w:r w:rsidRPr="002B6A46">
        <w:rPr>
          <w:lang w:val="ru-RU"/>
        </w:rPr>
        <w:t xml:space="preserve">" </w:t>
      </w:r>
      <w:r w:rsidRPr="00FC7DE8">
        <w:rPr>
          <w:lang w:val="ru-RU"/>
        </w:rPr>
        <w:t>означает</w:t>
      </w:r>
      <w:r w:rsidRPr="002B6A46">
        <w:rPr>
          <w:lang w:val="ru-RU"/>
        </w:rPr>
        <w:t xml:space="preserve"> </w:t>
      </w:r>
      <w:r w:rsidRPr="002B6A46">
        <w:rPr>
          <w:lang w:val="ru-RU" w:eastAsia="ja-JP"/>
        </w:rPr>
        <w:t>…</w:t>
      </w:r>
    </w:p>
    <w:p w:rsidR="00FB42EE" w:rsidRPr="00FC7DE8" w:rsidRDefault="00FB42EE" w:rsidP="00FB42EE">
      <w:pPr>
        <w:pStyle w:val="SingleTxtG"/>
        <w:ind w:left="2268" w:firstLine="6"/>
        <w:rPr>
          <w:lang w:val="ru-RU" w:eastAsia="ja-JP"/>
        </w:rPr>
      </w:pPr>
      <w:r w:rsidRPr="00FC7DE8">
        <w:rPr>
          <w:shd w:val="clear" w:color="auto" w:fill="FFFFFF"/>
          <w:lang w:val="ru-RU"/>
        </w:rPr>
        <w:t>Указатель или указатели поворота могут также использоваться в соответствии с предписаниями Правил № 97 или Правил № 116 ООН</w:t>
      </w:r>
      <w:r w:rsidRPr="00FC7DE8">
        <w:rPr>
          <w:lang w:val="ru-RU"/>
        </w:rPr>
        <w:t>».</w:t>
      </w:r>
    </w:p>
    <w:p w:rsidR="00FB42EE" w:rsidRPr="002B6A46" w:rsidRDefault="00FB42EE" w:rsidP="00FB42EE">
      <w:pPr>
        <w:spacing w:after="120"/>
        <w:ind w:left="1134" w:right="1134"/>
        <w:jc w:val="both"/>
        <w:rPr>
          <w:lang w:eastAsia="ja-JP"/>
        </w:rPr>
      </w:pPr>
      <w:r w:rsidRPr="00FC7DE8">
        <w:rPr>
          <w:lang w:eastAsia="ja-JP"/>
        </w:rPr>
        <w:t>4.</w:t>
      </w:r>
      <w:r w:rsidRPr="00FC7DE8">
        <w:rPr>
          <w:lang w:eastAsia="ja-JP"/>
        </w:rPr>
        <w:tab/>
      </w:r>
      <w:r w:rsidRPr="002B6A46">
        <w:rPr>
          <w:lang w:eastAsia="ja-JP"/>
        </w:rPr>
        <w:t xml:space="preserve">Такое использование </w:t>
      </w:r>
      <w:r w:rsidRPr="002B6A46">
        <w:t>указателей поворота для обозначения состояния устройства предотвращения несанкционированного использования уже получило широкое признание в контексте</w:t>
      </w:r>
      <w:r w:rsidRPr="002B6A46">
        <w:rPr>
          <w:lang w:eastAsia="ja-JP"/>
        </w:rPr>
        <w:t xml:space="preserve"> дорожного движения, причем без каких-либо негативных последствий в плане безопасности дорожной обстановки.</w:t>
      </w:r>
    </w:p>
    <w:bookmarkEnd w:id="2"/>
    <w:p w:rsidR="00FB42EE" w:rsidRPr="002B6A46" w:rsidRDefault="00FB42EE" w:rsidP="00FB42EE">
      <w:pPr>
        <w:spacing w:after="120"/>
        <w:ind w:left="1134" w:right="1134"/>
        <w:jc w:val="both"/>
      </w:pPr>
      <w:r w:rsidRPr="00FC7DE8">
        <w:t>5.</w:t>
      </w:r>
      <w:r w:rsidRPr="00FC7DE8">
        <w:tab/>
      </w:r>
      <w:r w:rsidR="00A520E4">
        <w:t>Вместе с тем</w:t>
      </w:r>
      <w:r w:rsidRPr="002B6A46">
        <w:t xml:space="preserve"> правила № 97 и № 116 ООН не вполне уместно применять непосредственно к транспортным средствам категории L</w:t>
      </w:r>
      <w:r w:rsidRPr="002B6A46">
        <w:rPr>
          <w:vertAlign w:val="subscript"/>
        </w:rPr>
        <w:t>3</w:t>
      </w:r>
      <w:r w:rsidRPr="002B6A46">
        <w:t>, поскольку:</w:t>
      </w:r>
    </w:p>
    <w:p w:rsidR="00FB42EE" w:rsidRPr="00FC7DE8" w:rsidRDefault="00846447" w:rsidP="00846447">
      <w:pPr>
        <w:pStyle w:val="SingleTxtGR"/>
        <w:rPr>
          <w:lang w:eastAsia="ja-JP"/>
        </w:rPr>
      </w:pPr>
      <w:r>
        <w:rPr>
          <w:lang w:eastAsia="ja-JP"/>
        </w:rPr>
        <w:lastRenderedPageBreak/>
        <w:tab/>
      </w:r>
      <w:r w:rsidR="00FB42EE" w:rsidRPr="00FC7DE8">
        <w:rPr>
          <w:lang w:eastAsia="ja-JP"/>
        </w:rPr>
        <w:t>a)</w:t>
      </w:r>
      <w:r w:rsidR="00FB42EE" w:rsidRPr="00FC7DE8">
        <w:rPr>
          <w:lang w:eastAsia="ja-JP"/>
        </w:rPr>
        <w:tab/>
        <w:t xml:space="preserve">область применения обоих этих правил ООН ограничена </w:t>
      </w:r>
      <w:r w:rsidR="00FB42EE" w:rsidRPr="00FC7DE8">
        <w:t xml:space="preserve">категориями </w:t>
      </w:r>
      <w:r w:rsidR="00FB42EE" w:rsidRPr="00FC7DE8">
        <w:rPr>
          <w:lang w:eastAsia="ja-JP"/>
        </w:rPr>
        <w:t>M</w:t>
      </w:r>
      <w:r w:rsidR="00FB42EE" w:rsidRPr="00FC7DE8">
        <w:rPr>
          <w:vertAlign w:val="subscript"/>
          <w:lang w:eastAsia="ja-JP"/>
        </w:rPr>
        <w:t>1</w:t>
      </w:r>
      <w:r w:rsidR="00FB42EE" w:rsidRPr="00FC7DE8">
        <w:rPr>
          <w:lang w:eastAsia="ja-JP"/>
        </w:rPr>
        <w:t xml:space="preserve"> и N</w:t>
      </w:r>
      <w:r w:rsidR="00FB42EE" w:rsidRPr="00FC7DE8">
        <w:rPr>
          <w:vertAlign w:val="subscript"/>
          <w:lang w:eastAsia="ja-JP"/>
        </w:rPr>
        <w:t>1</w:t>
      </w:r>
      <w:r w:rsidR="00A520E4">
        <w:rPr>
          <w:lang w:eastAsia="ja-JP"/>
        </w:rPr>
        <w:t>,</w:t>
      </w:r>
      <w:r w:rsidR="00FB42EE" w:rsidRPr="00FC7DE8">
        <w:rPr>
          <w:lang w:eastAsia="ja-JP"/>
        </w:rPr>
        <w:t xml:space="preserve"> и</w:t>
      </w:r>
    </w:p>
    <w:p w:rsidR="00FB42EE" w:rsidRPr="00FC7DE8" w:rsidRDefault="00846447" w:rsidP="00846447">
      <w:pPr>
        <w:pStyle w:val="SingleTxtGR"/>
        <w:rPr>
          <w:lang w:eastAsia="ja-JP"/>
        </w:rPr>
      </w:pPr>
      <w:r>
        <w:rPr>
          <w:lang w:eastAsia="ja-JP"/>
        </w:rPr>
        <w:tab/>
      </w:r>
      <w:r w:rsidR="00FB42EE" w:rsidRPr="00FC7DE8">
        <w:rPr>
          <w:lang w:eastAsia="ja-JP"/>
        </w:rPr>
        <w:t>b)</w:t>
      </w:r>
      <w:r w:rsidR="00FB42EE" w:rsidRPr="00FC7DE8">
        <w:rPr>
          <w:lang w:eastAsia="ja-JP"/>
        </w:rPr>
        <w:tab/>
        <w:t xml:space="preserve">в обоих правилах ООН имеется ряд конкретных положений, не применимых к </w:t>
      </w:r>
      <w:r w:rsidR="00FB42EE" w:rsidRPr="00FC7DE8">
        <w:t>транспортным средствам категории L</w:t>
      </w:r>
      <w:r w:rsidR="00FB42EE" w:rsidRPr="00FC7DE8">
        <w:rPr>
          <w:vertAlign w:val="subscript"/>
        </w:rPr>
        <w:t>3</w:t>
      </w:r>
      <w:r w:rsidR="00FB42EE" w:rsidRPr="00FC7DE8">
        <w:rPr>
          <w:lang w:eastAsia="ja-JP"/>
        </w:rPr>
        <w:t xml:space="preserve">. Например, оговорено требование относительно </w:t>
      </w:r>
      <w:r w:rsidR="00FB42EE" w:rsidRPr="00FC7DE8">
        <w:t>реагирования как минимум на открытие любой двери и капота двигателя</w:t>
      </w:r>
      <w:r w:rsidR="00FB42EE" w:rsidRPr="00FC7DE8">
        <w:rPr>
          <w:lang w:eastAsia="ja-JP"/>
        </w:rPr>
        <w:t xml:space="preserve">, тогда как </w:t>
      </w:r>
      <w:r w:rsidR="00FB42EE" w:rsidRPr="00FC7DE8">
        <w:t>транспортные средства категории L</w:t>
      </w:r>
      <w:r w:rsidR="00FB42EE" w:rsidRPr="00FC7DE8">
        <w:rPr>
          <w:vertAlign w:val="subscript"/>
        </w:rPr>
        <w:t>3</w:t>
      </w:r>
      <w:r w:rsidR="00FB42EE" w:rsidRPr="00FC7DE8">
        <w:rPr>
          <w:lang w:eastAsia="ja-JP"/>
        </w:rPr>
        <w:t xml:space="preserve"> в большинстве случаев не имеют такого оборудования:</w:t>
      </w:r>
    </w:p>
    <w:p w:rsidR="00FB42EE" w:rsidRPr="002B6A46" w:rsidRDefault="00846447" w:rsidP="00FB42EE">
      <w:pPr>
        <w:pStyle w:val="SingleTxtG"/>
        <w:rPr>
          <w:lang w:val="ru-RU" w:eastAsia="ja-JP"/>
        </w:rPr>
      </w:pPr>
      <w:r>
        <w:rPr>
          <w:lang w:val="ru-RU"/>
        </w:rPr>
        <w:t>«</w:t>
      </w:r>
      <w:r w:rsidR="00FB42EE" w:rsidRPr="002B6A46">
        <w:rPr>
          <w:lang w:val="ru-RU" w:eastAsia="ja-JP"/>
        </w:rPr>
        <w:t>18.1.1</w:t>
      </w:r>
      <w:r w:rsidR="00FB42EE" w:rsidRPr="002B6A46">
        <w:rPr>
          <w:lang w:val="ru-RU"/>
        </w:rPr>
        <w:tab/>
        <w:t>Конкретные требования</w:t>
      </w:r>
    </w:p>
    <w:p w:rsidR="00FB42EE" w:rsidRPr="00FC7DE8" w:rsidRDefault="00FB42EE" w:rsidP="00FB42EE">
      <w:pPr>
        <w:pStyle w:val="SingleTxtG"/>
        <w:ind w:left="2268"/>
        <w:rPr>
          <w:lang w:val="ru-RU"/>
        </w:rPr>
      </w:pPr>
      <w:r w:rsidRPr="00FC7DE8">
        <w:rPr>
          <w:lang w:val="ru-RU"/>
        </w:rPr>
        <w:t xml:space="preserve">СОС должна, по крайней мере, реагировать на открытие любой двери транспортного средства, капота двигателя и багажного отделения и подавать соответствующие сигналы. </w:t>
      </w:r>
      <w:r w:rsidRPr="00FC7DE8">
        <w:rPr>
          <w:lang w:val="ru-RU" w:eastAsia="ja-JP"/>
        </w:rPr>
        <w:t>…</w:t>
      </w:r>
      <w:r w:rsidR="00846447">
        <w:rPr>
          <w:lang w:val="ru-RU"/>
        </w:rPr>
        <w:t>».</w:t>
      </w:r>
    </w:p>
    <w:p w:rsidR="00FB42EE" w:rsidRPr="00FC7DE8" w:rsidRDefault="00FB42EE" w:rsidP="00FB42EE">
      <w:pPr>
        <w:pStyle w:val="SingleTxtG"/>
        <w:rPr>
          <w:lang w:val="ru-RU" w:eastAsia="ja-JP"/>
        </w:rPr>
      </w:pPr>
      <w:r w:rsidRPr="00FC7DE8">
        <w:rPr>
          <w:lang w:val="ru-RU" w:eastAsia="ja-JP"/>
        </w:rPr>
        <w:t xml:space="preserve">Поэтому для эффективной реализации того, что </w:t>
      </w:r>
      <w:r w:rsidRPr="00FC7DE8">
        <w:rPr>
          <w:lang w:val="ru-RU"/>
        </w:rPr>
        <w:t>–</w:t>
      </w:r>
      <w:r w:rsidRPr="00FC7DE8">
        <w:rPr>
          <w:lang w:val="ru-RU" w:eastAsia="ja-JP"/>
        </w:rPr>
        <w:t xml:space="preserve"> согласно нашим намерениям </w:t>
      </w:r>
      <w:r w:rsidRPr="00FC7DE8">
        <w:rPr>
          <w:lang w:val="ru-RU"/>
        </w:rPr>
        <w:t xml:space="preserve">– </w:t>
      </w:r>
      <w:r w:rsidRPr="00FC7DE8">
        <w:rPr>
          <w:lang w:val="ru-RU" w:eastAsia="ja-JP"/>
        </w:rPr>
        <w:t xml:space="preserve">должно быть указано в пункте 2.5.8 Правил </w:t>
      </w:r>
      <w:r w:rsidRPr="00FC7DE8">
        <w:rPr>
          <w:lang w:val="ru-RU"/>
        </w:rPr>
        <w:t>№ 53 ООН, в него было бы целесообразно включить некоторые дополнительные формулировки.</w:t>
      </w:r>
    </w:p>
    <w:p w:rsidR="00FB42EE" w:rsidRPr="002B6A46" w:rsidRDefault="00FB42EE" w:rsidP="00FB42EE">
      <w:pPr>
        <w:spacing w:after="120"/>
        <w:ind w:left="1134" w:right="1134"/>
        <w:jc w:val="both"/>
        <w:rPr>
          <w:shd w:val="clear" w:color="auto" w:fill="FFFFFF"/>
        </w:rPr>
      </w:pPr>
      <w:r w:rsidRPr="00FC7DE8">
        <w:t>6.</w:t>
      </w:r>
      <w:r w:rsidRPr="00FC7DE8">
        <w:tab/>
      </w:r>
      <w:r w:rsidRPr="002B6A46">
        <w:rPr>
          <w:shd w:val="clear" w:color="auto" w:fill="FFFFFF"/>
        </w:rPr>
        <w:t xml:space="preserve">С другой стороны, область применения Правил № 62 ООН (что касается </w:t>
      </w:r>
      <w:r w:rsidRPr="002B6A46">
        <w:t>устройств предотвращения несанкционированного использования</w:t>
      </w:r>
      <w:r w:rsidRPr="002B6A46">
        <w:rPr>
          <w:shd w:val="clear" w:color="auto" w:fill="FFFFFF"/>
        </w:rPr>
        <w:t xml:space="preserve">) распространяется на </w:t>
      </w:r>
      <w:r w:rsidRPr="002B6A46">
        <w:t>транспортные средства категории L</w:t>
      </w:r>
      <w:r w:rsidRPr="002B6A46">
        <w:rPr>
          <w:shd w:val="clear" w:color="auto" w:fill="FFFFFF"/>
        </w:rPr>
        <w:t>. Однако ссылаться в данном контексте на Правила № 62 ООН также не всегда целесообразно, поскольку:</w:t>
      </w:r>
    </w:p>
    <w:p w:rsidR="00FB42EE" w:rsidRPr="00FC7DE8" w:rsidRDefault="00846447" w:rsidP="00846447">
      <w:pPr>
        <w:pStyle w:val="SingleTxtGR"/>
        <w:rPr>
          <w:lang w:eastAsia="ja-JP"/>
        </w:rPr>
      </w:pPr>
      <w:r>
        <w:rPr>
          <w:lang w:eastAsia="ja-JP"/>
        </w:rPr>
        <w:tab/>
      </w:r>
      <w:r w:rsidR="00FB42EE" w:rsidRPr="00FC7DE8">
        <w:rPr>
          <w:lang w:eastAsia="ja-JP"/>
        </w:rPr>
        <w:t>a)</w:t>
      </w:r>
      <w:r w:rsidR="00FB42EE" w:rsidRPr="00FC7DE8">
        <w:rPr>
          <w:lang w:eastAsia="ja-JP"/>
        </w:rPr>
        <w:tab/>
        <w:t>Правилами № 62 ООН предусматриваются лишь положения, касающиеся механической системы блокировки, без охвата таких электронных устройств, как система аварийной сигнализации и иммобилизатор, которые подпадают под действие правил № 97/№ 116</w:t>
      </w:r>
      <w:r w:rsidR="00A520E4">
        <w:rPr>
          <w:lang w:eastAsia="ja-JP"/>
        </w:rPr>
        <w:t xml:space="preserve"> ООН</w:t>
      </w:r>
      <w:r w:rsidR="00FB42EE" w:rsidRPr="00FC7DE8">
        <w:rPr>
          <w:lang w:eastAsia="ja-JP"/>
        </w:rPr>
        <w:t>;</w:t>
      </w:r>
    </w:p>
    <w:p w:rsidR="00FB42EE" w:rsidRPr="00FC7DE8" w:rsidRDefault="00846447" w:rsidP="00846447">
      <w:pPr>
        <w:pStyle w:val="SingleTxtGR"/>
        <w:rPr>
          <w:lang w:eastAsia="ja-JP"/>
        </w:rPr>
      </w:pPr>
      <w:r>
        <w:rPr>
          <w:lang w:eastAsia="ja-JP"/>
        </w:rPr>
        <w:tab/>
      </w:r>
      <w:r w:rsidR="00A520E4">
        <w:rPr>
          <w:lang w:eastAsia="ja-JP"/>
        </w:rPr>
        <w:t>b)</w:t>
      </w:r>
      <w:r w:rsidR="00A520E4">
        <w:rPr>
          <w:lang w:eastAsia="ja-JP"/>
        </w:rPr>
        <w:tab/>
        <w:t>вместе с тем</w:t>
      </w:r>
      <w:r w:rsidR="00FB42EE" w:rsidRPr="00FC7DE8">
        <w:rPr>
          <w:lang w:eastAsia="ja-JP"/>
        </w:rPr>
        <w:t xml:space="preserve"> в апреле 2018 года на 114-й сессии Рабочей группы по общим предписаниям, касающимся безопасности (GRSG), было внесено предложение на предмет возможного включения в Правила № 62 ООН (неофициальный документ GRSG-114-02) электромеханических/электронных устройств. Это предложение находится в стадии обсуждения и пока еще не кодифицировано в Правилах ООН. Кроме того, даже в случае принятия данного предложения, система аварийной сигнализации и иммобилизатор все же остаются не охваченными.</w:t>
      </w:r>
    </w:p>
    <w:p w:rsidR="00FB42EE" w:rsidRPr="00FC7DE8" w:rsidRDefault="00FB42EE" w:rsidP="00FB42EE">
      <w:pPr>
        <w:spacing w:after="120"/>
        <w:ind w:left="1134" w:right="1134"/>
        <w:jc w:val="both"/>
        <w:rPr>
          <w:lang w:eastAsia="ja-JP"/>
        </w:rPr>
      </w:pPr>
      <w:r w:rsidRPr="00FC7DE8">
        <w:rPr>
          <w:lang w:eastAsia="ja-JP"/>
        </w:rPr>
        <w:t>Поэтому для достижения вышеупомянутой цели о</w:t>
      </w:r>
      <w:r>
        <w:rPr>
          <w:lang w:eastAsia="ja-JP"/>
        </w:rPr>
        <w:t>дного лишь добавления в Правила </w:t>
      </w:r>
      <w:r w:rsidRPr="00FC7DE8">
        <w:t xml:space="preserve">№ 53 ООН ссылки на </w:t>
      </w:r>
      <w:r w:rsidRPr="00FC7DE8">
        <w:rPr>
          <w:lang w:eastAsia="ja-JP"/>
        </w:rPr>
        <w:t>Правила № 62 ООН отнюдь недостаточно.</w:t>
      </w:r>
    </w:p>
    <w:p w:rsidR="00FB42EE" w:rsidRPr="002B6A46" w:rsidRDefault="00FB42EE" w:rsidP="00FB42EE">
      <w:pPr>
        <w:spacing w:after="120"/>
        <w:ind w:left="1134" w:right="1134"/>
        <w:jc w:val="both"/>
        <w:rPr>
          <w:lang w:eastAsia="ja-JP"/>
        </w:rPr>
      </w:pPr>
      <w:r w:rsidRPr="00FC7DE8">
        <w:rPr>
          <w:lang w:eastAsia="ja-JP"/>
        </w:rPr>
        <w:t>7.</w:t>
      </w:r>
      <w:r w:rsidRPr="00FC7DE8">
        <w:rPr>
          <w:lang w:eastAsia="ja-JP"/>
        </w:rPr>
        <w:tab/>
      </w:r>
      <w:r w:rsidRPr="002B6A46">
        <w:rPr>
          <w:lang w:eastAsia="ja-JP"/>
        </w:rPr>
        <w:t xml:space="preserve">С учетом означенных факторов настоящим предложением конкретно предусматривается закрепить за </w:t>
      </w:r>
      <w:r w:rsidRPr="002B6A46">
        <w:t>указателями поворота в качестве одной из функций обозначение состояния устройства предотвращения несанкционированного использования.</w:t>
      </w:r>
      <w:r w:rsidRPr="002B6A46">
        <w:rPr>
          <w:lang w:eastAsia="ja-JP"/>
        </w:rPr>
        <w:t xml:space="preserve"> Эта дополнительная формулировка позволяет уточнить, что применительно к </w:t>
      </w:r>
      <w:r w:rsidRPr="002B6A46">
        <w:t>транспортным средствам категории L</w:t>
      </w:r>
      <w:r w:rsidRPr="002B6A46">
        <w:rPr>
          <w:vertAlign w:val="subscript"/>
        </w:rPr>
        <w:t xml:space="preserve">3 </w:t>
      </w:r>
      <w:r w:rsidRPr="002B6A46">
        <w:rPr>
          <w:lang w:eastAsia="ja-JP"/>
        </w:rPr>
        <w:t xml:space="preserve">такие </w:t>
      </w:r>
      <w:r w:rsidRPr="002B6A46">
        <w:t>устройства</w:t>
      </w:r>
      <w:r w:rsidRPr="002B6A46">
        <w:rPr>
          <w:lang w:eastAsia="ja-JP"/>
        </w:rPr>
        <w:t xml:space="preserve"> полностью охватываются Правилами </w:t>
      </w:r>
      <w:r w:rsidRPr="002B6A46">
        <w:t>№ 53 ООН.</w:t>
      </w:r>
    </w:p>
    <w:p w:rsidR="00FB42EE" w:rsidRPr="002B6A46" w:rsidRDefault="00FB42EE" w:rsidP="00FB42EE">
      <w:pPr>
        <w:spacing w:after="120"/>
        <w:ind w:left="1134" w:right="1134"/>
        <w:jc w:val="both"/>
        <w:rPr>
          <w:lang w:eastAsia="ja-JP"/>
        </w:rPr>
      </w:pPr>
      <w:r w:rsidRPr="00FC7DE8">
        <w:rPr>
          <w:lang w:eastAsia="ja-JP"/>
        </w:rPr>
        <w:t>8.</w:t>
      </w:r>
      <w:r w:rsidRPr="00FC7DE8">
        <w:rPr>
          <w:lang w:eastAsia="ja-JP"/>
        </w:rPr>
        <w:tab/>
      </w:r>
      <w:r w:rsidRPr="002B6A46">
        <w:rPr>
          <w:lang w:eastAsia="ja-JP"/>
        </w:rPr>
        <w:t xml:space="preserve">Кроме того, </w:t>
      </w:r>
      <w:r w:rsidRPr="002B6A46">
        <w:t>– с тем чтобы не выходить за принятые ныне рамки, –</w:t>
      </w:r>
      <w:r w:rsidRPr="002B6A46">
        <w:rPr>
          <w:lang w:eastAsia="ja-JP"/>
        </w:rPr>
        <w:t xml:space="preserve"> настоящим предложением оговариваются конкретные положения, касающиеся</w:t>
      </w:r>
      <w:r w:rsidRPr="002B6A46">
        <w:t xml:space="preserve"> подачи при помощи указателей поворота сигнала обозначения состояния (продолжительность, частота и соотношение периодов включения/отключения), согласующиеся с положениями относительно индикации краткосро</w:t>
      </w:r>
      <w:r>
        <w:t>чного динамического процесса, а </w:t>
      </w:r>
      <w:r w:rsidRPr="002B6A46">
        <w:t>также относительно оптической сигнализации, фигурирующими в правилах</w:t>
      </w:r>
      <w:r>
        <w:t xml:space="preserve"> № 97 и № </w:t>
      </w:r>
      <w:r w:rsidRPr="002B6A46">
        <w:t>116 ООН.</w:t>
      </w:r>
    </w:p>
    <w:p w:rsidR="00FB42EE" w:rsidRPr="002B6A46" w:rsidRDefault="00FB42EE" w:rsidP="00FB42EE">
      <w:pPr>
        <w:spacing w:before="240"/>
        <w:ind w:left="1134" w:right="1134"/>
        <w:jc w:val="center"/>
        <w:rPr>
          <w:u w:val="single"/>
        </w:rPr>
      </w:pPr>
      <w:r w:rsidRPr="002B6A46">
        <w:rPr>
          <w:u w:val="single"/>
        </w:rPr>
        <w:tab/>
      </w:r>
      <w:r w:rsidRPr="002B6A46">
        <w:rPr>
          <w:u w:val="single"/>
        </w:rPr>
        <w:tab/>
      </w:r>
      <w:r w:rsidRPr="002B6A46">
        <w:rPr>
          <w:u w:val="single"/>
        </w:rPr>
        <w:tab/>
      </w:r>
      <w:r w:rsidRPr="002B6A46">
        <w:rPr>
          <w:u w:val="single"/>
        </w:rPr>
        <w:tab/>
      </w:r>
    </w:p>
    <w:p w:rsidR="00FB42EE" w:rsidRDefault="00FB42EE">
      <w:pPr>
        <w:suppressAutoHyphens w:val="0"/>
        <w:spacing w:line="240" w:lineRule="auto"/>
      </w:pPr>
    </w:p>
    <w:p w:rsidR="00FB42EE" w:rsidRDefault="00FB42EE">
      <w:pPr>
        <w:suppressAutoHyphens w:val="0"/>
        <w:spacing w:line="240" w:lineRule="auto"/>
      </w:pPr>
    </w:p>
    <w:p w:rsidR="00E12C5F" w:rsidRPr="008D53B6" w:rsidRDefault="00E12C5F" w:rsidP="002E5067"/>
    <w:sectPr w:rsidR="00E12C5F" w:rsidRPr="008D53B6" w:rsidSect="00FB42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AF" w:rsidRPr="00A312BC" w:rsidRDefault="002407AF" w:rsidP="00A312BC"/>
  </w:endnote>
  <w:endnote w:type="continuationSeparator" w:id="0">
    <w:p w:rsidR="002407AF" w:rsidRPr="00A312BC" w:rsidRDefault="002407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EE" w:rsidRPr="00FB42EE" w:rsidRDefault="00FB42EE">
    <w:pPr>
      <w:pStyle w:val="Footer"/>
    </w:pPr>
    <w:r w:rsidRPr="00FB42EE">
      <w:rPr>
        <w:b/>
        <w:sz w:val="18"/>
      </w:rPr>
      <w:fldChar w:fldCharType="begin"/>
    </w:r>
    <w:r w:rsidRPr="00FB42EE">
      <w:rPr>
        <w:b/>
        <w:sz w:val="18"/>
      </w:rPr>
      <w:instrText xml:space="preserve"> PAGE  \* MERGEFORMAT </w:instrText>
    </w:r>
    <w:r w:rsidRPr="00FB42EE">
      <w:rPr>
        <w:b/>
        <w:sz w:val="18"/>
      </w:rPr>
      <w:fldChar w:fldCharType="separate"/>
    </w:r>
    <w:r w:rsidR="009418AB">
      <w:rPr>
        <w:b/>
        <w:noProof/>
        <w:sz w:val="18"/>
      </w:rPr>
      <w:t>2</w:t>
    </w:r>
    <w:r w:rsidRPr="00FB42EE">
      <w:rPr>
        <w:b/>
        <w:sz w:val="18"/>
      </w:rPr>
      <w:fldChar w:fldCharType="end"/>
    </w:r>
    <w:r>
      <w:rPr>
        <w:b/>
        <w:sz w:val="18"/>
      </w:rPr>
      <w:tab/>
    </w:r>
    <w:r>
      <w:t>GE.18-13167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EE" w:rsidRPr="00FB42EE" w:rsidRDefault="00FB42EE" w:rsidP="00FB42E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GE.18-13167</w:t>
    </w:r>
    <w:r>
      <w:tab/>
    </w:r>
    <w:r w:rsidRPr="00FB42EE">
      <w:rPr>
        <w:b/>
        <w:sz w:val="18"/>
      </w:rPr>
      <w:fldChar w:fldCharType="begin"/>
    </w:r>
    <w:r w:rsidRPr="00FB42EE">
      <w:rPr>
        <w:b/>
        <w:sz w:val="18"/>
      </w:rPr>
      <w:instrText xml:space="preserve"> PAGE  \* MERGEFORMAT </w:instrText>
    </w:r>
    <w:r w:rsidRPr="00FB42EE">
      <w:rPr>
        <w:b/>
        <w:sz w:val="18"/>
      </w:rPr>
      <w:fldChar w:fldCharType="separate"/>
    </w:r>
    <w:r w:rsidR="009418AB">
      <w:rPr>
        <w:b/>
        <w:noProof/>
        <w:sz w:val="18"/>
      </w:rPr>
      <w:t>3</w:t>
    </w:r>
    <w:r w:rsidRPr="00FB42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B42EE" w:rsidRDefault="00FB42EE" w:rsidP="00FB42E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18-13167  (R)</w:t>
    </w:r>
    <w:r>
      <w:rPr>
        <w:lang w:val="en-US"/>
      </w:rPr>
      <w:t xml:space="preserve">  310818  310818</w:t>
    </w:r>
    <w:r>
      <w:br/>
    </w:r>
    <w:r w:rsidRPr="00FB42EE">
      <w:rPr>
        <w:rFonts w:ascii="C39T30Lfz" w:hAnsi="C39T30Lfz"/>
        <w:kern w:val="14"/>
        <w:sz w:val="56"/>
      </w:rPr>
      <w:t></w:t>
    </w:r>
    <w:r w:rsidRPr="00FB42EE">
      <w:rPr>
        <w:rFonts w:ascii="C39T30Lfz" w:hAnsi="C39T30Lfz"/>
        <w:kern w:val="14"/>
        <w:sz w:val="56"/>
      </w:rPr>
      <w:t></w:t>
    </w:r>
    <w:r w:rsidRPr="00FB42EE">
      <w:rPr>
        <w:rFonts w:ascii="C39T30Lfz" w:hAnsi="C39T30Lfz"/>
        <w:kern w:val="14"/>
        <w:sz w:val="56"/>
      </w:rPr>
      <w:t></w:t>
    </w:r>
    <w:r w:rsidRPr="00FB42EE">
      <w:rPr>
        <w:rFonts w:ascii="C39T30Lfz" w:hAnsi="C39T30Lfz"/>
        <w:kern w:val="14"/>
        <w:sz w:val="56"/>
      </w:rPr>
      <w:t></w:t>
    </w:r>
    <w:r w:rsidRPr="00FB42EE">
      <w:rPr>
        <w:rFonts w:ascii="C39T30Lfz" w:hAnsi="C39T30Lfz"/>
        <w:kern w:val="14"/>
        <w:sz w:val="56"/>
      </w:rPr>
      <w:t></w:t>
    </w:r>
    <w:r w:rsidRPr="00FB42EE">
      <w:rPr>
        <w:rFonts w:ascii="C39T30Lfz" w:hAnsi="C39T30Lfz"/>
        <w:kern w:val="14"/>
        <w:sz w:val="56"/>
      </w:rPr>
      <w:t></w:t>
    </w:r>
    <w:r w:rsidRPr="00FB42EE">
      <w:rPr>
        <w:rFonts w:ascii="C39T30Lfz" w:hAnsi="C39T30Lfz"/>
        <w:kern w:val="14"/>
        <w:sz w:val="56"/>
      </w:rPr>
      <w:t></w:t>
    </w:r>
    <w:r w:rsidRPr="00FB42EE">
      <w:rPr>
        <w:rFonts w:ascii="C39T30Lfz" w:hAnsi="C39T30Lfz"/>
        <w:kern w:val="14"/>
        <w:sz w:val="56"/>
      </w:rPr>
      <w:t></w:t>
    </w:r>
    <w:r w:rsidRPr="00FB42E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AF" w:rsidRPr="001075E9" w:rsidRDefault="002407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07AF" w:rsidRDefault="002407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42EE" w:rsidRPr="00F95086" w:rsidRDefault="00FB42EE" w:rsidP="00FB42EE">
      <w:pPr>
        <w:pStyle w:val="FootnoteText"/>
      </w:pPr>
      <w:r w:rsidRPr="00A90EA8">
        <w:tab/>
      </w:r>
      <w:r w:rsidRPr="00FB42EE">
        <w:rPr>
          <w:rStyle w:val="FootnoteReference"/>
          <w:sz w:val="20"/>
          <w:vertAlign w:val="baseline"/>
        </w:rPr>
        <w:t>*</w:t>
      </w:r>
      <w:r w:rsidRPr="00FB42EE">
        <w:rPr>
          <w:sz w:val="20"/>
        </w:rPr>
        <w:tab/>
      </w:r>
      <w:r w:rsidRPr="00B83A9F">
        <w:t>В соответствии с программой работы Комитета п</w:t>
      </w:r>
      <w:r>
        <w:t>о внутреннему транспорту на 2018–2019 годы (ECE/TRANS/274, пункт 123</w:t>
      </w:r>
      <w:r w:rsidRPr="00B83A9F">
        <w:t xml:space="preserve">, и </w:t>
      </w:r>
      <w:r w:rsidRPr="00626F57">
        <w:rPr>
          <w:szCs w:val="18"/>
          <w:lang w:val="en-US"/>
        </w:rPr>
        <w:t>ECE</w:t>
      </w:r>
      <w:r w:rsidRPr="00034130">
        <w:rPr>
          <w:szCs w:val="18"/>
        </w:rPr>
        <w:t>/</w:t>
      </w:r>
      <w:r w:rsidRPr="00626F57">
        <w:rPr>
          <w:szCs w:val="18"/>
          <w:lang w:val="en-US"/>
        </w:rPr>
        <w:t>TRANS</w:t>
      </w:r>
      <w:r w:rsidRPr="00034130">
        <w:rPr>
          <w:szCs w:val="18"/>
        </w:rPr>
        <w:t>/2018/21/</w:t>
      </w:r>
      <w:r w:rsidRPr="00626F57">
        <w:rPr>
          <w:szCs w:val="18"/>
          <w:lang w:val="en-US"/>
        </w:rPr>
        <w:t>Add</w:t>
      </w:r>
      <w:r w:rsidRPr="00034130">
        <w:rPr>
          <w:szCs w:val="18"/>
        </w:rPr>
        <w:t>.1</w:t>
      </w:r>
      <w:r w:rsidRPr="00B83A9F">
        <w:t xml:space="preserve">, направление </w:t>
      </w:r>
      <w:r>
        <w:t>деятельности 3.1</w:t>
      </w:r>
      <w:r w:rsidRPr="00B83A9F">
        <w:t>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B83A9F">
        <w:t>соответствии с этим мандатом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EE" w:rsidRPr="00FB42EE" w:rsidRDefault="009418AB">
    <w:pPr>
      <w:pStyle w:val="Header"/>
    </w:pPr>
    <w:fldSimple w:instr=" TITLE  \* MERGEFORMAT ">
      <w:r>
        <w:t>ECE/TRANS/WP.29/GRE/2018/45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EE" w:rsidRPr="00FB42EE" w:rsidRDefault="009418AB" w:rsidP="00FB42EE">
    <w:pPr>
      <w:pStyle w:val="Header"/>
      <w:jc w:val="right"/>
    </w:pPr>
    <w:fldSimple w:instr=" TITLE  \* MERGEFORMAT ">
      <w:r>
        <w:t>ECE/TRANS/WP.29/GRE/2018/45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AF"/>
    <w:rsid w:val="00033EE1"/>
    <w:rsid w:val="00042B72"/>
    <w:rsid w:val="000558BD"/>
    <w:rsid w:val="000B57E7"/>
    <w:rsid w:val="000B6373"/>
    <w:rsid w:val="000E4E5B"/>
    <w:rsid w:val="000E65D4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07A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B08"/>
    <w:rsid w:val="00806737"/>
    <w:rsid w:val="00824CA3"/>
    <w:rsid w:val="00825F8D"/>
    <w:rsid w:val="00834B71"/>
    <w:rsid w:val="0084644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8AB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520E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40BF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2E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5B5441-69FA-4F1F-B3F0-832749B2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FB42E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FB42EE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FB42E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FB42E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FB42EE"/>
    <w:rPr>
      <w:rFonts w:eastAsia="MS Mincho" w:cs="Times New Roman"/>
      <w:sz w:val="24"/>
      <w:szCs w:val="24"/>
      <w:lang w:val="en-GB"/>
    </w:rPr>
  </w:style>
  <w:style w:type="character" w:customStyle="1" w:styleId="HChGChar">
    <w:name w:val="_ H _Ch_G Char"/>
    <w:link w:val="HChG"/>
    <w:rsid w:val="00FB42EE"/>
    <w:rPr>
      <w:rFonts w:eastAsia="MS Mincho"/>
      <w:b/>
      <w:sz w:val="28"/>
      <w:lang w:val="en-GB" w:eastAsia="en-US"/>
    </w:rPr>
  </w:style>
  <w:style w:type="character" w:customStyle="1" w:styleId="H1GChar">
    <w:name w:val="_ H_1_G Char"/>
    <w:link w:val="H1G"/>
    <w:uiPriority w:val="99"/>
    <w:rsid w:val="00FB42EE"/>
    <w:rPr>
      <w:rFonts w:eastAsia="MS Mincho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B42EE"/>
    <w:pPr>
      <w:ind w:left="720"/>
      <w:contextualSpacing/>
    </w:pPr>
    <w:rPr>
      <w:rFonts w:eastAsia="MS Mincho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ECE/TRANS/WP.29/GRE/2018/45</vt:lpstr>
      <vt:lpstr>ECE/TRANS/WP.29/GRE/2018/45</vt:lpstr>
      <vt:lpstr>A/</vt:lpstr>
    </vt:vector>
  </TitlesOfParts>
  <Company>DCM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ECE/TRANS/WP.29/GRE/2018/45</dc:title>
  <dc:subject/>
  <dc:creator>Ekaterina SALYNSKAYA</dc:creator>
  <cp:keywords/>
  <cp:lastModifiedBy>Benedicte Boudol</cp:lastModifiedBy>
  <cp:revision>2</cp:revision>
  <cp:lastPrinted>2018-08-31T08:54:00Z</cp:lastPrinted>
  <dcterms:created xsi:type="dcterms:W3CDTF">2018-09-11T12:11:00Z</dcterms:created>
  <dcterms:modified xsi:type="dcterms:W3CDTF">2018-09-11T12:11:00Z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