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F2FE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F2FE6" w:rsidP="00AF2FE6">
            <w:pPr>
              <w:jc w:val="right"/>
            </w:pPr>
            <w:r w:rsidRPr="00AF2FE6">
              <w:rPr>
                <w:sz w:val="40"/>
              </w:rPr>
              <w:t>ECE</w:t>
            </w:r>
            <w:r>
              <w:t>/TRANS/WP.29/GRE/2018/24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F2FE6" w:rsidP="00C97039">
            <w:pPr>
              <w:spacing w:before="240"/>
            </w:pPr>
            <w:r>
              <w:t>Distr. générale</w:t>
            </w:r>
          </w:p>
          <w:p w:rsidR="00AF2FE6" w:rsidRDefault="00AF2FE6" w:rsidP="00AF2FE6">
            <w:pPr>
              <w:spacing w:line="240" w:lineRule="exact"/>
            </w:pPr>
            <w:r>
              <w:t>8 février 2018</w:t>
            </w:r>
          </w:p>
          <w:p w:rsidR="00AF2FE6" w:rsidRDefault="00AF2FE6" w:rsidP="00AF2FE6">
            <w:pPr>
              <w:spacing w:line="240" w:lineRule="exact"/>
            </w:pPr>
            <w:r>
              <w:t>Français</w:t>
            </w:r>
          </w:p>
          <w:p w:rsidR="00AF2FE6" w:rsidRPr="00DB58B5" w:rsidRDefault="00AF2FE6" w:rsidP="00AF2FE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2273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F2FE6" w:rsidRDefault="00AF2FE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2273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F2FE6" w:rsidRDefault="00AF2FE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12273D">
        <w:rPr>
          <w:b/>
        </w:rPr>
        <w:t>’</w:t>
      </w:r>
      <w:r>
        <w:rPr>
          <w:b/>
        </w:rPr>
        <w:t>éclairage et de la signalisation lumineuse</w:t>
      </w:r>
    </w:p>
    <w:p w:rsidR="00AF2FE6" w:rsidRDefault="00AF2FE6" w:rsidP="00257168">
      <w:pPr>
        <w:spacing w:before="120" w:line="240" w:lineRule="exact"/>
        <w:rPr>
          <w:b/>
        </w:rPr>
      </w:pPr>
      <w:r w:rsidRPr="00FA2351">
        <w:rPr>
          <w:b/>
          <w:lang w:val="fr-FR"/>
        </w:rPr>
        <w:t>Soixante-dix-neuvième</w:t>
      </w:r>
      <w:r>
        <w:rPr>
          <w:b/>
        </w:rPr>
        <w:t xml:space="preserve"> session</w:t>
      </w:r>
    </w:p>
    <w:p w:rsidR="00AF2FE6" w:rsidRPr="00FA2351" w:rsidRDefault="00AF2FE6" w:rsidP="00AF2FE6">
      <w:pPr>
        <w:rPr>
          <w:bCs/>
          <w:lang w:val="fr-FR"/>
        </w:rPr>
      </w:pPr>
      <w:r w:rsidRPr="00FA2351">
        <w:rPr>
          <w:lang w:val="fr-FR"/>
        </w:rPr>
        <w:t>Genève</w:t>
      </w:r>
      <w:r w:rsidRPr="00FA2351">
        <w:rPr>
          <w:bCs/>
          <w:lang w:val="fr-FR"/>
        </w:rPr>
        <w:t>, 24-27 avril 2018</w:t>
      </w:r>
    </w:p>
    <w:p w:rsidR="00AF2FE6" w:rsidRPr="00FA2351" w:rsidRDefault="00AF2FE6" w:rsidP="00AF2FE6">
      <w:pPr>
        <w:ind w:right="1134"/>
        <w:rPr>
          <w:bCs/>
          <w:lang w:val="fr-FR"/>
        </w:rPr>
      </w:pPr>
      <w:r w:rsidRPr="00FA2351">
        <w:rPr>
          <w:bCs/>
          <w:lang w:val="fr-FR"/>
        </w:rPr>
        <w:t>Point 7</w:t>
      </w:r>
      <w:r w:rsidR="00F54AA8">
        <w:rPr>
          <w:bCs/>
          <w:lang w:val="fr-FR"/>
        </w:rPr>
        <w:t> </w:t>
      </w:r>
      <w:r w:rsidRPr="00FA2351">
        <w:rPr>
          <w:bCs/>
          <w:lang w:val="fr-FR"/>
        </w:rPr>
        <w:t>d) de l</w:t>
      </w:r>
      <w:r w:rsidR="0012273D">
        <w:rPr>
          <w:bCs/>
          <w:lang w:val="fr-FR"/>
        </w:rPr>
        <w:t>’</w:t>
      </w:r>
      <w:r w:rsidRPr="00FA2351">
        <w:rPr>
          <w:bCs/>
          <w:lang w:val="fr-FR"/>
        </w:rPr>
        <w:t>ordre du jour provisoire</w:t>
      </w:r>
    </w:p>
    <w:p w:rsidR="00AF2FE6" w:rsidRPr="00FA2351" w:rsidRDefault="00AF2FE6" w:rsidP="00AF2FE6">
      <w:pPr>
        <w:ind w:right="1134"/>
        <w:rPr>
          <w:b/>
          <w:lang w:val="fr-FR"/>
        </w:rPr>
      </w:pPr>
      <w:r w:rsidRPr="00FA2351">
        <w:rPr>
          <w:b/>
          <w:lang w:val="fr-FR"/>
        </w:rPr>
        <w:t>Autres Règlements</w:t>
      </w:r>
      <w:r w:rsidR="00F54AA8">
        <w:rPr>
          <w:b/>
          <w:lang w:val="fr-FR"/>
        </w:rPr>
        <w:t> </w:t>
      </w:r>
      <w:r w:rsidRPr="00FA2351">
        <w:rPr>
          <w:b/>
          <w:lang w:val="fr-FR"/>
        </w:rPr>
        <w:t>:</w:t>
      </w:r>
    </w:p>
    <w:p w:rsidR="00F9573C" w:rsidRDefault="00AF2FE6" w:rsidP="00AF2FE6">
      <w:pPr>
        <w:spacing w:line="240" w:lineRule="exact"/>
        <w:rPr>
          <w:b/>
          <w:bCs/>
          <w:lang w:val="fr-FR"/>
        </w:rPr>
      </w:pPr>
      <w:r>
        <w:rPr>
          <w:b/>
          <w:bCs/>
          <w:lang w:val="fr-FR"/>
        </w:rPr>
        <w:t xml:space="preserve">Règlement </w:t>
      </w:r>
      <w:r w:rsidRPr="00AF2FE6">
        <w:rPr>
          <w:rFonts w:eastAsia="MS Mincho"/>
          <w:b/>
          <w:bCs/>
          <w:szCs w:val="22"/>
          <w:lang w:val="fr-FR"/>
        </w:rPr>
        <w:t>n</w:t>
      </w:r>
      <w:r w:rsidRPr="00AF2FE6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FA2351">
        <w:rPr>
          <w:b/>
          <w:bCs/>
          <w:lang w:val="fr-FR"/>
        </w:rPr>
        <w:t>74 (Installation des dispositifs d</w:t>
      </w:r>
      <w:r w:rsidR="0012273D">
        <w:rPr>
          <w:b/>
          <w:bCs/>
          <w:lang w:val="fr-FR"/>
        </w:rPr>
        <w:t>’</w:t>
      </w:r>
      <w:r w:rsidRPr="00FA2351"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 w:rsidRPr="00FA2351">
        <w:rPr>
          <w:b/>
          <w:bCs/>
          <w:lang w:val="fr-FR"/>
        </w:rPr>
        <w:t>et de signalisation lumineuse sur les cyclomoteurs)</w:t>
      </w:r>
    </w:p>
    <w:p w:rsidR="00F54AA8" w:rsidRPr="00FA2351" w:rsidRDefault="00F54AA8" w:rsidP="00F54AA8">
      <w:pPr>
        <w:pStyle w:val="HChG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Pr="00FA2351">
        <w:rPr>
          <w:szCs w:val="28"/>
          <w:lang w:val="fr-FR"/>
        </w:rPr>
        <w:t xml:space="preserve">Proposition de nouveau complément à la série 01 </w:t>
      </w:r>
      <w:r w:rsidRPr="00F54AA8">
        <w:t>d</w:t>
      </w:r>
      <w:r w:rsidR="0012273D">
        <w:t>’</w:t>
      </w:r>
      <w:r w:rsidRPr="00F54AA8">
        <w:t>amendements</w:t>
      </w:r>
      <w:r w:rsidRPr="00FA2351">
        <w:rPr>
          <w:szCs w:val="28"/>
          <w:lang w:val="fr-FR"/>
        </w:rPr>
        <w:t xml:space="preserve"> au Règlement n</w:t>
      </w:r>
      <w:r w:rsidRPr="00FA2351">
        <w:rPr>
          <w:szCs w:val="28"/>
          <w:vertAlign w:val="superscript"/>
          <w:lang w:val="fr-FR"/>
        </w:rPr>
        <w:t>o</w:t>
      </w:r>
      <w:r w:rsidRPr="00FA2351">
        <w:rPr>
          <w:szCs w:val="28"/>
          <w:lang w:val="fr-FR"/>
        </w:rPr>
        <w:t> 74 (</w:t>
      </w:r>
      <w:r w:rsidRPr="00FA2351">
        <w:rPr>
          <w:lang w:val="fr-FR"/>
        </w:rPr>
        <w:t xml:space="preserve">Installation </w:t>
      </w:r>
      <w:r>
        <w:rPr>
          <w:lang w:val="fr-FR"/>
        </w:rPr>
        <w:br/>
      </w:r>
      <w:r w:rsidRPr="00FA2351">
        <w:rPr>
          <w:lang w:val="fr-FR"/>
        </w:rPr>
        <w:t>des dispositifs d</w:t>
      </w:r>
      <w:r w:rsidR="0012273D">
        <w:rPr>
          <w:lang w:val="fr-FR"/>
        </w:rPr>
        <w:t>’</w:t>
      </w:r>
      <w:r w:rsidRPr="00FA2351">
        <w:rPr>
          <w:lang w:val="fr-FR"/>
        </w:rPr>
        <w:t xml:space="preserve">éclairage et de signalisation </w:t>
      </w:r>
      <w:r>
        <w:rPr>
          <w:lang w:val="fr-FR"/>
        </w:rPr>
        <w:br/>
      </w:r>
      <w:r w:rsidRPr="00FA2351">
        <w:rPr>
          <w:lang w:val="fr-FR"/>
        </w:rPr>
        <w:t>lumineuse sur les cyclomoteurs</w:t>
      </w:r>
      <w:r w:rsidRPr="00FA2351">
        <w:rPr>
          <w:szCs w:val="28"/>
          <w:lang w:val="fr-FR"/>
        </w:rPr>
        <w:t>)</w:t>
      </w:r>
    </w:p>
    <w:p w:rsidR="00F54AA8" w:rsidRPr="00FA2351" w:rsidRDefault="00F54AA8" w:rsidP="00F54AA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A2351">
        <w:rPr>
          <w:lang w:val="fr-FR"/>
        </w:rPr>
        <w:t xml:space="preserve">Communication </w:t>
      </w:r>
      <w:r w:rsidRPr="00F54AA8">
        <w:t>de</w:t>
      </w:r>
      <w:r w:rsidRPr="00FA2351">
        <w:rPr>
          <w:lang w:val="fr-FR"/>
        </w:rPr>
        <w:t xml:space="preserve"> l</w:t>
      </w:r>
      <w:r w:rsidR="0012273D">
        <w:rPr>
          <w:lang w:val="fr-FR"/>
        </w:rPr>
        <w:t>’</w:t>
      </w:r>
      <w:r w:rsidRPr="00FA2351">
        <w:rPr>
          <w:lang w:val="fr-FR"/>
        </w:rPr>
        <w:t>expert de la Tchéquie</w:t>
      </w:r>
      <w:r w:rsidRPr="00F54AA8">
        <w:rPr>
          <w:b w:val="0"/>
          <w:sz w:val="20"/>
          <w:lang w:val="fr-FR"/>
        </w:rPr>
        <w:footnoteReference w:customMarkFollows="1" w:id="2"/>
        <w:t>*</w:t>
      </w:r>
    </w:p>
    <w:p w:rsidR="00D92AB1" w:rsidRDefault="00DD3C75" w:rsidP="00F54AA8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</w:t>
      </w:r>
      <w:r w:rsidR="00F54AA8" w:rsidRPr="00FA2351">
        <w:rPr>
          <w:lang w:val="fr-FR"/>
        </w:rPr>
        <w:t xml:space="preserve"> par l</w:t>
      </w:r>
      <w:r w:rsidR="0012273D">
        <w:rPr>
          <w:lang w:val="fr-FR"/>
        </w:rPr>
        <w:t>’</w:t>
      </w:r>
      <w:r w:rsidR="00F54AA8" w:rsidRPr="00FA2351">
        <w:rPr>
          <w:lang w:val="fr-FR"/>
        </w:rPr>
        <w:t>expert de la Tchéquie en collaboration avec l</w:t>
      </w:r>
      <w:r w:rsidR="0012273D">
        <w:rPr>
          <w:lang w:val="fr-FR"/>
        </w:rPr>
        <w:t>’</w:t>
      </w:r>
      <w:r w:rsidR="00F54AA8" w:rsidRPr="00FA2351">
        <w:rPr>
          <w:lang w:val="fr-FR"/>
        </w:rPr>
        <w:t>Association internationale des constructeurs de motocycles (IMMA), vise à corriger et clarifier les prescriptions applicables aux feux</w:t>
      </w:r>
      <w:r>
        <w:rPr>
          <w:lang w:val="fr-FR"/>
        </w:rPr>
        <w:t xml:space="preserve"> de </w:t>
      </w:r>
      <w:r w:rsidR="00F54AA8" w:rsidRPr="00FA2351">
        <w:rPr>
          <w:lang w:val="fr-FR"/>
        </w:rPr>
        <w:t>route et aux feux</w:t>
      </w:r>
      <w:r>
        <w:rPr>
          <w:lang w:val="fr-FR"/>
        </w:rPr>
        <w:t xml:space="preserve"> de </w:t>
      </w:r>
      <w:r w:rsidR="00F54AA8" w:rsidRPr="00FA2351">
        <w:rPr>
          <w:lang w:val="fr-FR"/>
        </w:rPr>
        <w:t>croisement des cyclomoteurs. Les modifications qu</w:t>
      </w:r>
      <w:r w:rsidR="0012273D">
        <w:rPr>
          <w:lang w:val="fr-FR"/>
        </w:rPr>
        <w:t>’</w:t>
      </w:r>
      <w:r w:rsidR="00F54AA8" w:rsidRPr="00FA2351">
        <w:rPr>
          <w:lang w:val="fr-FR"/>
        </w:rPr>
        <w:t>il est proposé d</w:t>
      </w:r>
      <w:r w:rsidR="0012273D">
        <w:rPr>
          <w:lang w:val="fr-FR"/>
        </w:rPr>
        <w:t>’</w:t>
      </w:r>
      <w:r w:rsidR="00F54AA8" w:rsidRPr="00FA2351">
        <w:rPr>
          <w:lang w:val="fr-FR"/>
        </w:rPr>
        <w:t>apporter au texte actuel du Règlement figurent en caractères gras pour les ajouts et biffés pour les suppressions.</w:t>
      </w:r>
    </w:p>
    <w:p w:rsidR="00D92AB1" w:rsidRPr="00FA2351" w:rsidRDefault="00D92AB1" w:rsidP="00D92AB1">
      <w:pPr>
        <w:spacing w:before="360" w:after="240" w:line="300" w:lineRule="exact"/>
        <w:ind w:left="1134" w:right="1134" w:hanging="567"/>
        <w:rPr>
          <w:b/>
          <w:sz w:val="28"/>
          <w:lang w:val="fr-FR"/>
        </w:rPr>
      </w:pPr>
      <w:r>
        <w:rPr>
          <w:lang w:val="fr-FR"/>
        </w:rPr>
        <w:br w:type="page"/>
      </w:r>
      <w:r w:rsidRPr="00FA2351">
        <w:rPr>
          <w:b/>
          <w:sz w:val="28"/>
          <w:lang w:val="fr-FR"/>
        </w:rPr>
        <w:lastRenderedPageBreak/>
        <w:t>I.</w:t>
      </w:r>
      <w:r w:rsidRPr="00FA2351">
        <w:rPr>
          <w:b/>
          <w:sz w:val="28"/>
          <w:lang w:val="fr-FR"/>
        </w:rPr>
        <w:tab/>
        <w:t>Proposition</w:t>
      </w:r>
    </w:p>
    <w:p w:rsidR="00D92AB1" w:rsidRPr="00FA2351" w:rsidRDefault="00D92AB1" w:rsidP="00D92AB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 w:rsidRPr="00FA2351">
        <w:rPr>
          <w:i/>
          <w:lang w:val="fr-FR"/>
        </w:rPr>
        <w:t xml:space="preserve">Paragraphe 6.1, </w:t>
      </w:r>
      <w:r w:rsidRPr="00FA2351">
        <w:rPr>
          <w:lang w:val="fr-FR"/>
        </w:rPr>
        <w:t>modifier comme suit</w:t>
      </w:r>
      <w:r>
        <w:rPr>
          <w:lang w:val="fr-FR"/>
        </w:rPr>
        <w:t> </w:t>
      </w:r>
      <w:r w:rsidRPr="00FA2351">
        <w:rPr>
          <w:lang w:val="fr-FR"/>
        </w:rPr>
        <w:t>: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6.1</w:t>
      </w:r>
      <w:r w:rsidRPr="00FA2351">
        <w:rPr>
          <w:lang w:val="fr-FR"/>
        </w:rPr>
        <w:tab/>
        <w:t>FEU-ROUTE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 w:rsidRPr="00FA2351">
        <w:rPr>
          <w:lang w:val="fr-FR"/>
        </w:rPr>
        <w:t>6.1.1</w:t>
      </w:r>
      <w:r w:rsidRPr="00FA2351">
        <w:rPr>
          <w:lang w:val="fr-FR"/>
        </w:rPr>
        <w:tab/>
        <w:t xml:space="preserve">Nombre 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Un ou deux du type homologué selon</w:t>
      </w:r>
      <w:r w:rsidR="00EF5481">
        <w:rPr>
          <w:lang w:val="fr-FR"/>
        </w:rPr>
        <w:t> </w:t>
      </w:r>
      <w:r w:rsidRPr="00FA2351">
        <w:rPr>
          <w:lang w:val="fr-FR"/>
        </w:rPr>
        <w:t>:</w:t>
      </w:r>
    </w:p>
    <w:p w:rsidR="00D92AB1" w:rsidRPr="00FA2351" w:rsidRDefault="00570712" w:rsidP="00D92AB1">
      <w:pPr>
        <w:tabs>
          <w:tab w:val="left" w:pos="2800"/>
        </w:tabs>
        <w:spacing w:after="120"/>
        <w:ind w:left="2268" w:right="1134"/>
        <w:rPr>
          <w:lang w:val="fr-FR"/>
        </w:rPr>
      </w:pPr>
      <w:r>
        <w:rPr>
          <w:lang w:val="fr-FR"/>
        </w:rPr>
        <w:t xml:space="preserve">a) </w:t>
      </w:r>
      <w:r w:rsidR="00D92AB1" w:rsidRPr="00FA2351">
        <w:rPr>
          <w:lang w:val="fr-FR"/>
        </w:rPr>
        <w:t>Le Règlement n</w:t>
      </w:r>
      <w:r w:rsidR="00D92AB1" w:rsidRPr="00FA2351">
        <w:rPr>
          <w:vertAlign w:val="superscript"/>
          <w:lang w:val="fr-FR"/>
        </w:rPr>
        <w:t>o</w:t>
      </w:r>
      <w:r w:rsidR="00D92AB1" w:rsidRPr="00FA2351">
        <w:rPr>
          <w:lang w:val="fr-FR"/>
        </w:rPr>
        <w:t> 113</w:t>
      </w:r>
      <w:r w:rsidR="00EF5481">
        <w:rPr>
          <w:lang w:val="fr-FR"/>
        </w:rPr>
        <w:t> </w:t>
      </w:r>
      <w:r w:rsidR="00D92AB1" w:rsidRPr="00FA2351">
        <w:rPr>
          <w:lang w:val="fr-FR"/>
        </w:rPr>
        <w:t>;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b)</w:t>
      </w:r>
      <w:r w:rsidR="00570712">
        <w:rPr>
          <w:lang w:val="fr-FR"/>
        </w:rPr>
        <w:t xml:space="preserve"> </w:t>
      </w:r>
      <w:r w:rsidRPr="00FA2351">
        <w:rPr>
          <w:lang w:val="fr-FR"/>
        </w:rPr>
        <w:t>La classe A</w:t>
      </w:r>
      <w:r w:rsidRPr="00FA2351">
        <w:rPr>
          <w:bCs/>
          <w:lang w:val="fr-FR"/>
        </w:rPr>
        <w:t xml:space="preserve"> </w:t>
      </w:r>
      <w:r w:rsidRPr="00FA2351">
        <w:rPr>
          <w:b/>
          <w:bCs/>
          <w:lang w:val="fr-FR"/>
        </w:rPr>
        <w:t>ou B</w:t>
      </w:r>
      <w:r w:rsidRPr="00FA2351">
        <w:rPr>
          <w:bCs/>
          <w:lang w:val="fr-FR"/>
        </w:rPr>
        <w:t xml:space="preserve"> </w:t>
      </w:r>
      <w:r w:rsidRPr="00FA2351">
        <w:rPr>
          <w:lang w:val="fr-FR"/>
        </w:rPr>
        <w:t>du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</w:t>
      </w:r>
      <w:r w:rsidR="00EF5481">
        <w:rPr>
          <w:lang w:val="fr-FR"/>
        </w:rPr>
        <w:t>112 ;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c)</w:t>
      </w:r>
      <w:r w:rsidR="00570712">
        <w:rPr>
          <w:lang w:val="fr-FR"/>
        </w:rPr>
        <w:t xml:space="preserve"> </w:t>
      </w:r>
      <w:r w:rsidRPr="00FA2351">
        <w:rPr>
          <w:lang w:val="fr-FR"/>
        </w:rPr>
        <w:t>...</w:t>
      </w:r>
      <w:r w:rsidR="00EF5481">
        <w:rPr>
          <w:lang w:val="fr-FR"/>
        </w:rPr>
        <w:t> »</w:t>
      </w:r>
      <w:r w:rsidRPr="00FA2351">
        <w:rPr>
          <w:lang w:val="fr-FR"/>
        </w:rPr>
        <w:t>.</w:t>
      </w:r>
    </w:p>
    <w:p w:rsidR="00D92AB1" w:rsidRPr="00FA2351" w:rsidRDefault="00D92AB1" w:rsidP="00D92AB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 w:rsidRPr="00FA2351">
        <w:rPr>
          <w:i/>
          <w:lang w:val="fr-FR"/>
        </w:rPr>
        <w:t xml:space="preserve">Paragraphe 6.2, </w:t>
      </w:r>
      <w:r w:rsidRPr="00FA2351">
        <w:rPr>
          <w:lang w:val="fr-FR"/>
        </w:rPr>
        <w:t>modifier comme suit</w:t>
      </w:r>
      <w:r w:rsidR="0012273D">
        <w:rPr>
          <w:lang w:val="fr-FR"/>
        </w:rPr>
        <w:t> </w:t>
      </w:r>
      <w:r w:rsidRPr="00FA2351">
        <w:rPr>
          <w:lang w:val="fr-FR"/>
        </w:rPr>
        <w:t>:</w:t>
      </w:r>
    </w:p>
    <w:p w:rsidR="00D92AB1" w:rsidRPr="00FA2351" w:rsidRDefault="0012273D" w:rsidP="00D92AB1">
      <w:pPr>
        <w:tabs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="00D92AB1" w:rsidRPr="00FA2351">
        <w:rPr>
          <w:lang w:val="fr-FR"/>
        </w:rPr>
        <w:t>6.2</w:t>
      </w:r>
      <w:r w:rsidR="00D92AB1" w:rsidRPr="00FA2351">
        <w:rPr>
          <w:lang w:val="fr-FR"/>
        </w:rPr>
        <w:tab/>
        <w:t>FEU-CROISEMENT</w:t>
      </w:r>
    </w:p>
    <w:p w:rsidR="00D92AB1" w:rsidRPr="00FA2351" w:rsidRDefault="00D92AB1" w:rsidP="00D92AB1">
      <w:pPr>
        <w:tabs>
          <w:tab w:val="left" w:pos="2800"/>
        </w:tabs>
        <w:spacing w:after="120"/>
        <w:ind w:left="2268" w:right="1134" w:hanging="1134"/>
        <w:jc w:val="both"/>
        <w:rPr>
          <w:lang w:val="fr-FR"/>
        </w:rPr>
      </w:pPr>
      <w:r w:rsidRPr="00FA2351">
        <w:rPr>
          <w:lang w:val="fr-FR"/>
        </w:rPr>
        <w:t>6.2.1</w:t>
      </w:r>
      <w:r w:rsidRPr="00FA2351">
        <w:rPr>
          <w:lang w:val="fr-FR"/>
        </w:rPr>
        <w:tab/>
        <w:t xml:space="preserve">Nombre </w:t>
      </w:r>
    </w:p>
    <w:p w:rsidR="00D92AB1" w:rsidRPr="00FA2351" w:rsidRDefault="00D92AB1" w:rsidP="0012273D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Un ou deux du type homologué selon</w:t>
      </w:r>
      <w:r w:rsidR="0012273D">
        <w:rPr>
          <w:lang w:val="fr-FR"/>
        </w:rPr>
        <w:t> </w:t>
      </w:r>
      <w:r w:rsidRPr="00FA2351">
        <w:rPr>
          <w:lang w:val="fr-FR"/>
        </w:rPr>
        <w:t>:</w:t>
      </w:r>
    </w:p>
    <w:p w:rsidR="00D92AB1" w:rsidRPr="00FA2351" w:rsidRDefault="00D92AB1" w:rsidP="0012273D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a)</w:t>
      </w:r>
      <w:r w:rsidR="00570712">
        <w:rPr>
          <w:lang w:val="fr-FR"/>
        </w:rPr>
        <w:t xml:space="preserve"> </w:t>
      </w:r>
      <w:r w:rsidRPr="00FA2351">
        <w:rPr>
          <w:lang w:val="fr-FR"/>
        </w:rPr>
        <w:t>Le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113</w:t>
      </w:r>
      <w:r w:rsidR="0012273D">
        <w:rPr>
          <w:lang w:val="fr-FR"/>
        </w:rPr>
        <w:t> </w:t>
      </w:r>
      <w:r w:rsidRPr="00FA2351">
        <w:rPr>
          <w:lang w:val="fr-FR"/>
        </w:rPr>
        <w:t xml:space="preserve">; </w:t>
      </w:r>
    </w:p>
    <w:p w:rsidR="00D92AB1" w:rsidRPr="00FA2351" w:rsidRDefault="00D92AB1" w:rsidP="0012273D">
      <w:pPr>
        <w:tabs>
          <w:tab w:val="left" w:pos="2800"/>
        </w:tabs>
        <w:spacing w:after="120"/>
        <w:ind w:left="2268" w:right="1134"/>
        <w:rPr>
          <w:lang w:val="fr-FR"/>
        </w:rPr>
      </w:pPr>
      <w:r w:rsidRPr="00FA2351">
        <w:rPr>
          <w:lang w:val="fr-FR"/>
        </w:rPr>
        <w:t>b)</w:t>
      </w:r>
      <w:r w:rsidR="00570712">
        <w:rPr>
          <w:lang w:val="fr-FR"/>
        </w:rPr>
        <w:t xml:space="preserve"> </w:t>
      </w:r>
      <w:r w:rsidRPr="00FA2351">
        <w:rPr>
          <w:lang w:val="fr-FR"/>
        </w:rPr>
        <w:t>La classe A</w:t>
      </w:r>
      <w:r w:rsidRPr="00FA2351">
        <w:rPr>
          <w:bCs/>
          <w:lang w:val="fr-FR"/>
        </w:rPr>
        <w:t xml:space="preserve"> </w:t>
      </w:r>
      <w:r w:rsidRPr="00FA2351">
        <w:rPr>
          <w:b/>
          <w:bCs/>
          <w:lang w:val="fr-FR"/>
        </w:rPr>
        <w:t>ou B</w:t>
      </w:r>
      <w:r w:rsidRPr="00FA2351">
        <w:rPr>
          <w:bCs/>
          <w:lang w:val="fr-FR"/>
        </w:rPr>
        <w:t xml:space="preserve"> </w:t>
      </w:r>
      <w:r w:rsidRPr="00FA2351">
        <w:rPr>
          <w:lang w:val="fr-FR"/>
        </w:rPr>
        <w:t>du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</w:t>
      </w:r>
      <w:r w:rsidR="0012273D">
        <w:rPr>
          <w:lang w:val="fr-FR"/>
        </w:rPr>
        <w:t>112 ;</w:t>
      </w:r>
    </w:p>
    <w:p w:rsidR="00D92AB1" w:rsidRPr="00FA2351" w:rsidRDefault="00D92AB1" w:rsidP="0012273D">
      <w:pPr>
        <w:tabs>
          <w:tab w:val="left" w:pos="2800"/>
        </w:tabs>
        <w:spacing w:after="120"/>
        <w:ind w:left="2268" w:right="1134"/>
        <w:rPr>
          <w:lang w:val="fr-FR" w:eastAsia="ja-JP"/>
        </w:rPr>
      </w:pPr>
      <w:r w:rsidRPr="00FA2351">
        <w:rPr>
          <w:lang w:val="fr-FR"/>
        </w:rPr>
        <w:t>c)</w:t>
      </w:r>
      <w:r w:rsidR="00570712">
        <w:rPr>
          <w:lang w:val="fr-FR"/>
        </w:rPr>
        <w:t xml:space="preserve"> </w:t>
      </w:r>
      <w:r w:rsidRPr="00FA2351">
        <w:rPr>
          <w:lang w:val="fr-FR"/>
        </w:rPr>
        <w:t>...</w:t>
      </w:r>
      <w:r w:rsidR="0012273D">
        <w:rPr>
          <w:lang w:val="fr-FR"/>
        </w:rPr>
        <w:t> »</w:t>
      </w:r>
      <w:r w:rsidRPr="00FA2351">
        <w:rPr>
          <w:lang w:val="fr-FR"/>
        </w:rPr>
        <w:t>.</w:t>
      </w:r>
    </w:p>
    <w:p w:rsidR="00D92AB1" w:rsidRPr="00FA2351" w:rsidRDefault="00D92AB1" w:rsidP="0012273D">
      <w:pPr>
        <w:pStyle w:val="HChG"/>
        <w:rPr>
          <w:lang w:val="fr-FR"/>
        </w:rPr>
      </w:pPr>
      <w:r w:rsidRPr="00FA2351">
        <w:rPr>
          <w:lang w:val="fr-FR"/>
        </w:rPr>
        <w:tab/>
        <w:t>II.</w:t>
      </w:r>
      <w:r w:rsidRPr="00FA2351">
        <w:rPr>
          <w:lang w:val="fr-FR"/>
        </w:rPr>
        <w:tab/>
      </w:r>
      <w:r w:rsidRPr="0012273D">
        <w:t>Justification</w:t>
      </w:r>
    </w:p>
    <w:p w:rsidR="00D92AB1" w:rsidRPr="00FA2351" w:rsidRDefault="00D92AB1" w:rsidP="0012273D">
      <w:pPr>
        <w:pStyle w:val="SingleTxtG"/>
        <w:rPr>
          <w:lang w:val="fr-FR"/>
        </w:rPr>
      </w:pPr>
      <w:r w:rsidRPr="00FA2351">
        <w:rPr>
          <w:lang w:val="fr-FR"/>
        </w:rPr>
        <w:t>1.</w:t>
      </w:r>
      <w:r w:rsidRPr="00FA2351">
        <w:rPr>
          <w:lang w:val="fr-FR"/>
        </w:rPr>
        <w:tab/>
        <w:t>La présente proposition est motivée par les prescriptions des Règlements n</w:t>
      </w:r>
      <w:r w:rsidRPr="00FA2351">
        <w:rPr>
          <w:vertAlign w:val="superscript"/>
          <w:lang w:val="fr-FR"/>
        </w:rPr>
        <w:t>os</w:t>
      </w:r>
      <w:r w:rsidRPr="00FA2351">
        <w:rPr>
          <w:lang w:val="fr-FR"/>
        </w:rPr>
        <w:t> 74 et 112. Les projecteurs de la classe B du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112 sont officiellement interdits par les dispositions du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74. Il est toutefois possible d</w:t>
      </w:r>
      <w:r w:rsidR="0012273D">
        <w:rPr>
          <w:lang w:val="fr-FR"/>
        </w:rPr>
        <w:t>’</w:t>
      </w:r>
      <w:r w:rsidRPr="00FA2351">
        <w:rPr>
          <w:lang w:val="fr-FR"/>
        </w:rPr>
        <w:t>homologuer un dispositif respectant les limites applicables aux projecteurs de la classe A en tant que dispositif de la classe B, conformément au Règlement n</w:t>
      </w:r>
      <w:r w:rsidRPr="00FA2351">
        <w:rPr>
          <w:vertAlign w:val="superscript"/>
          <w:lang w:val="fr-FR"/>
        </w:rPr>
        <w:t>o</w:t>
      </w:r>
      <w:r w:rsidRPr="00FA2351">
        <w:rPr>
          <w:lang w:val="fr-FR"/>
        </w:rPr>
        <w:t> 112. Il s</w:t>
      </w:r>
      <w:r w:rsidR="0012273D">
        <w:rPr>
          <w:lang w:val="fr-FR"/>
        </w:rPr>
        <w:t>’</w:t>
      </w:r>
      <w:r w:rsidRPr="00FA2351">
        <w:rPr>
          <w:lang w:val="fr-FR"/>
        </w:rPr>
        <w:t>agit donc uniquement d</w:t>
      </w:r>
      <w:r w:rsidR="0012273D">
        <w:rPr>
          <w:lang w:val="fr-FR"/>
        </w:rPr>
        <w:t>’</w:t>
      </w:r>
      <w:r w:rsidRPr="00FA2351">
        <w:rPr>
          <w:lang w:val="fr-FR"/>
        </w:rPr>
        <w:t>une interdiction théorique.</w:t>
      </w:r>
    </w:p>
    <w:p w:rsidR="00F54AA8" w:rsidRDefault="00570712" w:rsidP="00570712">
      <w:pPr>
        <w:pStyle w:val="SingleTxtG"/>
        <w:rPr>
          <w:lang w:val="fr-FR"/>
        </w:rPr>
      </w:pPr>
      <w:r>
        <w:rPr>
          <w:lang w:val="fr-FR"/>
        </w:rPr>
        <w:t>2.</w:t>
      </w:r>
      <w:r w:rsidR="00D92AB1" w:rsidRPr="00FA2351">
        <w:rPr>
          <w:lang w:val="fr-FR"/>
        </w:rPr>
        <w:tab/>
        <w:t>La présente proposition a pour objet d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ajouter au Règlement n</w:t>
      </w:r>
      <w:r w:rsidR="00D92AB1" w:rsidRPr="00FA2351">
        <w:rPr>
          <w:vertAlign w:val="superscript"/>
          <w:lang w:val="fr-FR"/>
        </w:rPr>
        <w:t>o</w:t>
      </w:r>
      <w:r w:rsidR="00D92AB1" w:rsidRPr="00FA2351">
        <w:rPr>
          <w:lang w:val="fr-FR"/>
        </w:rPr>
        <w:t> 74 des dispositions autorisant l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installation de projecteurs de la classe B sur les cyclomoteurs. Comme expliqué plus haut, il ne s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agit pas d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une modification technique mais d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une mesure permettant de clarifier et de simplifier la procédure d</w:t>
      </w:r>
      <w:r w:rsidR="0012273D">
        <w:rPr>
          <w:lang w:val="fr-FR"/>
        </w:rPr>
        <w:t>’</w:t>
      </w:r>
      <w:r w:rsidR="00D92AB1" w:rsidRPr="00FA2351">
        <w:rPr>
          <w:lang w:val="fr-FR"/>
        </w:rPr>
        <w:t>homologation.</w:t>
      </w:r>
    </w:p>
    <w:p w:rsidR="00D92AB1" w:rsidRPr="0012273D" w:rsidRDefault="0012273D" w:rsidP="001227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2AB1" w:rsidRPr="0012273D" w:rsidSect="00AF2F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E3" w:rsidRDefault="000C2CE3" w:rsidP="00F95C08">
      <w:pPr>
        <w:spacing w:line="240" w:lineRule="auto"/>
      </w:pPr>
    </w:p>
  </w:endnote>
  <w:endnote w:type="continuationSeparator" w:id="0">
    <w:p w:rsidR="000C2CE3" w:rsidRPr="00AC3823" w:rsidRDefault="000C2CE3" w:rsidP="00AC3823">
      <w:pPr>
        <w:pStyle w:val="Footer"/>
      </w:pPr>
    </w:p>
  </w:endnote>
  <w:endnote w:type="continuationNotice" w:id="1">
    <w:p w:rsidR="000C2CE3" w:rsidRDefault="000C2C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E6" w:rsidRPr="00AF2FE6" w:rsidRDefault="00AF2FE6" w:rsidP="00AF2FE6">
    <w:pPr>
      <w:pStyle w:val="Footer"/>
      <w:tabs>
        <w:tab w:val="right" w:pos="9638"/>
      </w:tabs>
    </w:pPr>
    <w:r w:rsidRPr="00AF2FE6">
      <w:rPr>
        <w:b/>
        <w:sz w:val="18"/>
      </w:rPr>
      <w:fldChar w:fldCharType="begin"/>
    </w:r>
    <w:r w:rsidRPr="00AF2FE6">
      <w:rPr>
        <w:b/>
        <w:sz w:val="18"/>
      </w:rPr>
      <w:instrText xml:space="preserve"> PAGE  \* MERGEFORMAT </w:instrText>
    </w:r>
    <w:r w:rsidRPr="00AF2FE6">
      <w:rPr>
        <w:b/>
        <w:sz w:val="18"/>
      </w:rPr>
      <w:fldChar w:fldCharType="separate"/>
    </w:r>
    <w:r w:rsidR="00FE5C25">
      <w:rPr>
        <w:b/>
        <w:noProof/>
        <w:sz w:val="18"/>
      </w:rPr>
      <w:t>2</w:t>
    </w:r>
    <w:r w:rsidRPr="00AF2FE6">
      <w:rPr>
        <w:b/>
        <w:sz w:val="18"/>
      </w:rPr>
      <w:fldChar w:fldCharType="end"/>
    </w:r>
    <w:r>
      <w:rPr>
        <w:b/>
        <w:sz w:val="18"/>
      </w:rPr>
      <w:tab/>
    </w:r>
    <w:r>
      <w:t>GE.18-01962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E6" w:rsidRPr="00AF2FE6" w:rsidRDefault="00AF2FE6" w:rsidP="00AF2FE6">
    <w:pPr>
      <w:pStyle w:val="Footer"/>
      <w:tabs>
        <w:tab w:val="right" w:pos="9638"/>
      </w:tabs>
      <w:rPr>
        <w:b/>
        <w:sz w:val="18"/>
      </w:rPr>
    </w:pPr>
    <w:r>
      <w:t>GE.18-01962</w:t>
    </w:r>
    <w:r>
      <w:tab/>
    </w:r>
    <w:r w:rsidRPr="00AF2FE6">
      <w:rPr>
        <w:b/>
        <w:sz w:val="18"/>
      </w:rPr>
      <w:fldChar w:fldCharType="begin"/>
    </w:r>
    <w:r w:rsidRPr="00AF2FE6">
      <w:rPr>
        <w:b/>
        <w:sz w:val="18"/>
      </w:rPr>
      <w:instrText xml:space="preserve"> PAGE  \* MERGEFORMAT </w:instrText>
    </w:r>
    <w:r w:rsidRPr="00AF2FE6">
      <w:rPr>
        <w:b/>
        <w:sz w:val="18"/>
      </w:rPr>
      <w:fldChar w:fldCharType="separate"/>
    </w:r>
    <w:r w:rsidR="00FF5E98">
      <w:rPr>
        <w:b/>
        <w:noProof/>
        <w:sz w:val="18"/>
      </w:rPr>
      <w:t>2</w:t>
    </w:r>
    <w:r w:rsidRPr="00AF2F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F2FE6" w:rsidRDefault="00AF2FE6" w:rsidP="00AF2FE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18-01962  (F)</w:t>
    </w:r>
    <w:r w:rsidR="008F2B13">
      <w:rPr>
        <w:sz w:val="20"/>
      </w:rPr>
      <w:t xml:space="preserve">    270218    270218</w:t>
    </w:r>
    <w:r>
      <w:rPr>
        <w:sz w:val="20"/>
      </w:rPr>
      <w:br/>
    </w:r>
    <w:r w:rsidRPr="00AF2FE6">
      <w:rPr>
        <w:rFonts w:ascii="C39T30Lfz" w:hAnsi="C39T30Lfz"/>
        <w:sz w:val="56"/>
      </w:rPr>
      <w:t></w:t>
    </w:r>
    <w:r w:rsidRPr="00AF2FE6">
      <w:rPr>
        <w:rFonts w:ascii="C39T30Lfz" w:hAnsi="C39T30Lfz"/>
        <w:sz w:val="56"/>
      </w:rPr>
      <w:t></w:t>
    </w:r>
    <w:r w:rsidRPr="00AF2FE6">
      <w:rPr>
        <w:rFonts w:ascii="C39T30Lfz" w:hAnsi="C39T30Lfz"/>
        <w:sz w:val="56"/>
      </w:rPr>
      <w:t></w:t>
    </w:r>
    <w:r w:rsidRPr="00AF2FE6">
      <w:rPr>
        <w:rFonts w:ascii="C39T30Lfz" w:hAnsi="C39T30Lfz"/>
        <w:sz w:val="56"/>
      </w:rPr>
      <w:t></w:t>
    </w:r>
    <w:r w:rsidRPr="00AF2FE6">
      <w:rPr>
        <w:rFonts w:ascii="C39T30Lfz" w:hAnsi="C39T30Lfz"/>
        <w:sz w:val="56"/>
      </w:rPr>
      <w:t></w:t>
    </w:r>
    <w:r w:rsidRPr="00AF2FE6">
      <w:rPr>
        <w:rFonts w:ascii="C39T30Lfz" w:hAnsi="C39T30Lfz"/>
        <w:sz w:val="56"/>
      </w:rPr>
      <w:t></w:t>
    </w:r>
    <w:r w:rsidRPr="00AF2FE6">
      <w:rPr>
        <w:rFonts w:ascii="C39T30Lfz" w:hAnsi="C39T30Lfz"/>
        <w:sz w:val="56"/>
      </w:rPr>
      <w:t></w:t>
    </w:r>
    <w:r w:rsidRPr="00AF2FE6">
      <w:rPr>
        <w:rFonts w:ascii="C39T30Lfz" w:hAnsi="C39T30Lfz"/>
        <w:sz w:val="56"/>
      </w:rPr>
      <w:t></w:t>
    </w:r>
    <w:r w:rsidRPr="00AF2FE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E3" w:rsidRPr="00AC3823" w:rsidRDefault="000C2C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CE3" w:rsidRPr="00AC3823" w:rsidRDefault="000C2C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CE3" w:rsidRPr="00AC3823" w:rsidRDefault="000C2CE3">
      <w:pPr>
        <w:spacing w:line="240" w:lineRule="auto"/>
        <w:rPr>
          <w:sz w:val="2"/>
          <w:szCs w:val="2"/>
        </w:rPr>
      </w:pPr>
    </w:p>
  </w:footnote>
  <w:footnote w:id="2">
    <w:p w:rsidR="00F54AA8" w:rsidRPr="009D5122" w:rsidRDefault="00F54AA8" w:rsidP="008F2B13">
      <w:pPr>
        <w:pStyle w:val="FootnoteText"/>
        <w:rPr>
          <w:rFonts w:eastAsia="Calibri"/>
          <w:lang w:val="fr-FR"/>
        </w:rPr>
      </w:pPr>
      <w:r>
        <w:tab/>
      </w:r>
      <w:r w:rsidRPr="008F2B13">
        <w:rPr>
          <w:rStyle w:val="FootnoteReference"/>
          <w:sz w:val="20"/>
          <w:vertAlign w:val="baseline"/>
          <w:lang w:val="fr-FR"/>
        </w:rPr>
        <w:t>*</w:t>
      </w:r>
      <w:r w:rsidRPr="008F2B13">
        <w:rPr>
          <w:sz w:val="20"/>
          <w:lang w:val="fr-FR"/>
        </w:rPr>
        <w:tab/>
      </w:r>
      <w:r w:rsidRPr="008F2B13">
        <w:rPr>
          <w:spacing w:val="-2"/>
          <w:lang w:val="fr-FR"/>
        </w:rPr>
        <w:t>Conformément au programme de travail du Comité des transports intérieurs pour la période 2014-2018</w:t>
      </w:r>
      <w:r w:rsidR="008F2B13">
        <w:rPr>
          <w:lang w:val="fr-FR"/>
        </w:rPr>
        <w:t xml:space="preserve"> (ECE/TRANS/240, par. </w:t>
      </w:r>
      <w:r w:rsidRPr="00780858">
        <w:rPr>
          <w:lang w:val="fr-FR"/>
        </w:rPr>
        <w:t xml:space="preserve">105, et ECE/TRANS/2014/26, </w:t>
      </w:r>
      <w:r>
        <w:rPr>
          <w:lang w:val="fr-FR"/>
        </w:rPr>
        <w:t>module</w:t>
      </w:r>
      <w:r w:rsidRPr="00780858">
        <w:rPr>
          <w:lang w:val="fr-FR"/>
        </w:rPr>
        <w:t> 02.4), le Forum mondial a pour mission d</w:t>
      </w:r>
      <w:r w:rsidR="002B11F3">
        <w:rPr>
          <w:lang w:val="fr-FR"/>
        </w:rPr>
        <w:t>’</w:t>
      </w:r>
      <w:r w:rsidRPr="00780858">
        <w:rPr>
          <w:lang w:val="fr-FR"/>
        </w:rPr>
        <w:t>élaborer, d</w:t>
      </w:r>
      <w:r w:rsidR="002B11F3">
        <w:rPr>
          <w:lang w:val="fr-FR"/>
        </w:rPr>
        <w:t>’</w:t>
      </w:r>
      <w:r w:rsidRPr="00780858">
        <w:rPr>
          <w:lang w:val="fr-FR"/>
        </w:rPr>
        <w:t>harmoniser et de mettre à jour les Règlements en vue d</w:t>
      </w:r>
      <w:r w:rsidR="002B11F3">
        <w:rPr>
          <w:lang w:val="fr-FR"/>
        </w:rPr>
        <w:t>’</w:t>
      </w:r>
      <w:r w:rsidRPr="00780858">
        <w:rPr>
          <w:lang w:val="fr-FR"/>
        </w:rPr>
        <w:t>améliorer les caractéristiques fonctionnelles des véhicules. Le présent document est soumis en vertu de ce mandat</w:t>
      </w:r>
      <w:r w:rsidRPr="009D5122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E6" w:rsidRPr="00AF2FE6" w:rsidRDefault="00FE5C2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5E98">
      <w:t>ECE/TRANS/WP.29/GRE/2018/24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E6" w:rsidRPr="00AF2FE6" w:rsidRDefault="00FE5C25" w:rsidP="00AF2F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5E98">
      <w:t>ECE/TRANS/WP.29/GRE/2018/24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3"/>
    <w:rsid w:val="00017F94"/>
    <w:rsid w:val="00023842"/>
    <w:rsid w:val="000334F9"/>
    <w:rsid w:val="00045FEB"/>
    <w:rsid w:val="0007796D"/>
    <w:rsid w:val="000B7790"/>
    <w:rsid w:val="000C2CE3"/>
    <w:rsid w:val="00111F2F"/>
    <w:rsid w:val="00114E0C"/>
    <w:rsid w:val="0012273D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11F3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0712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F2B13"/>
    <w:rsid w:val="009446C0"/>
    <w:rsid w:val="009705C8"/>
    <w:rsid w:val="009C1CF4"/>
    <w:rsid w:val="009F6B74"/>
    <w:rsid w:val="00A30353"/>
    <w:rsid w:val="00AC3823"/>
    <w:rsid w:val="00AE323C"/>
    <w:rsid w:val="00AF0CB5"/>
    <w:rsid w:val="00AF2FE6"/>
    <w:rsid w:val="00B00181"/>
    <w:rsid w:val="00B00B0D"/>
    <w:rsid w:val="00B765F7"/>
    <w:rsid w:val="00BA0CA9"/>
    <w:rsid w:val="00C02897"/>
    <w:rsid w:val="00C97039"/>
    <w:rsid w:val="00D3439C"/>
    <w:rsid w:val="00D92AB1"/>
    <w:rsid w:val="00DB1831"/>
    <w:rsid w:val="00DD3BFD"/>
    <w:rsid w:val="00DD3C75"/>
    <w:rsid w:val="00DF6678"/>
    <w:rsid w:val="00E0299A"/>
    <w:rsid w:val="00E26020"/>
    <w:rsid w:val="00E85C74"/>
    <w:rsid w:val="00EA6547"/>
    <w:rsid w:val="00EF2E22"/>
    <w:rsid w:val="00EF5481"/>
    <w:rsid w:val="00F35BAF"/>
    <w:rsid w:val="00F54AA8"/>
    <w:rsid w:val="00F660DF"/>
    <w:rsid w:val="00F94664"/>
    <w:rsid w:val="00F9573C"/>
    <w:rsid w:val="00F95C08"/>
    <w:rsid w:val="00FE5C2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907717-425E-47AC-B08F-225CCD80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54AA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54AA8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ECE/TRANS/WP.29/GRE/2018/24</vt:lpstr>
      <vt:lpstr>ECE/TRANS/WP.29/GRE/2018/24</vt:lpstr>
    </vt:vector>
  </TitlesOfParts>
  <Company>DCM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ECE/TRANS/WP.29/GRE/2018/24</dc:title>
  <dc:subject/>
  <dc:creator>Corinne ROBERT</dc:creator>
  <cp:keywords/>
  <cp:lastModifiedBy>Benedicte Boudol</cp:lastModifiedBy>
  <cp:revision>2</cp:revision>
  <cp:lastPrinted>2018-02-27T13:48:00Z</cp:lastPrinted>
  <dcterms:created xsi:type="dcterms:W3CDTF">2018-03-01T10:22:00Z</dcterms:created>
  <dcterms:modified xsi:type="dcterms:W3CDTF">2018-03-01T10:22:00Z</dcterms:modified>
</cp:coreProperties>
</file>