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F4B4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F4B4D" w:rsidRDefault="002D5AAC" w:rsidP="007F4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F4B4D" w:rsidRDefault="00DF71B9" w:rsidP="007F4B4D">
            <w:pPr>
              <w:suppressAutoHyphens/>
              <w:spacing w:after="80" w:line="300" w:lineRule="exact"/>
              <w:rPr>
                <w:spacing w:val="0"/>
                <w:w w:val="100"/>
                <w:sz w:val="28"/>
              </w:rPr>
            </w:pPr>
            <w:r w:rsidRPr="007F4B4D">
              <w:rPr>
                <w:spacing w:val="0"/>
                <w:w w:val="10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F4B4D" w:rsidRDefault="007F4B4D" w:rsidP="007F4B4D">
            <w:pPr>
              <w:suppressAutoHyphens/>
              <w:jc w:val="right"/>
              <w:rPr>
                <w:spacing w:val="0"/>
                <w:w w:val="100"/>
              </w:rPr>
            </w:pPr>
            <w:r w:rsidRPr="007F4B4D">
              <w:rPr>
                <w:spacing w:val="0"/>
                <w:w w:val="100"/>
                <w:sz w:val="40"/>
              </w:rPr>
              <w:t>ECE</w:t>
            </w:r>
            <w:r w:rsidRPr="007F4B4D">
              <w:rPr>
                <w:spacing w:val="0"/>
                <w:w w:val="100"/>
              </w:rPr>
              <w:t>/TRANS/WP.29/GRE/2018/14</w:t>
            </w:r>
          </w:p>
        </w:tc>
      </w:tr>
      <w:tr w:rsidR="002D5AAC" w:rsidRPr="007F4B4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F4B4D" w:rsidRDefault="002E5067" w:rsidP="007F4B4D">
            <w:pPr>
              <w:suppressAutoHyphens/>
              <w:spacing w:before="120"/>
              <w:jc w:val="center"/>
              <w:rPr>
                <w:spacing w:val="0"/>
                <w:w w:val="100"/>
              </w:rPr>
            </w:pPr>
            <w:r w:rsidRPr="007F4B4D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F4B4D" w:rsidRDefault="008A37C8" w:rsidP="007F4B4D">
            <w:pPr>
              <w:suppressAutoHyphens/>
              <w:spacing w:before="120" w:line="460" w:lineRule="exact"/>
              <w:rPr>
                <w:b/>
                <w:spacing w:val="0"/>
                <w:w w:val="100"/>
                <w:sz w:val="34"/>
                <w:szCs w:val="34"/>
              </w:rPr>
            </w:pPr>
            <w:r w:rsidRPr="007F4B4D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t xml:space="preserve">Экономический </w:t>
            </w:r>
            <w:r w:rsidRPr="007F4B4D">
              <w:rPr>
                <w:rFonts w:eastAsia="Times New Roman" w:cs="Times New Roman"/>
                <w:b/>
                <w:spacing w:val="0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F4B4D" w:rsidRDefault="007F4B4D" w:rsidP="007F4B4D">
            <w:pPr>
              <w:suppressAutoHyphens/>
              <w:spacing w:before="240"/>
              <w:rPr>
                <w:spacing w:val="0"/>
                <w:w w:val="100"/>
                <w:lang w:val="en-US"/>
              </w:rPr>
            </w:pPr>
            <w:r w:rsidRPr="007F4B4D">
              <w:rPr>
                <w:spacing w:val="0"/>
                <w:w w:val="100"/>
                <w:lang w:val="en-US"/>
              </w:rPr>
              <w:t>Distr.: General</w:t>
            </w:r>
          </w:p>
          <w:p w:rsidR="007F4B4D" w:rsidRPr="007F4B4D" w:rsidRDefault="007F4B4D" w:rsidP="007F4B4D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F4B4D">
              <w:rPr>
                <w:spacing w:val="0"/>
                <w:w w:val="100"/>
                <w:lang w:val="en-US"/>
              </w:rPr>
              <w:t>6 February 2018</w:t>
            </w:r>
          </w:p>
          <w:p w:rsidR="007F4B4D" w:rsidRPr="007F4B4D" w:rsidRDefault="007F4B4D" w:rsidP="007F4B4D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F4B4D">
              <w:rPr>
                <w:spacing w:val="0"/>
                <w:w w:val="100"/>
                <w:lang w:val="en-US"/>
              </w:rPr>
              <w:t>Russian</w:t>
            </w:r>
          </w:p>
          <w:p w:rsidR="007F4B4D" w:rsidRPr="007F4B4D" w:rsidRDefault="007F4B4D" w:rsidP="007F4B4D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  <w:r w:rsidRPr="007F4B4D">
              <w:rPr>
                <w:spacing w:val="0"/>
                <w:w w:val="100"/>
                <w:lang w:val="en-US"/>
              </w:rPr>
              <w:t>Original: English</w:t>
            </w:r>
          </w:p>
        </w:tc>
      </w:tr>
    </w:tbl>
    <w:p w:rsidR="008A37C8" w:rsidRPr="007F4B4D" w:rsidRDefault="008A37C8" w:rsidP="007F4B4D">
      <w:pPr>
        <w:suppressAutoHyphens/>
        <w:spacing w:before="120"/>
        <w:rPr>
          <w:b/>
          <w:spacing w:val="0"/>
          <w:w w:val="100"/>
          <w:sz w:val="28"/>
          <w:szCs w:val="28"/>
        </w:rPr>
      </w:pPr>
      <w:r w:rsidRPr="007F4B4D">
        <w:rPr>
          <w:b/>
          <w:spacing w:val="0"/>
          <w:w w:val="100"/>
          <w:sz w:val="28"/>
          <w:szCs w:val="28"/>
        </w:rPr>
        <w:t>Европейская экономическая комиссия</w:t>
      </w:r>
    </w:p>
    <w:p w:rsidR="007F4B4D" w:rsidRPr="00461E8E" w:rsidRDefault="007F4B4D" w:rsidP="00461E8E">
      <w:pPr>
        <w:suppressAutoHyphens/>
        <w:spacing w:before="120"/>
        <w:rPr>
          <w:spacing w:val="0"/>
          <w:w w:val="100"/>
          <w:sz w:val="28"/>
          <w:szCs w:val="28"/>
        </w:rPr>
      </w:pPr>
      <w:r w:rsidRPr="00461E8E">
        <w:rPr>
          <w:spacing w:val="0"/>
          <w:w w:val="100"/>
          <w:sz w:val="28"/>
          <w:szCs w:val="28"/>
        </w:rPr>
        <w:t>Комитет по внутреннему транспорту</w:t>
      </w:r>
    </w:p>
    <w:p w:rsidR="007F4B4D" w:rsidRPr="00461E8E" w:rsidRDefault="007F4B4D" w:rsidP="00461E8E">
      <w:pPr>
        <w:suppressAutoHyphens/>
        <w:spacing w:before="120"/>
        <w:rPr>
          <w:b/>
          <w:spacing w:val="0"/>
          <w:w w:val="100"/>
          <w:sz w:val="24"/>
          <w:szCs w:val="24"/>
        </w:rPr>
      </w:pPr>
      <w:r w:rsidRPr="00461E8E">
        <w:rPr>
          <w:b/>
          <w:spacing w:val="0"/>
          <w:w w:val="100"/>
          <w:sz w:val="24"/>
          <w:szCs w:val="24"/>
        </w:rPr>
        <w:t xml:space="preserve">Всемирный форум для согласования правил </w:t>
      </w:r>
      <w:r w:rsidR="00461E8E">
        <w:rPr>
          <w:b/>
          <w:spacing w:val="0"/>
          <w:w w:val="100"/>
          <w:sz w:val="24"/>
          <w:szCs w:val="24"/>
        </w:rPr>
        <w:br/>
      </w:r>
      <w:r w:rsidRPr="00461E8E">
        <w:rPr>
          <w:b/>
          <w:spacing w:val="0"/>
          <w:w w:val="100"/>
          <w:sz w:val="24"/>
          <w:szCs w:val="24"/>
        </w:rPr>
        <w:t>в области транспортных средств</w:t>
      </w:r>
    </w:p>
    <w:p w:rsidR="007F4B4D" w:rsidRPr="00461E8E" w:rsidRDefault="007F4B4D" w:rsidP="00461E8E">
      <w:pPr>
        <w:suppressAutoHyphens/>
        <w:spacing w:before="120"/>
        <w:rPr>
          <w:b/>
          <w:spacing w:val="0"/>
          <w:w w:val="100"/>
        </w:rPr>
      </w:pPr>
      <w:r w:rsidRPr="00461E8E">
        <w:rPr>
          <w:b/>
          <w:spacing w:val="0"/>
          <w:w w:val="100"/>
        </w:rPr>
        <w:t xml:space="preserve">Рабочая группа по вопросам освещения </w:t>
      </w:r>
      <w:r w:rsidR="00461E8E">
        <w:rPr>
          <w:b/>
          <w:spacing w:val="0"/>
          <w:w w:val="100"/>
        </w:rPr>
        <w:br/>
      </w:r>
      <w:r w:rsidRPr="00461E8E">
        <w:rPr>
          <w:b/>
          <w:spacing w:val="0"/>
          <w:w w:val="100"/>
        </w:rPr>
        <w:t>и световой сигнализации</w:t>
      </w:r>
    </w:p>
    <w:p w:rsidR="007F4B4D" w:rsidRPr="00530733" w:rsidRDefault="007F4B4D" w:rsidP="00530733">
      <w:pPr>
        <w:suppressAutoHyphens/>
        <w:spacing w:before="120"/>
        <w:rPr>
          <w:b/>
          <w:spacing w:val="0"/>
          <w:w w:val="100"/>
        </w:rPr>
      </w:pPr>
      <w:r w:rsidRPr="00530733">
        <w:rPr>
          <w:b/>
          <w:spacing w:val="0"/>
          <w:w w:val="100"/>
        </w:rPr>
        <w:t>Семьдесят девятая сессия</w:t>
      </w:r>
    </w:p>
    <w:p w:rsidR="007F4B4D" w:rsidRPr="007F4B4D" w:rsidRDefault="007F4B4D" w:rsidP="007F4B4D">
      <w:pPr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>Женева, 24–27 апреля 2018 года</w:t>
      </w:r>
    </w:p>
    <w:p w:rsidR="007F4B4D" w:rsidRPr="007F4B4D" w:rsidRDefault="007F4B4D" w:rsidP="007F4B4D">
      <w:pPr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>Пункт 4 предварительной повестки дня</w:t>
      </w:r>
    </w:p>
    <w:p w:rsidR="007F4B4D" w:rsidRPr="00461E8E" w:rsidRDefault="007F4B4D" w:rsidP="00461E8E">
      <w:pPr>
        <w:suppressAutoHyphens/>
        <w:rPr>
          <w:b/>
          <w:spacing w:val="0"/>
          <w:w w:val="100"/>
        </w:rPr>
      </w:pPr>
      <w:r w:rsidRPr="00461E8E">
        <w:rPr>
          <w:b/>
          <w:spacing w:val="0"/>
          <w:w w:val="100"/>
        </w:rPr>
        <w:t xml:space="preserve">Упрощение правил, касающихся освещения </w:t>
      </w:r>
      <w:r w:rsidR="00461E8E">
        <w:rPr>
          <w:b/>
          <w:spacing w:val="0"/>
          <w:w w:val="100"/>
        </w:rPr>
        <w:br/>
      </w:r>
      <w:r w:rsidRPr="00461E8E">
        <w:rPr>
          <w:b/>
          <w:spacing w:val="0"/>
          <w:w w:val="100"/>
        </w:rPr>
        <w:t>и световой сигнализации</w:t>
      </w:r>
    </w:p>
    <w:p w:rsidR="007F4B4D" w:rsidRPr="007F4B4D" w:rsidRDefault="007F4B4D" w:rsidP="00461E8E">
      <w:pPr>
        <w:pStyle w:val="HChGR"/>
        <w:rPr>
          <w:w w:val="100"/>
        </w:rPr>
      </w:pPr>
      <w:r w:rsidRPr="007F4B4D">
        <w:rPr>
          <w:w w:val="100"/>
        </w:rPr>
        <w:tab/>
      </w:r>
      <w:r w:rsidRPr="007F4B4D">
        <w:rPr>
          <w:w w:val="100"/>
        </w:rPr>
        <w:tab/>
        <w:t xml:space="preserve">Предложение по дополнению [10] к поправкам серии 01 к Правилам № 74 </w:t>
      </w:r>
    </w:p>
    <w:p w:rsidR="007F4B4D" w:rsidRPr="007F4B4D" w:rsidRDefault="007F4B4D" w:rsidP="007F4B4D">
      <w:pPr>
        <w:pStyle w:val="H1GR"/>
        <w:rPr>
          <w:spacing w:val="0"/>
          <w:w w:val="100"/>
        </w:rPr>
      </w:pP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</w:rPr>
        <w:tab/>
        <w:t xml:space="preserve">Представлено Неофициальной группой по упрощению правил, касающихся освещения и световой сигнализации </w:t>
      </w:r>
      <w:r w:rsidRPr="007F4B4D">
        <w:rPr>
          <w:spacing w:val="0"/>
          <w:w w:val="100"/>
        </w:rPr>
        <w:br/>
        <w:t>(НРГ по УПО)</w:t>
      </w:r>
      <w:r w:rsidRPr="007F4B4D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r w:rsidRPr="007F4B4D">
        <w:rPr>
          <w:spacing w:val="0"/>
          <w:w w:val="100"/>
        </w:rPr>
        <w:t xml:space="preserve"> </w:t>
      </w:r>
    </w:p>
    <w:p w:rsidR="007F4B4D" w:rsidRPr="007F4B4D" w:rsidRDefault="00461E8E" w:rsidP="007F4B4D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7F4B4D" w:rsidRPr="007F4B4D">
        <w:rPr>
          <w:spacing w:val="0"/>
          <w:w w:val="100"/>
        </w:rPr>
        <w:t xml:space="preserve">Воспроизведенный ниже текст был подготовлен НРГ по УПО на основе документа GRE-78-12 в целях включения в поправки серии 01 к Правилам № 74 ссылок на три новых упрощенных правила, касающиеся устройств световой сигнализации (УСС), устройств освещения дороги (УОД) и светоотражающих устройств (СОУ). Изменения </w:t>
      </w:r>
      <w:r w:rsidR="00F22F5D">
        <w:rPr>
          <w:spacing w:val="0"/>
          <w:w w:val="100"/>
        </w:rPr>
        <w:t>к существующему тексту Правил № </w:t>
      </w:r>
      <w:r w:rsidR="007F4B4D" w:rsidRPr="007F4B4D">
        <w:rPr>
          <w:spacing w:val="0"/>
          <w:w w:val="100"/>
        </w:rPr>
        <w:t xml:space="preserve">74 выделены жирным шрифтом в случае новых положений или зачеркиванием в случае исключенных элементов. Часть текста заключена в квадратные скобки для указания на то, что требуется продолжить обсуждение и принять решение. 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</w:p>
    <w:p w:rsidR="007F4B4D" w:rsidRPr="007F4B4D" w:rsidRDefault="007F4B4D" w:rsidP="007F4B4D">
      <w:pPr>
        <w:pStyle w:val="HChGR"/>
        <w:pageBreakBefore/>
        <w:rPr>
          <w:spacing w:val="0"/>
          <w:w w:val="100"/>
        </w:rPr>
      </w:pPr>
      <w:r w:rsidRPr="007F4B4D">
        <w:rPr>
          <w:spacing w:val="0"/>
          <w:w w:val="100"/>
        </w:rPr>
        <w:lastRenderedPageBreak/>
        <w:tab/>
        <w:t>I.</w:t>
      </w:r>
      <w:r w:rsidRPr="007F4B4D">
        <w:rPr>
          <w:spacing w:val="0"/>
          <w:w w:val="100"/>
        </w:rPr>
        <w:tab/>
        <w:t>Предложение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i/>
          <w:iCs/>
          <w:spacing w:val="0"/>
          <w:w w:val="100"/>
        </w:rPr>
        <w:t>Пункт 6.1.1</w:t>
      </w:r>
      <w:r w:rsidRPr="007F4B4D">
        <w:rPr>
          <w:spacing w:val="0"/>
          <w:w w:val="100"/>
        </w:rPr>
        <w:t xml:space="preserve"> изменить следующим образом: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>«6.1.1</w:t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  <w:u w:val="single"/>
        </w:rPr>
        <w:t>Число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</w:rPr>
        <w:tab/>
        <w:t>Одна или две официально утвержденного типа в соответствии с: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а)</w:t>
      </w:r>
      <w:r w:rsidRPr="007F4B4D">
        <w:rPr>
          <w:spacing w:val="0"/>
          <w:w w:val="100"/>
        </w:rPr>
        <w:tab/>
        <w:t>Правилами № 113;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b)</w:t>
      </w:r>
      <w:r w:rsidRPr="007F4B4D">
        <w:rPr>
          <w:spacing w:val="0"/>
          <w:w w:val="100"/>
        </w:rPr>
        <w:tab/>
        <w:t>классом А, предусмотренным в Правилах № 112;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с)</w:t>
      </w:r>
      <w:r w:rsidRPr="007F4B4D">
        <w:rPr>
          <w:spacing w:val="0"/>
          <w:w w:val="100"/>
        </w:rPr>
        <w:tab/>
        <w:t>Правилами № 1;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d)</w:t>
      </w:r>
      <w:r w:rsidRPr="007F4B4D">
        <w:rPr>
          <w:spacing w:val="0"/>
          <w:w w:val="100"/>
        </w:rPr>
        <w:tab/>
        <w:t>Правилами № 57;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е)</w:t>
      </w:r>
      <w:r w:rsidRPr="007F4B4D">
        <w:rPr>
          <w:spacing w:val="0"/>
          <w:w w:val="100"/>
        </w:rPr>
        <w:tab/>
        <w:t>Правилами № 72;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f)</w:t>
      </w:r>
      <w:r w:rsidRPr="007F4B4D">
        <w:rPr>
          <w:spacing w:val="0"/>
          <w:w w:val="100"/>
        </w:rPr>
        <w:tab/>
        <w:t>Правилами № 76;</w:t>
      </w:r>
    </w:p>
    <w:p w:rsidR="007F4B4D" w:rsidRPr="007F4B4D" w:rsidRDefault="007F4B4D" w:rsidP="007F4B4D">
      <w:pPr>
        <w:pStyle w:val="SingleTxtGR"/>
        <w:suppressAutoHyphens/>
        <w:ind w:left="2835" w:hanging="567"/>
        <w:rPr>
          <w:spacing w:val="0"/>
          <w:w w:val="100"/>
        </w:rPr>
      </w:pPr>
      <w:r w:rsidRPr="007F4B4D">
        <w:rPr>
          <w:b/>
          <w:bCs/>
          <w:spacing w:val="0"/>
          <w:w w:val="100"/>
          <w:lang w:val="en-GB"/>
        </w:rPr>
        <w:t>g</w:t>
      </w:r>
      <w:r w:rsidRPr="007F4B4D">
        <w:rPr>
          <w:b/>
          <w:bCs/>
          <w:spacing w:val="0"/>
          <w:w w:val="100"/>
        </w:rPr>
        <w:t>)</w:t>
      </w:r>
      <w:r w:rsidRPr="007F4B4D">
        <w:rPr>
          <w:b/>
          <w:bCs/>
          <w:spacing w:val="0"/>
          <w:w w:val="100"/>
        </w:rPr>
        <w:tab/>
        <w:t>классом [A, B</w:t>
      </w:r>
      <w:r w:rsidRPr="007F4B4D">
        <w:rPr>
          <w:b/>
          <w:bCs/>
          <w:spacing w:val="0"/>
          <w:w w:val="100"/>
          <w:lang w:val="en-US"/>
        </w:rPr>
        <w:t>S</w:t>
      </w:r>
      <w:r w:rsidRPr="007F4B4D">
        <w:rPr>
          <w:b/>
          <w:bCs/>
          <w:spacing w:val="0"/>
          <w:w w:val="100"/>
        </w:rPr>
        <w:t xml:space="preserve"> CS, DS или ES], предусмотренным Правилами</w:t>
      </w:r>
      <w:r w:rsidR="00F22F5D">
        <w:rPr>
          <w:b/>
          <w:bCs/>
          <w:spacing w:val="0"/>
          <w:w w:val="100"/>
        </w:rPr>
        <w:t> </w:t>
      </w:r>
      <w:r w:rsidRPr="007F4B4D">
        <w:rPr>
          <w:b/>
          <w:bCs/>
          <w:spacing w:val="0"/>
          <w:w w:val="100"/>
        </w:rPr>
        <w:t>№ [УОД]</w:t>
      </w:r>
      <w:r w:rsidRPr="007F4B4D">
        <w:rPr>
          <w:spacing w:val="0"/>
          <w:w w:val="100"/>
        </w:rPr>
        <w:t>»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i/>
          <w:iCs/>
          <w:spacing w:val="0"/>
          <w:w w:val="100"/>
        </w:rPr>
        <w:t>Пункт 6.2.1</w:t>
      </w:r>
      <w:r w:rsidRPr="007F4B4D">
        <w:rPr>
          <w:spacing w:val="0"/>
          <w:w w:val="100"/>
        </w:rPr>
        <w:t xml:space="preserve"> </w:t>
      </w:r>
      <w:r w:rsidRPr="007F4B4D">
        <w:rPr>
          <w:i/>
          <w:iCs/>
          <w:spacing w:val="0"/>
          <w:w w:val="100"/>
        </w:rPr>
        <w:t>и сноску*</w:t>
      </w:r>
      <w:r w:rsidRPr="007F4B4D">
        <w:rPr>
          <w:spacing w:val="0"/>
          <w:w w:val="100"/>
        </w:rPr>
        <w:t xml:space="preserve"> изменить следующим образом: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>«6.2.1</w:t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  <w:u w:val="single"/>
        </w:rPr>
        <w:t>Число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Одна или две официально утвержденного типа в соответствии с: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а)</w:t>
      </w:r>
      <w:r w:rsidRPr="007F4B4D">
        <w:rPr>
          <w:spacing w:val="0"/>
          <w:w w:val="100"/>
        </w:rPr>
        <w:tab/>
        <w:t>Правилами № 113*;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b)</w:t>
      </w:r>
      <w:r w:rsidRPr="007F4B4D">
        <w:rPr>
          <w:spacing w:val="0"/>
          <w:w w:val="100"/>
        </w:rPr>
        <w:tab/>
        <w:t>классом А, предусмотренным Правилами № 112;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с)</w:t>
      </w:r>
      <w:r w:rsidRPr="007F4B4D">
        <w:rPr>
          <w:spacing w:val="0"/>
          <w:w w:val="100"/>
        </w:rPr>
        <w:tab/>
        <w:t>Правилами № 1;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d)</w:t>
      </w:r>
      <w:r w:rsidRPr="007F4B4D">
        <w:rPr>
          <w:spacing w:val="0"/>
          <w:w w:val="100"/>
        </w:rPr>
        <w:tab/>
        <w:t>Правилами № 56;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е)</w:t>
      </w:r>
      <w:r w:rsidRPr="007F4B4D">
        <w:rPr>
          <w:spacing w:val="0"/>
          <w:w w:val="100"/>
        </w:rPr>
        <w:tab/>
        <w:t>Правилами № 57;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f)</w:t>
      </w:r>
      <w:r w:rsidRPr="007F4B4D">
        <w:rPr>
          <w:spacing w:val="0"/>
          <w:w w:val="100"/>
        </w:rPr>
        <w:tab/>
        <w:t>Правилами № 72;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g)</w:t>
      </w:r>
      <w:r w:rsidRPr="007F4B4D">
        <w:rPr>
          <w:spacing w:val="0"/>
          <w:w w:val="100"/>
        </w:rPr>
        <w:tab/>
        <w:t>Правилами № 76;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</w:rPr>
        <w:t>h)</w:t>
      </w:r>
      <w:r w:rsidRPr="007F4B4D">
        <w:rPr>
          <w:spacing w:val="0"/>
          <w:w w:val="100"/>
        </w:rPr>
        <w:tab/>
        <w:t>Правилами № 82;</w:t>
      </w:r>
    </w:p>
    <w:p w:rsidR="007F4B4D" w:rsidRPr="00F22F5D" w:rsidRDefault="007F4B4D" w:rsidP="007F4B4D">
      <w:pPr>
        <w:pStyle w:val="SingleTxtGR"/>
        <w:suppressAutoHyphens/>
        <w:ind w:left="2835" w:hanging="567"/>
        <w:rPr>
          <w:bCs/>
          <w:spacing w:val="0"/>
          <w:w w:val="100"/>
        </w:rPr>
      </w:pPr>
      <w:r w:rsidRPr="007F4B4D">
        <w:rPr>
          <w:b/>
          <w:bCs/>
          <w:spacing w:val="0"/>
          <w:w w:val="100"/>
        </w:rPr>
        <w:t>i)</w:t>
      </w:r>
      <w:r w:rsidRPr="007F4B4D">
        <w:rPr>
          <w:b/>
          <w:bCs/>
          <w:spacing w:val="0"/>
          <w:w w:val="100"/>
        </w:rPr>
        <w:tab/>
        <w:t>классом [A, AS</w:t>
      </w:r>
      <w:r w:rsidRPr="00F11B10">
        <w:rPr>
          <w:bCs/>
          <w:spacing w:val="0"/>
          <w:w w:val="100"/>
        </w:rPr>
        <w:t>*</w:t>
      </w:r>
      <w:r w:rsidRPr="007F4B4D">
        <w:rPr>
          <w:b/>
          <w:bCs/>
          <w:spacing w:val="0"/>
          <w:w w:val="100"/>
        </w:rPr>
        <w:t>, BS, CS, DS или ES], предусмотренным Правилами № [УОД]</w:t>
      </w:r>
      <w:r w:rsidRPr="00F22F5D">
        <w:rPr>
          <w:bCs/>
          <w:spacing w:val="0"/>
          <w:w w:val="100"/>
        </w:rPr>
        <w:t>»</w:t>
      </w:r>
    </w:p>
    <w:p w:rsidR="007F4B4D" w:rsidRPr="007F4B4D" w:rsidRDefault="007F4B4D" w:rsidP="007F4B4D">
      <w:pPr>
        <w:pStyle w:val="SingleTxtGR"/>
        <w:suppressAutoHyphens/>
        <w:spacing w:line="220" w:lineRule="exact"/>
        <w:ind w:left="2268"/>
        <w:jc w:val="left"/>
        <w:rPr>
          <w:b/>
          <w:spacing w:val="0"/>
          <w:w w:val="100"/>
        </w:rPr>
      </w:pPr>
      <w:r w:rsidRPr="007F4B4D">
        <w:rPr>
          <w:spacing w:val="0"/>
          <w:w w:val="100"/>
        </w:rPr>
        <w:t xml:space="preserve">* </w:t>
      </w:r>
      <w:r w:rsidRPr="007F4B4D">
        <w:rPr>
          <w:spacing w:val="0"/>
          <w:w w:val="100"/>
          <w:sz w:val="18"/>
          <w:szCs w:val="18"/>
        </w:rPr>
        <w:t xml:space="preserve">Фары </w:t>
      </w:r>
      <w:r w:rsidRPr="007F4B4D">
        <w:rPr>
          <w:b/>
          <w:bCs/>
          <w:spacing w:val="0"/>
          <w:w w:val="100"/>
          <w:sz w:val="18"/>
          <w:szCs w:val="18"/>
        </w:rPr>
        <w:t>с модулем СИД</w:t>
      </w:r>
      <w:r w:rsidRPr="007F4B4D">
        <w:rPr>
          <w:spacing w:val="0"/>
          <w:w w:val="100"/>
          <w:sz w:val="18"/>
          <w:szCs w:val="18"/>
        </w:rPr>
        <w:t xml:space="preserve"> класса А, предусмотренного Правилами № 113, </w:t>
      </w:r>
      <w:r w:rsidRPr="007F4B4D">
        <w:rPr>
          <w:b/>
          <w:bCs/>
          <w:spacing w:val="0"/>
          <w:w w:val="100"/>
          <w:sz w:val="18"/>
          <w:szCs w:val="18"/>
        </w:rPr>
        <w:t xml:space="preserve">или класса </w:t>
      </w:r>
      <w:r w:rsidRPr="007F4B4D">
        <w:rPr>
          <w:b/>
          <w:spacing w:val="0"/>
          <w:w w:val="100"/>
          <w:sz w:val="18"/>
          <w:szCs w:val="18"/>
        </w:rPr>
        <w:t>[</w:t>
      </w:r>
      <w:r w:rsidRPr="007F4B4D">
        <w:rPr>
          <w:b/>
          <w:spacing w:val="0"/>
          <w:w w:val="100"/>
          <w:sz w:val="18"/>
          <w:szCs w:val="18"/>
          <w:lang w:val="en-GB"/>
        </w:rPr>
        <w:t>AS</w:t>
      </w:r>
      <w:r w:rsidRPr="007F4B4D">
        <w:rPr>
          <w:b/>
          <w:spacing w:val="0"/>
          <w:w w:val="100"/>
          <w:sz w:val="18"/>
          <w:szCs w:val="18"/>
        </w:rPr>
        <w:t>]</w:t>
      </w:r>
      <w:r w:rsidRPr="007F4B4D">
        <w:rPr>
          <w:spacing w:val="0"/>
          <w:w w:val="100"/>
          <w:sz w:val="18"/>
          <w:szCs w:val="18"/>
        </w:rPr>
        <w:t xml:space="preserve">, </w:t>
      </w:r>
      <w:r w:rsidRPr="007F4B4D">
        <w:rPr>
          <w:b/>
          <w:bCs/>
          <w:spacing w:val="0"/>
          <w:w w:val="100"/>
          <w:sz w:val="18"/>
          <w:szCs w:val="18"/>
        </w:rPr>
        <w:t xml:space="preserve">предусмотренного Правилами № [УОД], </w:t>
      </w:r>
      <w:r w:rsidRPr="007F4B4D">
        <w:rPr>
          <w:spacing w:val="0"/>
          <w:w w:val="100"/>
          <w:sz w:val="18"/>
          <w:szCs w:val="18"/>
        </w:rPr>
        <w:t>только на транспортных средствах, максимальная расчетная скорость которых не превышает 25</w:t>
      </w:r>
      <w:r w:rsidRPr="007F4B4D">
        <w:rPr>
          <w:spacing w:val="0"/>
          <w:w w:val="100"/>
          <w:sz w:val="18"/>
          <w:szCs w:val="18"/>
          <w:lang w:val="en-US"/>
        </w:rPr>
        <w:t> </w:t>
      </w:r>
      <w:r w:rsidRPr="007F4B4D">
        <w:rPr>
          <w:spacing w:val="0"/>
          <w:w w:val="100"/>
          <w:sz w:val="18"/>
          <w:szCs w:val="18"/>
        </w:rPr>
        <w:t>км/ч».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i/>
          <w:iCs/>
          <w:spacing w:val="0"/>
          <w:w w:val="100"/>
        </w:rPr>
        <w:t>Пункт 6.8.2</w:t>
      </w:r>
      <w:r w:rsidRPr="007F4B4D">
        <w:rPr>
          <w:spacing w:val="0"/>
          <w:w w:val="100"/>
        </w:rPr>
        <w:t xml:space="preserve"> </w:t>
      </w:r>
      <w:r w:rsidRPr="007F4B4D">
        <w:rPr>
          <w:i/>
          <w:iCs/>
          <w:spacing w:val="0"/>
          <w:w w:val="100"/>
        </w:rPr>
        <w:t>и сноску</w:t>
      </w:r>
      <w:r w:rsidRPr="007F4B4D">
        <w:rPr>
          <w:iCs/>
          <w:spacing w:val="0"/>
          <w:w w:val="100"/>
          <w:vertAlign w:val="superscript"/>
        </w:rPr>
        <w:t>4</w:t>
      </w:r>
      <w:r w:rsidRPr="007F4B4D">
        <w:rPr>
          <w:i/>
          <w:iCs/>
          <w:spacing w:val="0"/>
          <w:w w:val="100"/>
        </w:rPr>
        <w:t xml:space="preserve"> </w:t>
      </w:r>
      <w:r w:rsidRPr="007F4B4D">
        <w:rPr>
          <w:spacing w:val="0"/>
          <w:w w:val="100"/>
        </w:rPr>
        <w:t>изменить следующим образом:</w:t>
      </w:r>
    </w:p>
    <w:p w:rsidR="007F4B4D" w:rsidRPr="007F4B4D" w:rsidRDefault="007F4B4D" w:rsidP="007F4B4D">
      <w:pPr>
        <w:pStyle w:val="SingleTxtGR"/>
        <w:suppressAutoHyphens/>
        <w:rPr>
          <w:spacing w:val="0"/>
          <w:w w:val="100"/>
        </w:rPr>
      </w:pPr>
      <w:r w:rsidRPr="007F4B4D">
        <w:rPr>
          <w:spacing w:val="0"/>
          <w:w w:val="100"/>
        </w:rPr>
        <w:t>«6.8.2</w:t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</w:rPr>
        <w:tab/>
      </w:r>
      <w:r w:rsidRPr="007F4B4D">
        <w:rPr>
          <w:spacing w:val="0"/>
          <w:w w:val="100"/>
          <w:u w:val="single"/>
        </w:rPr>
        <w:t>Схема монтажа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  <w:u w:val="single"/>
        </w:rPr>
        <w:t>два передних указателя поворота (категория 11</w:t>
      </w:r>
      <w:r w:rsidRPr="007F4B4D">
        <w:rPr>
          <w:spacing w:val="0"/>
          <w:w w:val="100"/>
          <w:u w:val="single"/>
          <w:vertAlign w:val="superscript"/>
        </w:rPr>
        <w:t>4</w:t>
      </w:r>
      <w:r w:rsidRPr="007F4B4D">
        <w:rPr>
          <w:spacing w:val="0"/>
          <w:w w:val="100"/>
          <w:u w:val="single"/>
        </w:rPr>
        <w:t>)</w:t>
      </w:r>
      <w:r w:rsidRPr="007F4B4D">
        <w:rPr>
          <w:spacing w:val="0"/>
          <w:w w:val="100"/>
        </w:rPr>
        <w:t>;</w:t>
      </w:r>
    </w:p>
    <w:p w:rsidR="007F4B4D" w:rsidRPr="007F4B4D" w:rsidRDefault="007F4B4D" w:rsidP="007F4B4D">
      <w:pPr>
        <w:pStyle w:val="SingleTxtGR"/>
        <w:suppressAutoHyphens/>
        <w:ind w:left="2268"/>
        <w:rPr>
          <w:spacing w:val="0"/>
          <w:w w:val="100"/>
        </w:rPr>
      </w:pPr>
      <w:r w:rsidRPr="007F4B4D">
        <w:rPr>
          <w:spacing w:val="0"/>
          <w:w w:val="100"/>
          <w:u w:val="single"/>
        </w:rPr>
        <w:t>два задних указателя поворота (категория 12</w:t>
      </w:r>
      <w:r w:rsidRPr="007F4B4D">
        <w:rPr>
          <w:spacing w:val="0"/>
          <w:w w:val="100"/>
          <w:u w:val="single"/>
          <w:vertAlign w:val="superscript"/>
        </w:rPr>
        <w:t>4</w:t>
      </w:r>
      <w:r w:rsidRPr="007F4B4D">
        <w:rPr>
          <w:spacing w:val="0"/>
          <w:w w:val="100"/>
          <w:u w:val="single"/>
        </w:rPr>
        <w:t>)</w:t>
      </w:r>
      <w:r w:rsidRPr="007F4B4D">
        <w:rPr>
          <w:spacing w:val="0"/>
          <w:w w:val="100"/>
        </w:rPr>
        <w:t>».</w:t>
      </w:r>
    </w:p>
    <w:p w:rsidR="007F4B4D" w:rsidRPr="007F4B4D" w:rsidRDefault="007F4B4D" w:rsidP="007F4B4D">
      <w:pPr>
        <w:pStyle w:val="SingleTxtGR"/>
        <w:suppressAutoHyphens/>
        <w:ind w:left="2268"/>
        <w:rPr>
          <w:b/>
          <w:bCs/>
          <w:spacing w:val="0"/>
          <w:w w:val="100"/>
        </w:rPr>
      </w:pPr>
      <w:r w:rsidRPr="007F4B4D">
        <w:rPr>
          <w:spacing w:val="0"/>
          <w:w w:val="100"/>
          <w:vertAlign w:val="superscript"/>
        </w:rPr>
        <w:t xml:space="preserve">4 </w:t>
      </w:r>
      <w:r w:rsidRPr="007F4B4D">
        <w:rPr>
          <w:spacing w:val="0"/>
          <w:w w:val="100"/>
        </w:rPr>
        <w:t xml:space="preserve">Могут быть заменены указателями категорий 1 и 2 соответственно, предусмотренными Правилами № 6 </w:t>
      </w:r>
      <w:r w:rsidRPr="007F4B4D">
        <w:rPr>
          <w:b/>
          <w:bCs/>
          <w:spacing w:val="0"/>
          <w:w w:val="100"/>
        </w:rPr>
        <w:t>или [УСС]</w:t>
      </w:r>
    </w:p>
    <w:p w:rsidR="007F4B4D" w:rsidRPr="007F4B4D" w:rsidRDefault="007F4B4D" w:rsidP="007F4B4D">
      <w:pPr>
        <w:pStyle w:val="HChGR"/>
        <w:rPr>
          <w:spacing w:val="0"/>
          <w:w w:val="100"/>
        </w:rPr>
      </w:pPr>
      <w:r w:rsidRPr="007F4B4D">
        <w:rPr>
          <w:spacing w:val="0"/>
          <w:w w:val="100"/>
        </w:rPr>
        <w:tab/>
        <w:t>II.</w:t>
      </w:r>
      <w:r w:rsidRPr="007F4B4D">
        <w:rPr>
          <w:spacing w:val="0"/>
          <w:w w:val="100"/>
        </w:rPr>
        <w:tab/>
        <w:t>Обоснование</w:t>
      </w:r>
    </w:p>
    <w:p w:rsidR="007F4B4D" w:rsidRPr="007F4B4D" w:rsidRDefault="00F22F5D" w:rsidP="007F4B4D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="007F4B4D" w:rsidRPr="007F4B4D">
        <w:rPr>
          <w:spacing w:val="0"/>
          <w:w w:val="100"/>
        </w:rPr>
        <w:t>В прошлом в Правила № 74 для уточнения были включены ссылки на правила, касающиеся различных устройств. С учетом новых упрощенных правил ООН, касающихся УСС, УОД и СОУ, которые были под</w:t>
      </w:r>
      <w:r>
        <w:rPr>
          <w:spacing w:val="0"/>
          <w:w w:val="100"/>
        </w:rPr>
        <w:t>готовлены НРГ по УПО, в Правила № </w:t>
      </w:r>
      <w:r w:rsidR="007F4B4D" w:rsidRPr="007F4B4D">
        <w:rPr>
          <w:spacing w:val="0"/>
          <w:w w:val="100"/>
        </w:rPr>
        <w:t>74 необходимо включить дополнительные ссылки. Настоящая поправка связана с такими дополнительными ссылками для поправок серии 01</w:t>
      </w:r>
      <w:r>
        <w:rPr>
          <w:spacing w:val="0"/>
          <w:w w:val="100"/>
        </w:rPr>
        <w:t xml:space="preserve"> к Правилам № </w:t>
      </w:r>
      <w:r w:rsidR="007F4B4D" w:rsidRPr="007F4B4D">
        <w:rPr>
          <w:spacing w:val="0"/>
          <w:w w:val="100"/>
        </w:rPr>
        <w:t>74.</w:t>
      </w:r>
    </w:p>
    <w:p w:rsidR="00E12C5F" w:rsidRPr="007F4B4D" w:rsidRDefault="007F4B4D" w:rsidP="007F4B4D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7F4B4D" w:rsidSect="007F4B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D4" w:rsidRPr="00A312BC" w:rsidRDefault="00A255D4" w:rsidP="00A312BC"/>
  </w:endnote>
  <w:endnote w:type="continuationSeparator" w:id="0">
    <w:p w:rsidR="00A255D4" w:rsidRPr="00A312BC" w:rsidRDefault="00A255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4D" w:rsidRPr="007F4B4D" w:rsidRDefault="007F4B4D">
    <w:pPr>
      <w:pStyle w:val="Footer"/>
    </w:pPr>
    <w:r w:rsidRPr="007F4B4D">
      <w:rPr>
        <w:b/>
        <w:sz w:val="18"/>
      </w:rPr>
      <w:fldChar w:fldCharType="begin"/>
    </w:r>
    <w:r w:rsidRPr="007F4B4D">
      <w:rPr>
        <w:b/>
        <w:sz w:val="18"/>
      </w:rPr>
      <w:instrText xml:space="preserve"> PAGE  \* MERGEFORMAT </w:instrText>
    </w:r>
    <w:r w:rsidRPr="007F4B4D">
      <w:rPr>
        <w:b/>
        <w:sz w:val="18"/>
      </w:rPr>
      <w:fldChar w:fldCharType="separate"/>
    </w:r>
    <w:r w:rsidR="00734F4A">
      <w:rPr>
        <w:b/>
        <w:noProof/>
        <w:sz w:val="18"/>
      </w:rPr>
      <w:t>2</w:t>
    </w:r>
    <w:r w:rsidRPr="007F4B4D">
      <w:rPr>
        <w:b/>
        <w:sz w:val="18"/>
      </w:rPr>
      <w:fldChar w:fldCharType="end"/>
    </w:r>
    <w:r>
      <w:rPr>
        <w:b/>
        <w:sz w:val="18"/>
      </w:rPr>
      <w:tab/>
    </w:r>
    <w:r>
      <w:t>GE.18-01750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4D" w:rsidRPr="007F4B4D" w:rsidRDefault="007F4B4D" w:rsidP="007F4B4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GE.18-01750</w:t>
    </w:r>
    <w:r>
      <w:tab/>
    </w:r>
    <w:r w:rsidRPr="007F4B4D">
      <w:rPr>
        <w:b/>
        <w:sz w:val="18"/>
      </w:rPr>
      <w:fldChar w:fldCharType="begin"/>
    </w:r>
    <w:r w:rsidRPr="007F4B4D">
      <w:rPr>
        <w:b/>
        <w:sz w:val="18"/>
      </w:rPr>
      <w:instrText xml:space="preserve"> PAGE  \* MERGEFORMAT </w:instrText>
    </w:r>
    <w:r w:rsidRPr="007F4B4D">
      <w:rPr>
        <w:b/>
        <w:sz w:val="18"/>
      </w:rPr>
      <w:fldChar w:fldCharType="separate"/>
    </w:r>
    <w:r w:rsidR="00F22F5D">
      <w:rPr>
        <w:b/>
        <w:noProof/>
        <w:sz w:val="18"/>
      </w:rPr>
      <w:t>3</w:t>
    </w:r>
    <w:r w:rsidRPr="007F4B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F4B4D" w:rsidRDefault="007F4B4D" w:rsidP="007F4B4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01750  (</w:t>
    </w:r>
    <w:proofErr w:type="gramEnd"/>
    <w:r>
      <w:t>R)</w:t>
    </w:r>
    <w:r w:rsidR="00F22F5D">
      <w:rPr>
        <w:lang w:val="en-US"/>
      </w:rPr>
      <w:t xml:space="preserve">  090218  090218</w:t>
    </w:r>
    <w:r>
      <w:br/>
    </w:r>
    <w:r w:rsidRPr="007F4B4D">
      <w:rPr>
        <w:rFonts w:ascii="C39T30Lfz" w:hAnsi="C39T30Lfz"/>
        <w:spacing w:val="0"/>
        <w:w w:val="100"/>
        <w:sz w:val="56"/>
      </w:rPr>
      <w:t></w:t>
    </w:r>
    <w:r w:rsidRPr="007F4B4D">
      <w:rPr>
        <w:rFonts w:ascii="C39T30Lfz" w:hAnsi="C39T30Lfz"/>
        <w:spacing w:val="0"/>
        <w:w w:val="100"/>
        <w:sz w:val="56"/>
      </w:rPr>
      <w:t></w:t>
    </w:r>
    <w:r w:rsidRPr="007F4B4D">
      <w:rPr>
        <w:rFonts w:ascii="C39T30Lfz" w:hAnsi="C39T30Lfz"/>
        <w:spacing w:val="0"/>
        <w:w w:val="100"/>
        <w:sz w:val="56"/>
      </w:rPr>
      <w:t></w:t>
    </w:r>
    <w:r w:rsidRPr="007F4B4D">
      <w:rPr>
        <w:rFonts w:ascii="C39T30Lfz" w:hAnsi="C39T30Lfz"/>
        <w:spacing w:val="0"/>
        <w:w w:val="100"/>
        <w:sz w:val="56"/>
      </w:rPr>
      <w:t></w:t>
    </w:r>
    <w:r w:rsidRPr="007F4B4D">
      <w:rPr>
        <w:rFonts w:ascii="C39T30Lfz" w:hAnsi="C39T30Lfz"/>
        <w:spacing w:val="0"/>
        <w:w w:val="100"/>
        <w:sz w:val="56"/>
      </w:rPr>
      <w:t></w:t>
    </w:r>
    <w:r w:rsidRPr="007F4B4D">
      <w:rPr>
        <w:rFonts w:ascii="C39T30Lfz" w:hAnsi="C39T30Lfz"/>
        <w:spacing w:val="0"/>
        <w:w w:val="100"/>
        <w:sz w:val="56"/>
      </w:rPr>
      <w:t></w:t>
    </w:r>
    <w:r w:rsidRPr="007F4B4D">
      <w:rPr>
        <w:rFonts w:ascii="C39T30Lfz" w:hAnsi="C39T30Lfz"/>
        <w:spacing w:val="0"/>
        <w:w w:val="100"/>
        <w:sz w:val="56"/>
      </w:rPr>
      <w:t></w:t>
    </w:r>
    <w:r w:rsidRPr="007F4B4D">
      <w:rPr>
        <w:rFonts w:ascii="C39T30Lfz" w:hAnsi="C39T30Lfz"/>
        <w:spacing w:val="0"/>
        <w:w w:val="100"/>
        <w:sz w:val="56"/>
      </w:rPr>
      <w:t></w:t>
    </w:r>
    <w:r w:rsidRPr="007F4B4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D4" w:rsidRPr="001075E9" w:rsidRDefault="00A255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55D4" w:rsidRDefault="00A255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4B4D" w:rsidRPr="007F4B4D" w:rsidRDefault="007F4B4D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7F4B4D">
        <w:rPr>
          <w:spacing w:val="0"/>
          <w:w w:val="100"/>
          <w:kern w:val="0"/>
        </w:rPr>
        <w:tab/>
      </w:r>
      <w:r w:rsidRPr="007F4B4D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7F4B4D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7F4B4D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4D" w:rsidRPr="007F4B4D" w:rsidRDefault="00734F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463AF">
      <w:t>ECE/TRANS/WP.29/GRE/2018/14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4D" w:rsidRPr="007F4B4D" w:rsidRDefault="00734F4A" w:rsidP="007F4B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463AF">
      <w:t>ECE/TRANS/WP.29/GRE/2018/14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D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1732"/>
    <w:rsid w:val="00407B78"/>
    <w:rsid w:val="00424203"/>
    <w:rsid w:val="00452493"/>
    <w:rsid w:val="00453318"/>
    <w:rsid w:val="00454AF2"/>
    <w:rsid w:val="00454E07"/>
    <w:rsid w:val="00461E8E"/>
    <w:rsid w:val="00472C5C"/>
    <w:rsid w:val="004E05B7"/>
    <w:rsid w:val="0050108D"/>
    <w:rsid w:val="00513081"/>
    <w:rsid w:val="00517901"/>
    <w:rsid w:val="00526683"/>
    <w:rsid w:val="00530733"/>
    <w:rsid w:val="005463AF"/>
    <w:rsid w:val="00555CAA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4F4A"/>
    <w:rsid w:val="00757357"/>
    <w:rsid w:val="00792497"/>
    <w:rsid w:val="007D79C7"/>
    <w:rsid w:val="007F4B4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59A"/>
    <w:rsid w:val="00951972"/>
    <w:rsid w:val="009608F3"/>
    <w:rsid w:val="009A24AC"/>
    <w:rsid w:val="009C6FE6"/>
    <w:rsid w:val="009D7E7D"/>
    <w:rsid w:val="00A14DA8"/>
    <w:rsid w:val="00A255D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1B10"/>
    <w:rsid w:val="00F22F5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431CFA-699D-4E04-B8D5-22EDF08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ECE/TRANS/WP.29/GRE/2018/14</vt:lpstr>
      <vt:lpstr>ECE/TRANS/WP.29/GRE/2018/14</vt:lpstr>
      <vt:lpstr>A/</vt:lpstr>
    </vt:vector>
  </TitlesOfParts>
  <Company>DCM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ECE/TRANS/WP.29/GRE/2018/14</dc:title>
  <dc:subject/>
  <dc:creator>Elena IZOTOVA</dc:creator>
  <cp:keywords/>
  <cp:lastModifiedBy>Benedicte Boudol</cp:lastModifiedBy>
  <cp:revision>2</cp:revision>
  <cp:lastPrinted>2018-02-09T15:55:00Z</cp:lastPrinted>
  <dcterms:created xsi:type="dcterms:W3CDTF">2018-02-26T12:53:00Z</dcterms:created>
  <dcterms:modified xsi:type="dcterms:W3CDTF">2018-02-26T12:53:00Z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