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1465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1465D" w:rsidP="00B1465D">
            <w:pPr>
              <w:jc w:val="right"/>
            </w:pPr>
            <w:r w:rsidRPr="00B1465D">
              <w:rPr>
                <w:sz w:val="40"/>
              </w:rPr>
              <w:t>ECE</w:t>
            </w:r>
            <w:r>
              <w:t>/TRANS/WP.29/GRE/2018/12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1465D" w:rsidP="00C97039">
            <w:pPr>
              <w:spacing w:before="240"/>
            </w:pPr>
            <w:r>
              <w:t>Distr. générale</w:t>
            </w:r>
          </w:p>
          <w:p w:rsidR="00B1465D" w:rsidRDefault="00B1465D" w:rsidP="00B1465D">
            <w:pPr>
              <w:spacing w:line="240" w:lineRule="exact"/>
            </w:pPr>
            <w:r>
              <w:t>6 février 2018</w:t>
            </w:r>
          </w:p>
          <w:p w:rsidR="00B1465D" w:rsidRDefault="00B1465D" w:rsidP="00B1465D">
            <w:pPr>
              <w:spacing w:line="240" w:lineRule="exact"/>
            </w:pPr>
            <w:r>
              <w:t>Français</w:t>
            </w:r>
          </w:p>
          <w:p w:rsidR="00B1465D" w:rsidRPr="00DB58B5" w:rsidRDefault="00B1465D" w:rsidP="00B1465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1465D" w:rsidRDefault="00B1465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1465D" w:rsidRDefault="00B1465D" w:rsidP="00257168">
      <w:pPr>
        <w:spacing w:before="120" w:after="120" w:line="240" w:lineRule="exact"/>
        <w:rPr>
          <w:b/>
        </w:rPr>
      </w:pPr>
      <w:r>
        <w:rPr>
          <w:b/>
        </w:rPr>
        <w:t>Groupe de travail de l’éclairage et de la signalisation lumineuse</w:t>
      </w:r>
    </w:p>
    <w:p w:rsidR="00B1465D" w:rsidRDefault="00B1465D" w:rsidP="00257168">
      <w:pPr>
        <w:spacing w:before="120" w:line="240" w:lineRule="exact"/>
        <w:rPr>
          <w:b/>
        </w:rPr>
      </w:pPr>
      <w:r w:rsidRPr="00B1465D">
        <w:rPr>
          <w:b/>
        </w:rPr>
        <w:t xml:space="preserve">Soixante-dix-neuvième </w:t>
      </w:r>
      <w:r>
        <w:rPr>
          <w:b/>
        </w:rPr>
        <w:t>session</w:t>
      </w:r>
    </w:p>
    <w:p w:rsidR="00B1465D" w:rsidRDefault="00B1465D" w:rsidP="00257168">
      <w:pPr>
        <w:spacing w:line="240" w:lineRule="exact"/>
      </w:pPr>
      <w:r>
        <w:t xml:space="preserve">Genève, </w:t>
      </w:r>
      <w:r w:rsidRPr="00B1465D">
        <w:rPr>
          <w:bCs/>
        </w:rPr>
        <w:t>24-27 avril 2018</w:t>
      </w:r>
    </w:p>
    <w:p w:rsidR="00B1465D" w:rsidRDefault="00B1465D" w:rsidP="00257168">
      <w:pPr>
        <w:spacing w:line="240" w:lineRule="exact"/>
      </w:pPr>
      <w:r>
        <w:t xml:space="preserve">Point </w:t>
      </w:r>
      <w:r w:rsidRPr="00B1465D">
        <w:rPr>
          <w:bCs/>
          <w:lang w:val="fr-FR"/>
        </w:rPr>
        <w:t>4 de l’ordre du jour provisoire</w:t>
      </w:r>
    </w:p>
    <w:p w:rsidR="00F9573C" w:rsidRDefault="00B1465D" w:rsidP="00AF0CB5">
      <w:pPr>
        <w:rPr>
          <w:b/>
          <w:bCs/>
          <w:lang w:val="fr-FR"/>
        </w:rPr>
      </w:pPr>
      <w:r w:rsidRPr="00B1465D">
        <w:rPr>
          <w:b/>
          <w:bCs/>
          <w:lang w:val="fr-FR"/>
        </w:rPr>
        <w:t xml:space="preserve">Simplification des Règlements concernant l’éclairage </w:t>
      </w:r>
      <w:r>
        <w:rPr>
          <w:b/>
          <w:bCs/>
          <w:lang w:val="fr-FR"/>
        </w:rPr>
        <w:br/>
      </w:r>
      <w:r w:rsidRPr="00B1465D">
        <w:rPr>
          <w:b/>
          <w:bCs/>
          <w:lang w:val="fr-FR"/>
        </w:rPr>
        <w:t>et la signalisation lumineuse</w:t>
      </w:r>
    </w:p>
    <w:p w:rsidR="00B1465D" w:rsidRPr="00B1465D" w:rsidRDefault="00B1465D" w:rsidP="00B1465D">
      <w:pPr>
        <w:pStyle w:val="HChG"/>
        <w:rPr>
          <w:lang w:val="fr-FR"/>
        </w:rPr>
      </w:pPr>
      <w:r>
        <w:rPr>
          <w:lang w:val="fr-FR"/>
        </w:rPr>
        <w:tab/>
      </w:r>
      <w:r>
        <w:rPr>
          <w:lang w:val="fr-FR"/>
        </w:rPr>
        <w:tab/>
      </w:r>
      <w:r w:rsidRPr="00B1465D">
        <w:rPr>
          <w:lang w:val="fr-FR"/>
        </w:rPr>
        <w:t xml:space="preserve">Proposition de complément [2] </w:t>
      </w:r>
      <w:r>
        <w:rPr>
          <w:lang w:val="fr-FR"/>
        </w:rPr>
        <w:t>à la série </w:t>
      </w:r>
      <w:r w:rsidRPr="00B1465D">
        <w:rPr>
          <w:lang w:val="fr-FR"/>
        </w:rPr>
        <w:t>01 d’amendements au Règlement n</w:t>
      </w:r>
      <w:r w:rsidRPr="00B1465D">
        <w:rPr>
          <w:vertAlign w:val="superscript"/>
          <w:lang w:val="fr-FR"/>
        </w:rPr>
        <w:t>o</w:t>
      </w:r>
      <w:r w:rsidRPr="00B1465D">
        <w:rPr>
          <w:lang w:val="fr-FR"/>
        </w:rPr>
        <w:t> 86</w:t>
      </w:r>
    </w:p>
    <w:p w:rsidR="00B1465D" w:rsidRPr="00B1465D" w:rsidRDefault="00B1465D" w:rsidP="00B1465D">
      <w:pPr>
        <w:pStyle w:val="H1G"/>
        <w:rPr>
          <w:lang w:val="fr-FR"/>
        </w:rPr>
      </w:pPr>
      <w:r>
        <w:rPr>
          <w:lang w:val="fr-FR"/>
        </w:rPr>
        <w:tab/>
      </w:r>
      <w:r>
        <w:rPr>
          <w:lang w:val="fr-FR"/>
        </w:rPr>
        <w:tab/>
      </w:r>
      <w:r w:rsidRPr="00B1465D">
        <w:rPr>
          <w:lang w:val="fr-FR"/>
        </w:rPr>
        <w:t xml:space="preserve">Communication du groupe de travail informel chargé </w:t>
      </w:r>
      <w:r>
        <w:rPr>
          <w:lang w:val="fr-FR"/>
        </w:rPr>
        <w:br/>
      </w:r>
      <w:r w:rsidRPr="00B1465D">
        <w:rPr>
          <w:lang w:val="fr-FR"/>
        </w:rPr>
        <w:t xml:space="preserve">de la simplification des Règlements relatifs à l’éclairage </w:t>
      </w:r>
      <w:r>
        <w:rPr>
          <w:lang w:val="fr-FR"/>
        </w:rPr>
        <w:br/>
      </w:r>
      <w:r w:rsidRPr="00B1465D">
        <w:rPr>
          <w:lang w:val="fr-FR"/>
        </w:rPr>
        <w:t>et à la signalisation lumineuse (SLL)</w:t>
      </w:r>
      <w:r w:rsidRPr="00B1465D">
        <w:rPr>
          <w:rStyle w:val="FootnoteReference"/>
          <w:b w:val="0"/>
          <w:sz w:val="20"/>
          <w:vertAlign w:val="baseline"/>
        </w:rPr>
        <w:footnoteReference w:customMarkFollows="1" w:id="2"/>
        <w:t>*</w:t>
      </w:r>
      <w:r w:rsidRPr="00B1465D">
        <w:rPr>
          <w:lang w:val="fr-FR"/>
        </w:rPr>
        <w:t xml:space="preserve"> </w:t>
      </w:r>
    </w:p>
    <w:p w:rsidR="00B1465D" w:rsidRPr="00B1465D" w:rsidRDefault="00B1465D" w:rsidP="00B1465D">
      <w:pPr>
        <w:pStyle w:val="SingleTxtG"/>
        <w:ind w:firstLine="567"/>
        <w:rPr>
          <w:lang w:val="fr-FR"/>
        </w:rPr>
      </w:pPr>
      <w:r w:rsidRPr="00B1465D">
        <w:rPr>
          <w:lang w:val="fr-FR"/>
        </w:rPr>
        <w:t xml:space="preserve">Le texte ci-après a été établi par le groupe de travail informel SLR, l’objectif étant de supprimer du Règlement </w:t>
      </w:r>
      <w:r w:rsidRPr="00B1465D">
        <w:rPr>
          <w:rFonts w:eastAsia="MS Mincho"/>
          <w:szCs w:val="22"/>
          <w:lang w:val="fr-FR"/>
        </w:rPr>
        <w:t>n</w:t>
      </w:r>
      <w:r w:rsidRPr="00B1465D">
        <w:rPr>
          <w:rFonts w:eastAsia="MS Mincho"/>
          <w:szCs w:val="22"/>
          <w:vertAlign w:val="superscript"/>
          <w:lang w:val="fr-FR"/>
        </w:rPr>
        <w:t>o</w:t>
      </w:r>
      <w:r>
        <w:rPr>
          <w:lang w:val="fr-FR"/>
        </w:rPr>
        <w:t> </w:t>
      </w:r>
      <w:r w:rsidRPr="00B1465D">
        <w:rPr>
          <w:lang w:val="fr-FR"/>
        </w:rPr>
        <w:t>86 les définitions qui figurent à l’identique dans le Règlement n</w:t>
      </w:r>
      <w:r w:rsidRPr="00B1465D">
        <w:rPr>
          <w:vertAlign w:val="superscript"/>
          <w:lang w:val="fr-FR"/>
        </w:rPr>
        <w:t>o</w:t>
      </w:r>
      <w:r w:rsidRPr="00B1465D">
        <w:rPr>
          <w:lang w:val="fr-FR"/>
        </w:rPr>
        <w:t xml:space="preserve"> 48, de sorte qu’elles ne figurent plus que dans ce dernier Règlement. </w:t>
      </w:r>
      <w:r>
        <w:rPr>
          <w:lang w:val="fr-FR"/>
        </w:rPr>
        <w:t>Les </w:t>
      </w:r>
      <w:r w:rsidRPr="00B1465D">
        <w:rPr>
          <w:lang w:val="fr-FR"/>
        </w:rPr>
        <w:t xml:space="preserve">modifications qu’il est proposé d’apporter au texte actuel du Règlement </w:t>
      </w:r>
      <w:r w:rsidRPr="00B1465D">
        <w:rPr>
          <w:rFonts w:eastAsia="MS Mincho"/>
          <w:szCs w:val="22"/>
          <w:lang w:val="fr-FR"/>
        </w:rPr>
        <w:t>n</w:t>
      </w:r>
      <w:r w:rsidRPr="00B1465D">
        <w:rPr>
          <w:rFonts w:eastAsia="MS Mincho"/>
          <w:szCs w:val="22"/>
          <w:vertAlign w:val="superscript"/>
          <w:lang w:val="fr-FR"/>
        </w:rPr>
        <w:t>o</w:t>
      </w:r>
      <w:r>
        <w:rPr>
          <w:lang w:val="fr-FR"/>
        </w:rPr>
        <w:t> </w:t>
      </w:r>
      <w:r w:rsidRPr="00B1465D">
        <w:rPr>
          <w:lang w:val="fr-FR"/>
        </w:rPr>
        <w:t>86 figurent en caractères gras pour les ajouts et biffés pour les suppressions. Les parties qui figurent entre crochets doivent encore être examinées et faire l’objet d’une décision.</w:t>
      </w:r>
    </w:p>
    <w:p w:rsidR="00B1465D" w:rsidRPr="00B1465D" w:rsidRDefault="00B1465D" w:rsidP="00B1465D">
      <w:pPr>
        <w:pStyle w:val="SingleTxtG"/>
        <w:rPr>
          <w:lang w:val="fr-FR"/>
        </w:rPr>
      </w:pPr>
    </w:p>
    <w:p w:rsidR="00B1465D" w:rsidRPr="00B1465D" w:rsidRDefault="00B1465D" w:rsidP="00B1465D">
      <w:pPr>
        <w:pStyle w:val="HChG"/>
      </w:pPr>
      <w:r w:rsidRPr="00B1465D">
        <w:br w:type="page"/>
      </w:r>
      <w:r w:rsidRPr="00B1465D">
        <w:lastRenderedPageBreak/>
        <w:tab/>
        <w:t>I.</w:t>
      </w:r>
      <w:r w:rsidRPr="00B1465D">
        <w:tab/>
        <w:t>Proposition</w:t>
      </w:r>
    </w:p>
    <w:p w:rsidR="00B1465D" w:rsidRPr="00B1465D" w:rsidRDefault="00B1465D" w:rsidP="00581236">
      <w:pPr>
        <w:pStyle w:val="SingleTxtG"/>
        <w:keepNext/>
        <w:keepLines/>
        <w:rPr>
          <w:lang w:val="fr-FR"/>
        </w:rPr>
      </w:pPr>
      <w:r w:rsidRPr="00B1465D">
        <w:rPr>
          <w:i/>
          <w:lang w:val="fr-FR"/>
        </w:rPr>
        <w:t>Paragraphe</w:t>
      </w:r>
      <w:r>
        <w:rPr>
          <w:i/>
          <w:lang w:val="fr-FR"/>
        </w:rPr>
        <w:t> </w:t>
      </w:r>
      <w:r w:rsidRPr="00B1465D">
        <w:rPr>
          <w:i/>
          <w:lang w:val="fr-FR"/>
        </w:rPr>
        <w:t>2</w:t>
      </w:r>
      <w:r w:rsidRPr="00B1465D">
        <w:t>,</w:t>
      </w:r>
      <w:r w:rsidRPr="00B1465D">
        <w:rPr>
          <w:i/>
          <w:lang w:val="fr-FR"/>
        </w:rPr>
        <w:t xml:space="preserve"> </w:t>
      </w:r>
      <w:r w:rsidRPr="00B1465D">
        <w:rPr>
          <w:lang w:val="fr-FR"/>
        </w:rPr>
        <w:t>modifier comme suit</w:t>
      </w:r>
      <w:r>
        <w:rPr>
          <w:lang w:val="fr-FR"/>
        </w:rPr>
        <w:t> :</w:t>
      </w:r>
    </w:p>
    <w:p w:rsidR="00B1465D" w:rsidRPr="00B1465D" w:rsidRDefault="004F1948" w:rsidP="004F1948">
      <w:pPr>
        <w:pStyle w:val="H1G"/>
        <w:rPr>
          <w:lang w:val="fr-FR"/>
        </w:rPr>
      </w:pPr>
      <w:r>
        <w:rPr>
          <w:lang w:val="fr-FR"/>
        </w:rPr>
        <w:tab/>
      </w:r>
      <w:r>
        <w:rPr>
          <w:lang w:val="fr-FR"/>
        </w:rPr>
        <w:tab/>
      </w:r>
      <w:r w:rsidR="00B1465D" w:rsidRPr="004F1948">
        <w:rPr>
          <w:b w:val="0"/>
          <w:sz w:val="20"/>
        </w:rPr>
        <w:t>«</w:t>
      </w:r>
      <w:r w:rsidR="00B1465D" w:rsidRPr="00B1465D">
        <w:rPr>
          <w:lang w:val="fr-FR"/>
        </w:rPr>
        <w:t> 2.</w:t>
      </w:r>
      <w:r w:rsidR="00B1465D" w:rsidRPr="00B1465D">
        <w:rPr>
          <w:lang w:val="fr-FR"/>
        </w:rPr>
        <w:tab/>
      </w:r>
      <w:r w:rsidR="00581236">
        <w:rPr>
          <w:lang w:val="fr-FR"/>
        </w:rPr>
        <w:tab/>
      </w:r>
      <w:r>
        <w:rPr>
          <w:lang w:val="fr-FR"/>
        </w:rPr>
        <w:tab/>
      </w:r>
      <w:r w:rsidR="00B1465D" w:rsidRPr="00B1465D">
        <w:rPr>
          <w:lang w:val="fr-FR"/>
        </w:rPr>
        <w:t>Définitions</w:t>
      </w:r>
    </w:p>
    <w:p w:rsidR="00B1465D" w:rsidRPr="00B1465D" w:rsidRDefault="00574938" w:rsidP="00D635D3">
      <w:pPr>
        <w:pStyle w:val="SingleTxtG"/>
        <w:ind w:left="2835" w:hanging="1701"/>
        <w:rPr>
          <w:lang w:val="fr-FR"/>
        </w:rPr>
      </w:pPr>
      <w:r>
        <w:rPr>
          <w:lang w:val="fr-FR"/>
        </w:rPr>
        <w:tab/>
      </w:r>
      <w:r w:rsidR="00B1465D" w:rsidRPr="00B1465D">
        <w:rPr>
          <w:lang w:val="fr-FR"/>
        </w:rPr>
        <w:t xml:space="preserve">Au sens du présent Règlement, </w:t>
      </w:r>
      <w:r w:rsidR="00B1465D" w:rsidRPr="00B1465D">
        <w:rPr>
          <w:b/>
          <w:lang w:val="fr-FR"/>
        </w:rPr>
        <w:t>étant entendu que, sauf disposition contraire énoncée dans le présent Règlement, les définitions qui figurent dans la dernière série d’amendements au Règlement n</w:t>
      </w:r>
      <w:r w:rsidR="00B1465D" w:rsidRPr="00B1465D">
        <w:rPr>
          <w:b/>
          <w:vertAlign w:val="superscript"/>
          <w:lang w:val="fr-FR"/>
        </w:rPr>
        <w:t>o</w:t>
      </w:r>
      <w:r w:rsidR="00B1465D" w:rsidRPr="00B1465D">
        <w:rPr>
          <w:b/>
          <w:lang w:val="fr-FR"/>
        </w:rPr>
        <w:t> 48 en vigueur au moment de la demande d’homologation de type s’appliquent,</w:t>
      </w:r>
      <w:r w:rsidR="00B1465D" w:rsidRPr="00B1465D">
        <w:rPr>
          <w:lang w:val="fr-FR"/>
        </w:rPr>
        <w:t xml:space="preserve"> o</w:t>
      </w:r>
      <w:r w:rsidR="00581236">
        <w:rPr>
          <w:lang w:val="fr-FR"/>
        </w:rPr>
        <w:t>n entend par :</w:t>
      </w:r>
    </w:p>
    <w:p w:rsidR="00B1465D" w:rsidRPr="00B1465D" w:rsidRDefault="00B1465D" w:rsidP="00D635D3">
      <w:pPr>
        <w:pStyle w:val="SingleTxtG"/>
        <w:keepNext/>
        <w:keepLines/>
        <w:ind w:left="2835" w:hanging="1701"/>
        <w:rPr>
          <w:lang w:val="fr-FR"/>
        </w:rPr>
      </w:pPr>
      <w:r w:rsidRPr="00B1465D">
        <w:rPr>
          <w:lang w:val="fr-FR"/>
        </w:rPr>
        <w:t>2.1</w:t>
      </w:r>
      <w:r w:rsidRPr="00B1465D">
        <w:rPr>
          <w:lang w:val="fr-FR"/>
        </w:rPr>
        <w:tab/>
      </w:r>
      <w:r w:rsidR="00581236" w:rsidRPr="00581236">
        <w:t>“</w:t>
      </w:r>
      <w:r w:rsidRPr="00B1465D">
        <w:rPr>
          <w:i/>
          <w:lang w:val="fr-FR"/>
        </w:rPr>
        <w:t>Type de véhicule en ce qui concerne l’installation des dispositifs d’éclairage et de signalisation lumineuse</w:t>
      </w:r>
      <w:r w:rsidR="00581236" w:rsidRPr="00581236">
        <w:t>”</w:t>
      </w:r>
      <w:r w:rsidRPr="00B1465D">
        <w:rPr>
          <w:lang w:val="fr-FR"/>
        </w:rPr>
        <w:t xml:space="preserve">, des véhicules ne différant pas entre eux quant à </w:t>
      </w:r>
      <w:r w:rsidR="00581236">
        <w:rPr>
          <w:lang w:val="fr-FR"/>
        </w:rPr>
        <w:t>des aspects essentiels tels que :</w:t>
      </w:r>
    </w:p>
    <w:p w:rsidR="00B1465D" w:rsidRPr="00B1465D" w:rsidRDefault="00B1465D" w:rsidP="00D635D3">
      <w:pPr>
        <w:pStyle w:val="SingleTxtG"/>
        <w:ind w:left="2835" w:hanging="1701"/>
        <w:rPr>
          <w:lang w:val="fr-FR"/>
        </w:rPr>
      </w:pPr>
      <w:r w:rsidRPr="00B1465D">
        <w:rPr>
          <w:lang w:val="fr-FR"/>
        </w:rPr>
        <w:t>2.1.1</w:t>
      </w:r>
      <w:r w:rsidRPr="00B1465D">
        <w:rPr>
          <w:lang w:val="fr-FR"/>
        </w:rPr>
        <w:tab/>
        <w:t>Les dimensions et la form</w:t>
      </w:r>
      <w:r w:rsidR="00581236">
        <w:rPr>
          <w:lang w:val="fr-FR"/>
        </w:rPr>
        <w:t>e extérieure du véhicule ;</w:t>
      </w:r>
    </w:p>
    <w:p w:rsidR="00B1465D" w:rsidRPr="00B1465D" w:rsidRDefault="00B1465D" w:rsidP="00D635D3">
      <w:pPr>
        <w:pStyle w:val="SingleTxtG"/>
        <w:ind w:left="2835" w:hanging="1701"/>
        <w:rPr>
          <w:lang w:val="fr-FR"/>
        </w:rPr>
      </w:pPr>
      <w:r w:rsidRPr="00B1465D">
        <w:rPr>
          <w:lang w:val="fr-FR"/>
        </w:rPr>
        <w:t>2.1.2</w:t>
      </w:r>
      <w:r w:rsidRPr="00B1465D">
        <w:rPr>
          <w:lang w:val="fr-FR"/>
        </w:rPr>
        <w:tab/>
        <w:t>Le nombre et l’</w:t>
      </w:r>
      <w:r w:rsidR="00581236">
        <w:rPr>
          <w:lang w:val="fr-FR"/>
        </w:rPr>
        <w:t>emplacement des dispositifs ;</w:t>
      </w:r>
    </w:p>
    <w:p w:rsidR="00B1465D" w:rsidRPr="00B1465D" w:rsidRDefault="00B1465D" w:rsidP="00D635D3">
      <w:pPr>
        <w:pStyle w:val="SingleTxtG"/>
        <w:ind w:left="2835" w:hanging="1701"/>
        <w:rPr>
          <w:lang w:val="fr-FR"/>
        </w:rPr>
      </w:pPr>
      <w:r w:rsidRPr="00B1465D">
        <w:rPr>
          <w:lang w:val="fr-FR"/>
        </w:rPr>
        <w:t>2.1.3</w:t>
      </w:r>
      <w:r w:rsidRPr="00B1465D">
        <w:rPr>
          <w:lang w:val="fr-FR"/>
        </w:rPr>
        <w:tab/>
        <w:t>Ne sont pas à cet égard considérés comme véhicules d’</w:t>
      </w:r>
      <w:r w:rsidR="00581236">
        <w:rPr>
          <w:lang w:val="fr-FR"/>
        </w:rPr>
        <w:t>un type différent :</w:t>
      </w:r>
    </w:p>
    <w:p w:rsidR="00B1465D" w:rsidRPr="00B1465D" w:rsidRDefault="00581236" w:rsidP="00D635D3">
      <w:pPr>
        <w:pStyle w:val="SingleTxtG"/>
        <w:ind w:left="2835" w:hanging="1701"/>
        <w:rPr>
          <w:lang w:val="fr-FR"/>
        </w:rPr>
      </w:pPr>
      <w:r>
        <w:rPr>
          <w:lang w:val="fr-FR"/>
        </w:rPr>
        <w:tab/>
      </w:r>
      <w:r w:rsidR="00B1465D" w:rsidRPr="00B1465D">
        <w:rPr>
          <w:lang w:val="fr-FR"/>
        </w:rPr>
        <w:t>Les véhicules qui diffèrent au sens des paragraphes 2.1.1 et 2.1.2 ci-dessus, mais sans qu’il y ait pour autant de modification du type, du nombre, de l’emplacement et de la visibilité géométrique des feux prescrits pou</w:t>
      </w:r>
      <w:r>
        <w:rPr>
          <w:lang w:val="fr-FR"/>
        </w:rPr>
        <w:t>r le type de véhicule considéré ;</w:t>
      </w:r>
    </w:p>
    <w:p w:rsidR="00B1465D" w:rsidRPr="00B1465D" w:rsidRDefault="00581236" w:rsidP="00D635D3">
      <w:pPr>
        <w:pStyle w:val="SingleTxtG"/>
        <w:ind w:left="2835" w:hanging="1701"/>
        <w:rPr>
          <w:lang w:val="fr-FR"/>
        </w:rPr>
      </w:pPr>
      <w:r>
        <w:rPr>
          <w:lang w:val="fr-FR"/>
        </w:rPr>
        <w:tab/>
      </w:r>
      <w:r w:rsidR="00B1465D" w:rsidRPr="00B1465D">
        <w:rPr>
          <w:lang w:val="fr-FR"/>
        </w:rPr>
        <w:t>Les véhicules sur lesquels des feux facult</w:t>
      </w:r>
      <w:r>
        <w:rPr>
          <w:lang w:val="fr-FR"/>
        </w:rPr>
        <w:t>atifs sont montés ou sont omis ;</w:t>
      </w:r>
    </w:p>
    <w:p w:rsidR="00B1465D" w:rsidRPr="00B1465D" w:rsidRDefault="00581236" w:rsidP="00D635D3">
      <w:pPr>
        <w:pStyle w:val="SingleTxtG"/>
        <w:ind w:left="2835" w:hanging="1701"/>
        <w:rPr>
          <w:lang w:val="fr-FR"/>
        </w:rPr>
      </w:pPr>
      <w:r>
        <w:rPr>
          <w:lang w:val="fr-FR"/>
        </w:rPr>
        <w:tab/>
      </w:r>
      <w:r w:rsidR="00B1465D" w:rsidRPr="00B1465D">
        <w:rPr>
          <w:lang w:val="fr-FR"/>
        </w:rPr>
        <w:t>Les véhicules équipés de feux dont la position varie selon le sens de circulation dans le pays d’</w:t>
      </w:r>
      <w:r>
        <w:rPr>
          <w:lang w:val="fr-FR"/>
        </w:rPr>
        <w:t>immatriculation ;</w:t>
      </w:r>
    </w:p>
    <w:p w:rsidR="00B1465D" w:rsidRPr="00957B17" w:rsidRDefault="00B1465D" w:rsidP="00D635D3">
      <w:pPr>
        <w:pStyle w:val="SingleTxtG"/>
        <w:ind w:left="2835" w:hanging="1701"/>
        <w:rPr>
          <w:strike/>
          <w:lang w:val="fr-FR"/>
        </w:rPr>
      </w:pPr>
      <w:r w:rsidRPr="00957B17">
        <w:rPr>
          <w:strike/>
          <w:lang w:val="fr-FR"/>
        </w:rPr>
        <w:t>2.2</w:t>
      </w:r>
      <w:r w:rsidRPr="00957B17">
        <w:rPr>
          <w:strike/>
          <w:lang w:val="fr-FR"/>
        </w:rPr>
        <w:tab/>
      </w:r>
      <w:r w:rsidR="00957B17" w:rsidRPr="00957B17">
        <w:rPr>
          <w:strike/>
        </w:rPr>
        <w:t>“</w:t>
      </w:r>
      <w:r w:rsidRPr="00957B17">
        <w:rPr>
          <w:i/>
          <w:strike/>
          <w:lang w:val="fr-FR"/>
        </w:rPr>
        <w:t>Plan transversal</w:t>
      </w:r>
      <w:r w:rsidR="00957B17" w:rsidRPr="00957B17">
        <w:rPr>
          <w:strike/>
        </w:rPr>
        <w:t>”</w:t>
      </w:r>
      <w:r w:rsidRPr="00957B17">
        <w:rPr>
          <w:strike/>
          <w:lang w:val="fr-FR"/>
        </w:rPr>
        <w:t xml:space="preserve">, un plan vertical perpendiculaire au plan </w:t>
      </w:r>
      <w:r w:rsidR="00581236" w:rsidRPr="00957B17">
        <w:rPr>
          <w:strike/>
          <w:lang w:val="fr-FR"/>
        </w:rPr>
        <w:t>longitudinal médian du véhicule ;</w:t>
      </w:r>
    </w:p>
    <w:p w:rsidR="00B1465D" w:rsidRPr="00957B17" w:rsidRDefault="00B1465D" w:rsidP="00D635D3">
      <w:pPr>
        <w:pStyle w:val="SingleTxtG"/>
        <w:ind w:left="2835" w:hanging="1701"/>
        <w:rPr>
          <w:strike/>
          <w:lang w:val="fr-FR"/>
        </w:rPr>
      </w:pPr>
      <w:r w:rsidRPr="00957B17">
        <w:rPr>
          <w:strike/>
          <w:lang w:val="fr-FR"/>
        </w:rPr>
        <w:t>2.3</w:t>
      </w:r>
      <w:r w:rsidRPr="00957B17">
        <w:rPr>
          <w:strike/>
          <w:lang w:val="fr-FR"/>
        </w:rPr>
        <w:tab/>
      </w:r>
      <w:r w:rsidR="00957B17" w:rsidRPr="00957B17">
        <w:rPr>
          <w:strike/>
        </w:rPr>
        <w:t>“</w:t>
      </w:r>
      <w:r w:rsidRPr="00957B17">
        <w:rPr>
          <w:i/>
          <w:strike/>
          <w:lang w:val="fr-FR"/>
        </w:rPr>
        <w:t>Véhicule à vide</w:t>
      </w:r>
      <w:r w:rsidR="00957B17" w:rsidRPr="00957B17">
        <w:rPr>
          <w:strike/>
        </w:rPr>
        <w:t>”</w:t>
      </w:r>
      <w:r w:rsidRPr="00957B17">
        <w:rPr>
          <w:strike/>
          <w:lang w:val="fr-FR"/>
        </w:rPr>
        <w:t xml:space="preserve">, le véhicule sans conducteur, équipage, passagers ni chargement, mais avec son plein de carburant, sa roue de secours </w:t>
      </w:r>
      <w:r w:rsidR="00581236" w:rsidRPr="00957B17">
        <w:rPr>
          <w:strike/>
          <w:lang w:val="fr-FR"/>
        </w:rPr>
        <w:t>et son outillage normal de bord ;</w:t>
      </w:r>
    </w:p>
    <w:p w:rsidR="00B1465D" w:rsidRPr="00B1465D" w:rsidRDefault="00B1465D" w:rsidP="00D635D3">
      <w:pPr>
        <w:pStyle w:val="SingleTxtG"/>
        <w:ind w:left="2835" w:hanging="1701"/>
        <w:rPr>
          <w:lang w:val="fr-FR"/>
        </w:rPr>
      </w:pPr>
      <w:r w:rsidRPr="00574938">
        <w:rPr>
          <w:strike/>
          <w:lang w:val="fr-FR"/>
        </w:rPr>
        <w:t>2.4</w:t>
      </w:r>
      <w:r w:rsidRPr="00B1465D">
        <w:rPr>
          <w:b/>
          <w:lang w:val="fr-FR"/>
        </w:rPr>
        <w:t>2.2</w:t>
      </w:r>
      <w:r w:rsidRPr="00B1465D">
        <w:rPr>
          <w:lang w:val="fr-FR"/>
        </w:rPr>
        <w:tab/>
      </w:r>
      <w:r w:rsidR="00581236" w:rsidRPr="00581236">
        <w:t>“</w:t>
      </w:r>
      <w:r w:rsidRPr="00B1465D">
        <w:rPr>
          <w:i/>
          <w:lang w:val="fr-FR"/>
        </w:rPr>
        <w:t>Véhicule en charge</w:t>
      </w:r>
      <w:r w:rsidR="00581236" w:rsidRPr="00581236">
        <w:t>”,</w:t>
      </w:r>
      <w:r w:rsidRPr="00B1465D">
        <w:rPr>
          <w:lang w:val="fr-FR"/>
        </w:rPr>
        <w:t xml:space="preserve"> le véhicule chargé à sa masse maximale techniquement admissible, déclarée par le constructeur, qui doit également fixer la répartition de</w:t>
      </w:r>
      <w:r w:rsidR="00581236">
        <w:rPr>
          <w:lang w:val="fr-FR"/>
        </w:rPr>
        <w:t xml:space="preserve"> ladite masse entre les essieux ;</w:t>
      </w:r>
    </w:p>
    <w:p w:rsidR="00B1465D" w:rsidRPr="00574938" w:rsidRDefault="00B1465D" w:rsidP="00D635D3">
      <w:pPr>
        <w:pStyle w:val="SingleTxtG"/>
        <w:ind w:left="2835" w:hanging="1701"/>
        <w:rPr>
          <w:strike/>
          <w:lang w:val="fr-FR"/>
        </w:rPr>
      </w:pPr>
      <w:r w:rsidRPr="00574938">
        <w:rPr>
          <w:strike/>
          <w:lang w:val="fr-FR"/>
        </w:rPr>
        <w:t>2.5</w:t>
      </w:r>
      <w:r w:rsidRPr="00574938">
        <w:rPr>
          <w:strike/>
          <w:lang w:val="fr-FR"/>
        </w:rPr>
        <w:tab/>
      </w:r>
      <w:r w:rsidR="00581236" w:rsidRPr="00574938">
        <w:rPr>
          <w:strike/>
        </w:rPr>
        <w:t>“</w:t>
      </w:r>
      <w:r w:rsidRPr="00574938">
        <w:rPr>
          <w:i/>
          <w:strike/>
          <w:lang w:val="fr-FR"/>
        </w:rPr>
        <w:t>Dispositif</w:t>
      </w:r>
      <w:r w:rsidR="00581236" w:rsidRPr="00574938">
        <w:rPr>
          <w:strike/>
        </w:rPr>
        <w:t>”</w:t>
      </w:r>
      <w:r w:rsidRPr="00574938">
        <w:rPr>
          <w:strike/>
          <w:lang w:val="fr-FR"/>
        </w:rPr>
        <w:t>, un élément ou un ensemble d’éléments servant à rem</w:t>
      </w:r>
      <w:r w:rsidR="00574938">
        <w:rPr>
          <w:strike/>
          <w:lang w:val="fr-FR"/>
        </w:rPr>
        <w:t>plir une ou plusieurs fonctions ;</w:t>
      </w:r>
    </w:p>
    <w:p w:rsidR="00B1465D" w:rsidRPr="00574938" w:rsidRDefault="00B1465D" w:rsidP="00D635D3">
      <w:pPr>
        <w:pStyle w:val="SingleTxtG"/>
        <w:ind w:left="2835" w:hanging="1701"/>
        <w:rPr>
          <w:strike/>
          <w:lang w:val="fr-FR"/>
        </w:rPr>
      </w:pPr>
      <w:r w:rsidRPr="00574938">
        <w:rPr>
          <w:strike/>
          <w:lang w:val="fr-FR"/>
        </w:rPr>
        <w:t>2.5.1</w:t>
      </w:r>
      <w:r w:rsidRPr="00574938">
        <w:rPr>
          <w:strike/>
          <w:lang w:val="fr-FR"/>
        </w:rPr>
        <w:tab/>
      </w:r>
      <w:r w:rsidR="00581236" w:rsidRPr="00574938">
        <w:rPr>
          <w:strike/>
        </w:rPr>
        <w:t>“</w:t>
      </w:r>
      <w:r w:rsidRPr="00574938">
        <w:rPr>
          <w:i/>
          <w:strike/>
          <w:lang w:val="fr-FR"/>
        </w:rPr>
        <w:t>Fonction d’éclairage</w:t>
      </w:r>
      <w:r w:rsidR="00581236" w:rsidRPr="00574938">
        <w:rPr>
          <w:strike/>
        </w:rPr>
        <w:t>”</w:t>
      </w:r>
      <w:r w:rsidRPr="00574938">
        <w:rPr>
          <w:strike/>
          <w:lang w:val="fr-FR"/>
        </w:rPr>
        <w:t xml:space="preserve">, la lumière émise par un dispositif afin d’éclairer la route et les objets dans le </w:t>
      </w:r>
      <w:r w:rsidR="00574938">
        <w:rPr>
          <w:strike/>
          <w:lang w:val="fr-FR"/>
        </w:rPr>
        <w:t>sens du déplacement du véhicule ;</w:t>
      </w:r>
    </w:p>
    <w:p w:rsidR="00B1465D" w:rsidRPr="00574938" w:rsidRDefault="00B1465D" w:rsidP="00D635D3">
      <w:pPr>
        <w:pStyle w:val="SingleTxtG"/>
        <w:ind w:left="2835" w:hanging="1701"/>
        <w:rPr>
          <w:strike/>
          <w:lang w:val="fr-FR"/>
        </w:rPr>
      </w:pPr>
      <w:r w:rsidRPr="00574938">
        <w:rPr>
          <w:strike/>
          <w:lang w:val="fr-FR"/>
        </w:rPr>
        <w:t>2.5.2</w:t>
      </w:r>
      <w:r w:rsidRPr="00574938">
        <w:rPr>
          <w:strike/>
          <w:lang w:val="fr-FR"/>
        </w:rPr>
        <w:tab/>
      </w:r>
      <w:r w:rsidR="00581236" w:rsidRPr="00574938">
        <w:rPr>
          <w:strike/>
        </w:rPr>
        <w:t>“</w:t>
      </w:r>
      <w:r w:rsidRPr="00574938">
        <w:rPr>
          <w:i/>
          <w:strike/>
          <w:lang w:val="fr-FR"/>
        </w:rPr>
        <w:t>Fonction de signalisation lumineuse</w:t>
      </w:r>
      <w:r w:rsidR="00581236" w:rsidRPr="00574938">
        <w:rPr>
          <w:strike/>
        </w:rPr>
        <w:t>”</w:t>
      </w:r>
      <w:r w:rsidRPr="00574938">
        <w:rPr>
          <w:strike/>
          <w:lang w:val="fr-FR"/>
        </w:rPr>
        <w:t>, la lumière émise ou réfléchie par un dispositif afin d’indiquer de façon visuelle la présence, l’identification et/ou le chan</w:t>
      </w:r>
      <w:r w:rsidR="00574938">
        <w:rPr>
          <w:strike/>
          <w:lang w:val="fr-FR"/>
        </w:rPr>
        <w:t>gement de direction du véhicule ;</w:t>
      </w:r>
    </w:p>
    <w:p w:rsidR="00B1465D" w:rsidRPr="00B1465D" w:rsidRDefault="00B1465D" w:rsidP="00D635D3">
      <w:pPr>
        <w:pStyle w:val="SingleTxtG"/>
        <w:ind w:left="2835" w:hanging="1701"/>
        <w:rPr>
          <w:lang w:val="fr-FR"/>
        </w:rPr>
      </w:pPr>
      <w:r w:rsidRPr="00574938">
        <w:rPr>
          <w:strike/>
          <w:lang w:val="fr-FR"/>
        </w:rPr>
        <w:t>2.6</w:t>
      </w:r>
      <w:r w:rsidRPr="00B1465D">
        <w:rPr>
          <w:b/>
          <w:lang w:val="fr-FR"/>
        </w:rPr>
        <w:t>2.3</w:t>
      </w:r>
      <w:r w:rsidRPr="00B1465D">
        <w:rPr>
          <w:lang w:val="fr-FR"/>
        </w:rPr>
        <w:tab/>
      </w:r>
      <w:r w:rsidR="00581236" w:rsidRPr="00581236">
        <w:t>“</w:t>
      </w:r>
      <w:r w:rsidRPr="00B1465D">
        <w:rPr>
          <w:i/>
          <w:lang w:val="fr-FR"/>
        </w:rPr>
        <w:t>Feu</w:t>
      </w:r>
      <w:r w:rsidR="00581236" w:rsidRPr="00581236">
        <w:t>”</w:t>
      </w:r>
      <w:r w:rsidRPr="00B1465D">
        <w:rPr>
          <w:lang w:val="fr-FR"/>
        </w:rPr>
        <w:t>, un dispositif destiné à éclairer la route ou à émettre un signal lumineux. Les dispositifs d’éclairage de la plaque d’immatriculation arrière et les catadioptres sont égal</w:t>
      </w:r>
      <w:r w:rsidR="00574938">
        <w:rPr>
          <w:lang w:val="fr-FR"/>
        </w:rPr>
        <w:t>ement considérés comme des feux ;</w:t>
      </w:r>
    </w:p>
    <w:p w:rsidR="00B1465D" w:rsidRPr="00B1465D" w:rsidRDefault="00B1465D" w:rsidP="00D635D3">
      <w:pPr>
        <w:pStyle w:val="SingleTxtG"/>
        <w:ind w:left="2835" w:hanging="1701"/>
        <w:rPr>
          <w:lang w:val="fr-FR"/>
        </w:rPr>
      </w:pPr>
      <w:r w:rsidRPr="00574938">
        <w:rPr>
          <w:strike/>
          <w:lang w:val="fr-FR"/>
        </w:rPr>
        <w:t>2.6.1</w:t>
      </w:r>
      <w:r w:rsidRPr="00B1465D">
        <w:rPr>
          <w:b/>
          <w:lang w:val="fr-FR"/>
        </w:rPr>
        <w:t>2.3.1</w:t>
      </w:r>
      <w:r w:rsidRPr="00B1465D">
        <w:rPr>
          <w:lang w:val="fr-FR"/>
        </w:rPr>
        <w:tab/>
      </w:r>
      <w:r w:rsidR="00581236" w:rsidRPr="00581236">
        <w:t>“</w:t>
      </w:r>
      <w:r w:rsidRPr="00B1465D">
        <w:rPr>
          <w:i/>
          <w:lang w:val="fr-FR"/>
        </w:rPr>
        <w:t>Feux équivalents</w:t>
      </w:r>
      <w:r w:rsidR="00581236" w:rsidRPr="00581236">
        <w:t>”</w:t>
      </w:r>
      <w:r w:rsidRPr="00B1465D">
        <w:rPr>
          <w:lang w:val="fr-FR"/>
        </w:rPr>
        <w:t>, des feux ayant la même fonction et autorisés dans le pays dans lequel le véhicule est immatriculé</w:t>
      </w:r>
      <w:r w:rsidR="00B55BA0">
        <w:rPr>
          <w:lang w:val="fr-FR"/>
        </w:rPr>
        <w:t> </w:t>
      </w:r>
      <w:r w:rsidRPr="00B1465D">
        <w:rPr>
          <w:lang w:val="fr-FR"/>
        </w:rPr>
        <w:t>; ces feux peuvent avoir des caractéristiques différentes de celles des feux équipant le véhicule lors de son homologation à condition qu’ils satisfassent aux dispositions formulées dan</w:t>
      </w:r>
      <w:r w:rsidR="00574938">
        <w:rPr>
          <w:lang w:val="fr-FR"/>
        </w:rPr>
        <w:t>s le présent Règlement ;</w:t>
      </w:r>
    </w:p>
    <w:p w:rsidR="00B1465D" w:rsidRPr="00B1465D" w:rsidRDefault="00B1465D" w:rsidP="00D635D3">
      <w:pPr>
        <w:pStyle w:val="SingleTxtG"/>
        <w:ind w:left="2835" w:hanging="1701"/>
        <w:rPr>
          <w:lang w:val="fr-FR"/>
        </w:rPr>
      </w:pPr>
      <w:r w:rsidRPr="00574938">
        <w:rPr>
          <w:strike/>
          <w:lang w:val="fr-FR"/>
        </w:rPr>
        <w:lastRenderedPageBreak/>
        <w:t>2.6.2</w:t>
      </w:r>
      <w:r w:rsidRPr="00B1465D">
        <w:rPr>
          <w:b/>
          <w:lang w:val="fr-FR"/>
        </w:rPr>
        <w:t>2.3.2</w:t>
      </w:r>
      <w:r w:rsidRPr="00B1465D">
        <w:rPr>
          <w:lang w:val="fr-FR"/>
        </w:rPr>
        <w:tab/>
      </w:r>
      <w:r w:rsidR="00581236" w:rsidRPr="00581236">
        <w:t>“</w:t>
      </w:r>
      <w:r w:rsidRPr="00B1465D">
        <w:rPr>
          <w:i/>
          <w:lang w:val="fr-FR"/>
        </w:rPr>
        <w:t>Feux indépendants</w:t>
      </w:r>
      <w:r w:rsidR="00581236" w:rsidRPr="00581236">
        <w:t>”</w:t>
      </w:r>
      <w:r w:rsidRPr="00B1465D">
        <w:rPr>
          <w:lang w:val="fr-FR"/>
        </w:rPr>
        <w:t>, des dispositifs ayant des surfaces apparentes distinctes dans la direction de l’axe de référence, des sources lumineuses disti</w:t>
      </w:r>
      <w:r w:rsidR="00B55BA0">
        <w:rPr>
          <w:lang w:val="fr-FR"/>
        </w:rPr>
        <w:t>nctes et des boîtiers distincts ;</w:t>
      </w:r>
    </w:p>
    <w:p w:rsidR="00B1465D" w:rsidRPr="00B1465D" w:rsidRDefault="00B1465D" w:rsidP="00D635D3">
      <w:pPr>
        <w:pStyle w:val="SingleTxtG"/>
        <w:ind w:left="2835" w:hanging="1701"/>
        <w:rPr>
          <w:lang w:val="fr-FR"/>
        </w:rPr>
      </w:pPr>
      <w:r w:rsidRPr="00574938">
        <w:rPr>
          <w:strike/>
          <w:lang w:val="fr-FR"/>
        </w:rPr>
        <w:t>2.6.3</w:t>
      </w:r>
      <w:r w:rsidRPr="00B1465D">
        <w:rPr>
          <w:b/>
          <w:lang w:val="fr-FR"/>
        </w:rPr>
        <w:t>2.3.3</w:t>
      </w:r>
      <w:r w:rsidRPr="00B1465D">
        <w:rPr>
          <w:lang w:val="fr-FR"/>
        </w:rPr>
        <w:tab/>
      </w:r>
      <w:r w:rsidR="00581236" w:rsidRPr="00581236">
        <w:t>“</w:t>
      </w:r>
      <w:r w:rsidRPr="00B1465D">
        <w:rPr>
          <w:i/>
          <w:lang w:val="fr-FR"/>
        </w:rPr>
        <w:t>Feux groupés</w:t>
      </w:r>
      <w:r w:rsidR="00581236" w:rsidRPr="00581236">
        <w:t>”</w:t>
      </w:r>
      <w:r w:rsidRPr="00B1465D">
        <w:rPr>
          <w:lang w:val="fr-FR"/>
        </w:rPr>
        <w:t>, des dispositifs ayant des lentilles et des sources lumineuses d</w:t>
      </w:r>
      <w:r w:rsidR="00B55BA0">
        <w:rPr>
          <w:lang w:val="fr-FR"/>
        </w:rPr>
        <w:t>istinctes, mais un même boîtier ;</w:t>
      </w:r>
    </w:p>
    <w:p w:rsidR="00B1465D" w:rsidRPr="00B1465D" w:rsidRDefault="00B1465D" w:rsidP="00D635D3">
      <w:pPr>
        <w:pStyle w:val="SingleTxtG"/>
        <w:ind w:left="2835" w:hanging="1701"/>
        <w:rPr>
          <w:lang w:val="fr-FR"/>
        </w:rPr>
      </w:pPr>
      <w:r w:rsidRPr="00574938">
        <w:rPr>
          <w:strike/>
          <w:lang w:val="fr-FR"/>
        </w:rPr>
        <w:t>2.6.4</w:t>
      </w:r>
      <w:r w:rsidRPr="00B1465D">
        <w:rPr>
          <w:b/>
          <w:lang w:val="fr-FR"/>
        </w:rPr>
        <w:t>2.3.4</w:t>
      </w:r>
      <w:r w:rsidRPr="00B1465D">
        <w:rPr>
          <w:lang w:val="fr-FR"/>
        </w:rPr>
        <w:tab/>
      </w:r>
      <w:r w:rsidR="00581236" w:rsidRPr="00581236">
        <w:t>“</w:t>
      </w:r>
      <w:r w:rsidRPr="00B1465D">
        <w:rPr>
          <w:i/>
          <w:lang w:val="fr-FR"/>
        </w:rPr>
        <w:t>Feux combinés</w:t>
      </w:r>
      <w:r w:rsidR="00581236" w:rsidRPr="00581236">
        <w:t>”</w:t>
      </w:r>
      <w:r w:rsidRPr="00B1465D">
        <w:rPr>
          <w:lang w:val="fr-FR"/>
        </w:rPr>
        <w:t>, des dispositifs ayant des surfaces apparentes distinctes dans la direction de l’axe de référence, mais une même source lumineuse et un m</w:t>
      </w:r>
      <w:r w:rsidR="00B55BA0">
        <w:rPr>
          <w:lang w:val="fr-FR"/>
        </w:rPr>
        <w:t>ême boîtier ;</w:t>
      </w:r>
    </w:p>
    <w:p w:rsidR="00B1465D" w:rsidRPr="00B1465D" w:rsidRDefault="00B1465D" w:rsidP="00D635D3">
      <w:pPr>
        <w:pStyle w:val="SingleTxtG"/>
        <w:ind w:left="2835" w:hanging="1701"/>
        <w:rPr>
          <w:lang w:val="fr-FR"/>
        </w:rPr>
      </w:pPr>
      <w:r w:rsidRPr="00574938">
        <w:rPr>
          <w:strike/>
          <w:lang w:val="fr-FR"/>
        </w:rPr>
        <w:t>2.6.5</w:t>
      </w:r>
      <w:r w:rsidRPr="00B1465D">
        <w:rPr>
          <w:b/>
          <w:lang w:val="fr-FR"/>
        </w:rPr>
        <w:t>2.3.5</w:t>
      </w:r>
      <w:r w:rsidRPr="00B1465D">
        <w:rPr>
          <w:lang w:val="fr-FR"/>
        </w:rPr>
        <w:tab/>
      </w:r>
      <w:r w:rsidR="00581236" w:rsidRPr="00581236">
        <w:t>“</w:t>
      </w:r>
      <w:r w:rsidRPr="00B1465D">
        <w:rPr>
          <w:i/>
          <w:lang w:val="fr-FR"/>
        </w:rPr>
        <w:t>Feux mutuellement incorporés</w:t>
      </w:r>
      <w:r w:rsidR="00581236" w:rsidRPr="00581236">
        <w:t>”</w:t>
      </w:r>
      <w:r w:rsidRPr="00B1465D">
        <w:rPr>
          <w:lang w:val="fr-FR"/>
        </w:rPr>
        <w:t xml:space="preserve">, des dispositifs ayant des sources lumineuses distinctes ou une source lumineuse unique fonctionnant dans des conditions différentes (différences optiques, mécaniques ou électriques, par exemple), des surfaces apparentes totalement ou partiellement communes dans la direction de l’axe </w:t>
      </w:r>
      <w:r w:rsidR="00B55BA0">
        <w:rPr>
          <w:lang w:val="fr-FR"/>
        </w:rPr>
        <w:t>de référence et un même boîtier ;</w:t>
      </w:r>
    </w:p>
    <w:p w:rsidR="00B1465D" w:rsidRPr="00B1465D" w:rsidRDefault="00B1465D" w:rsidP="00D635D3">
      <w:pPr>
        <w:pStyle w:val="SingleTxtG"/>
        <w:ind w:left="2835" w:hanging="1701"/>
        <w:rPr>
          <w:lang w:val="fr-FR"/>
        </w:rPr>
      </w:pPr>
      <w:r w:rsidRPr="00574938">
        <w:rPr>
          <w:strike/>
          <w:lang w:val="fr-FR"/>
        </w:rPr>
        <w:t>2.6.6</w:t>
      </w:r>
      <w:r w:rsidRPr="00B1465D">
        <w:rPr>
          <w:b/>
          <w:lang w:val="fr-FR"/>
        </w:rPr>
        <w:t>2.3.6</w:t>
      </w:r>
      <w:r w:rsidRPr="00B1465D">
        <w:rPr>
          <w:lang w:val="fr-FR"/>
        </w:rPr>
        <w:tab/>
      </w:r>
      <w:r w:rsidR="00581236" w:rsidRPr="00581236">
        <w:t>“</w:t>
      </w:r>
      <w:r w:rsidRPr="00B1465D">
        <w:rPr>
          <w:i/>
          <w:lang w:val="fr-FR"/>
        </w:rPr>
        <w:t>Feu d’éclairage occultable</w:t>
      </w:r>
      <w:r w:rsidR="00581236" w:rsidRPr="00581236">
        <w:t>”</w:t>
      </w:r>
      <w:r w:rsidRPr="00B1465D">
        <w:rPr>
          <w:lang w:val="fr-FR"/>
        </w:rPr>
        <w:t xml:space="preserve">, un projecteur pouvant être dissimulé partiellement ou totalement lorsqu’il n’est pas utilisé. Ce résultat peut être obtenu soit par emploi d’un couvercle mobile, soit par déplacement du feu, soit par tout autre moyen adéquat. On appelle plus particulièrement </w:t>
      </w:r>
      <w:r w:rsidR="00E2794C" w:rsidRPr="00581236">
        <w:t>“</w:t>
      </w:r>
      <w:r w:rsidRPr="00B1465D">
        <w:rPr>
          <w:lang w:val="fr-FR"/>
        </w:rPr>
        <w:t>feu escamotable</w:t>
      </w:r>
      <w:r w:rsidR="00E2794C" w:rsidRPr="00581236">
        <w:t>”</w:t>
      </w:r>
      <w:r w:rsidRPr="00B1465D">
        <w:rPr>
          <w:lang w:val="fr-FR"/>
        </w:rPr>
        <w:t xml:space="preserve"> un feu occultable dont le déplacement lui permet de rentrer dans la carrosser</w:t>
      </w:r>
      <w:r w:rsidR="00B55BA0">
        <w:rPr>
          <w:lang w:val="fr-FR"/>
        </w:rPr>
        <w:t>ie ;</w:t>
      </w:r>
    </w:p>
    <w:p w:rsidR="00B1465D" w:rsidRPr="00B1465D" w:rsidRDefault="00B1465D" w:rsidP="00D635D3">
      <w:pPr>
        <w:pStyle w:val="SingleTxtG"/>
        <w:ind w:left="2835" w:hanging="1701"/>
        <w:rPr>
          <w:lang w:val="fr-FR"/>
        </w:rPr>
      </w:pPr>
      <w:r w:rsidRPr="00574938">
        <w:rPr>
          <w:strike/>
          <w:lang w:val="fr-FR"/>
        </w:rPr>
        <w:t>2.6.7</w:t>
      </w:r>
      <w:r w:rsidRPr="00B1465D">
        <w:rPr>
          <w:b/>
          <w:lang w:val="fr-FR"/>
        </w:rPr>
        <w:t>2.3.7</w:t>
      </w:r>
      <w:r w:rsidRPr="00B1465D">
        <w:rPr>
          <w:lang w:val="fr-FR"/>
        </w:rPr>
        <w:tab/>
      </w:r>
      <w:r w:rsidR="00581236" w:rsidRPr="00581236">
        <w:t>“</w:t>
      </w:r>
      <w:r w:rsidRPr="00B1465D">
        <w:rPr>
          <w:i/>
          <w:lang w:val="fr-FR"/>
        </w:rPr>
        <w:t>Feux à position variable</w:t>
      </w:r>
      <w:r w:rsidR="00581236" w:rsidRPr="00581236">
        <w:t>”</w:t>
      </w:r>
      <w:r w:rsidRPr="00B1465D">
        <w:rPr>
          <w:lang w:val="fr-FR"/>
        </w:rPr>
        <w:t xml:space="preserve">, des feux montés sur le véhicule qui peuvent se déplacer par rapport à </w:t>
      </w:r>
      <w:r w:rsidR="00B55BA0">
        <w:rPr>
          <w:lang w:val="fr-FR"/>
        </w:rPr>
        <w:t>lui, sans pouvoir être détachés ;</w:t>
      </w:r>
    </w:p>
    <w:p w:rsidR="00B1465D" w:rsidRPr="00574938" w:rsidRDefault="00B1465D" w:rsidP="00D635D3">
      <w:pPr>
        <w:pStyle w:val="SingleTxtG"/>
        <w:ind w:left="2835" w:hanging="1701"/>
        <w:rPr>
          <w:strike/>
          <w:lang w:val="fr-FR"/>
        </w:rPr>
      </w:pPr>
      <w:r w:rsidRPr="00574938">
        <w:rPr>
          <w:strike/>
          <w:lang w:val="fr-FR"/>
        </w:rPr>
        <w:t>2.6.8</w:t>
      </w:r>
      <w:r w:rsidRPr="00574938">
        <w:rPr>
          <w:strike/>
          <w:lang w:val="fr-FR"/>
        </w:rPr>
        <w:tab/>
      </w:r>
      <w:r w:rsidR="00581236" w:rsidRPr="00574938">
        <w:rPr>
          <w:strike/>
        </w:rPr>
        <w:t>“</w:t>
      </w:r>
      <w:r w:rsidRPr="00574938">
        <w:rPr>
          <w:i/>
          <w:strike/>
          <w:lang w:val="fr-FR"/>
        </w:rPr>
        <w:t>Feu de route</w:t>
      </w:r>
      <w:r w:rsidRPr="00574938">
        <w:rPr>
          <w:strike/>
          <w:lang w:val="fr-FR"/>
        </w:rPr>
        <w:t>», le feu servant à éclairer la route sur une grand</w:t>
      </w:r>
      <w:r w:rsidR="00574938">
        <w:rPr>
          <w:strike/>
          <w:lang w:val="fr-FR"/>
        </w:rPr>
        <w:t>e distance en avant du véhicule ;</w:t>
      </w:r>
    </w:p>
    <w:p w:rsidR="00B1465D" w:rsidRPr="00574938" w:rsidRDefault="00B1465D" w:rsidP="00D635D3">
      <w:pPr>
        <w:pStyle w:val="SingleTxtG"/>
        <w:ind w:left="2835" w:hanging="1701"/>
        <w:rPr>
          <w:strike/>
          <w:lang w:val="fr-FR"/>
        </w:rPr>
      </w:pPr>
      <w:r w:rsidRPr="00574938">
        <w:rPr>
          <w:strike/>
          <w:lang w:val="fr-FR"/>
        </w:rPr>
        <w:t>2.6.9</w:t>
      </w:r>
      <w:r w:rsidRPr="00574938">
        <w:rPr>
          <w:strike/>
          <w:lang w:val="fr-FR"/>
        </w:rPr>
        <w:tab/>
      </w:r>
      <w:r w:rsidR="00581236" w:rsidRPr="00574938">
        <w:rPr>
          <w:strike/>
        </w:rPr>
        <w:t>“</w:t>
      </w:r>
      <w:r w:rsidRPr="00574938">
        <w:rPr>
          <w:i/>
          <w:strike/>
          <w:lang w:val="fr-FR"/>
        </w:rPr>
        <w:t>Feu de croisement</w:t>
      </w:r>
      <w:r w:rsidR="00581236" w:rsidRPr="00574938">
        <w:rPr>
          <w:strike/>
        </w:rPr>
        <w:t>”</w:t>
      </w:r>
      <w:r w:rsidRPr="00574938">
        <w:rPr>
          <w:strike/>
          <w:lang w:val="fr-FR"/>
        </w:rPr>
        <w:t>, le feu servant à éclairer la route en avant du véhicule sans éblouir ni gêner indûment les conducteurs des véhicules venant en sens inverse ni</w:t>
      </w:r>
      <w:r w:rsidR="00574938">
        <w:rPr>
          <w:strike/>
          <w:lang w:val="fr-FR"/>
        </w:rPr>
        <w:t xml:space="preserve"> les autres usagers de la route ;</w:t>
      </w:r>
    </w:p>
    <w:p w:rsidR="00B1465D" w:rsidRPr="00B1465D" w:rsidRDefault="00B1465D" w:rsidP="00D635D3">
      <w:pPr>
        <w:pStyle w:val="SingleTxtG"/>
        <w:ind w:left="2835" w:hanging="1701"/>
        <w:rPr>
          <w:lang w:val="fr-FR"/>
        </w:rPr>
      </w:pPr>
      <w:r w:rsidRPr="00574938">
        <w:rPr>
          <w:strike/>
          <w:lang w:val="fr-FR"/>
        </w:rPr>
        <w:t>2.6.10</w:t>
      </w:r>
      <w:r w:rsidRPr="00B1465D">
        <w:rPr>
          <w:b/>
          <w:lang w:val="fr-FR"/>
        </w:rPr>
        <w:t>2.3.8</w:t>
      </w:r>
      <w:r w:rsidRPr="00B1465D">
        <w:rPr>
          <w:lang w:val="fr-FR"/>
        </w:rPr>
        <w:tab/>
      </w:r>
      <w:r w:rsidR="00581236" w:rsidRPr="00581236">
        <w:t>“</w:t>
      </w:r>
      <w:r w:rsidRPr="00B1465D">
        <w:rPr>
          <w:i/>
          <w:lang w:val="fr-FR"/>
        </w:rPr>
        <w:t>Feu de brouillard avant</w:t>
      </w:r>
      <w:r w:rsidR="00581236" w:rsidRPr="00581236">
        <w:t>”</w:t>
      </w:r>
      <w:r w:rsidRPr="00B1465D">
        <w:rPr>
          <w:lang w:val="fr-FR"/>
        </w:rPr>
        <w:t>, le feu servant à améliorer l’éclairage de la route en cas de brouillard, de chute de neige, de très forte</w:t>
      </w:r>
      <w:r w:rsidR="00574938">
        <w:rPr>
          <w:lang w:val="fr-FR"/>
        </w:rPr>
        <w:t xml:space="preserve"> pluie ou de nuage de poussière ;</w:t>
      </w:r>
    </w:p>
    <w:p w:rsidR="00B1465D" w:rsidRPr="00574938" w:rsidRDefault="00B1465D" w:rsidP="00D635D3">
      <w:pPr>
        <w:pStyle w:val="SingleTxtG"/>
        <w:ind w:left="2835" w:hanging="1701"/>
        <w:rPr>
          <w:strike/>
          <w:lang w:val="fr-FR"/>
        </w:rPr>
      </w:pPr>
      <w:r w:rsidRPr="00574938">
        <w:rPr>
          <w:strike/>
          <w:lang w:val="fr-FR"/>
        </w:rPr>
        <w:t>2.6.11</w:t>
      </w:r>
      <w:r w:rsidRPr="00574938">
        <w:rPr>
          <w:strike/>
          <w:lang w:val="fr-FR"/>
        </w:rPr>
        <w:tab/>
      </w:r>
      <w:r w:rsidR="00581236" w:rsidRPr="00574938">
        <w:rPr>
          <w:strike/>
        </w:rPr>
        <w:t>“</w:t>
      </w:r>
      <w:r w:rsidRPr="00574938">
        <w:rPr>
          <w:i/>
          <w:strike/>
          <w:lang w:val="fr-FR"/>
        </w:rPr>
        <w:t>Feu de marche arrière</w:t>
      </w:r>
      <w:r w:rsidR="00581236" w:rsidRPr="00574938">
        <w:rPr>
          <w:strike/>
        </w:rPr>
        <w:t>”</w:t>
      </w:r>
      <w:r w:rsidRPr="00574938">
        <w:rPr>
          <w:strike/>
          <w:lang w:val="fr-FR"/>
        </w:rPr>
        <w:t xml:space="preserve">, le feu servant à éclairer la route à l’arrière du véhicule et à avertir les autres usagers de la route que le véhicule fait marche arrière </w:t>
      </w:r>
      <w:r w:rsidR="00574938">
        <w:rPr>
          <w:strike/>
          <w:lang w:val="fr-FR"/>
        </w:rPr>
        <w:t>ou est sur le point de le faire ;</w:t>
      </w:r>
    </w:p>
    <w:p w:rsidR="00B1465D" w:rsidRPr="00B1465D" w:rsidRDefault="00B1465D" w:rsidP="00D635D3">
      <w:pPr>
        <w:pStyle w:val="SingleTxtG"/>
        <w:ind w:left="2835" w:hanging="1701"/>
        <w:rPr>
          <w:lang w:val="fr-FR"/>
        </w:rPr>
      </w:pPr>
      <w:r w:rsidRPr="00574938">
        <w:rPr>
          <w:strike/>
          <w:lang w:val="fr-FR"/>
        </w:rPr>
        <w:t>2.6.12</w:t>
      </w:r>
      <w:r w:rsidRPr="00B1465D">
        <w:rPr>
          <w:b/>
          <w:lang w:val="fr-FR"/>
        </w:rPr>
        <w:t>2.3.9</w:t>
      </w:r>
      <w:r w:rsidRPr="00B1465D">
        <w:rPr>
          <w:lang w:val="fr-FR"/>
        </w:rPr>
        <w:tab/>
      </w:r>
      <w:r w:rsidR="00581236" w:rsidRPr="00581236">
        <w:t>“</w:t>
      </w:r>
      <w:r w:rsidRPr="00B1465D">
        <w:rPr>
          <w:i/>
          <w:lang w:val="fr-FR"/>
        </w:rPr>
        <w:t>Feu indicateur de direction</w:t>
      </w:r>
      <w:r w:rsidR="00581236" w:rsidRPr="00581236">
        <w:t>”</w:t>
      </w:r>
      <w:r w:rsidRPr="00B1465D">
        <w:rPr>
          <w:lang w:val="fr-FR"/>
        </w:rPr>
        <w:t>, le feu servant à indiquer aux autres usagers de la route que le conducteur a l’intention de changer de direction v</w:t>
      </w:r>
      <w:r w:rsidR="00B55BA0">
        <w:rPr>
          <w:lang w:val="fr-FR"/>
        </w:rPr>
        <w:t>ers la droite ou vers la gauche ;</w:t>
      </w:r>
    </w:p>
    <w:p w:rsidR="00B1465D" w:rsidRPr="00574938" w:rsidRDefault="00B1465D" w:rsidP="00D635D3">
      <w:pPr>
        <w:pStyle w:val="SingleTxtG"/>
        <w:ind w:left="2835" w:hanging="1701"/>
        <w:rPr>
          <w:strike/>
          <w:lang w:val="fr-FR"/>
        </w:rPr>
      </w:pPr>
      <w:r w:rsidRPr="00574938">
        <w:rPr>
          <w:strike/>
          <w:lang w:val="fr-FR"/>
        </w:rPr>
        <w:t>2.6.13</w:t>
      </w:r>
      <w:r w:rsidRPr="00574938">
        <w:rPr>
          <w:strike/>
          <w:lang w:val="fr-FR"/>
        </w:rPr>
        <w:tab/>
      </w:r>
      <w:r w:rsidR="00581236" w:rsidRPr="00574938">
        <w:rPr>
          <w:strike/>
        </w:rPr>
        <w:t>“</w:t>
      </w:r>
      <w:r w:rsidRPr="00574938">
        <w:rPr>
          <w:i/>
          <w:strike/>
          <w:lang w:val="fr-FR"/>
        </w:rPr>
        <w:t>Signal de détresse</w:t>
      </w:r>
      <w:r w:rsidR="00581236" w:rsidRPr="00574938">
        <w:rPr>
          <w:strike/>
        </w:rPr>
        <w:t>”</w:t>
      </w:r>
      <w:r w:rsidRPr="00574938">
        <w:rPr>
          <w:strike/>
          <w:lang w:val="fr-FR"/>
        </w:rPr>
        <w:t>, le fonctionnement simultané de tous les feux indicateurs de direction d’un véhicule afin de signaler le danger particulier que constitue momentanément le véhicule pour</w:t>
      </w:r>
      <w:r w:rsidR="00574938">
        <w:rPr>
          <w:strike/>
          <w:lang w:val="fr-FR"/>
        </w:rPr>
        <w:t xml:space="preserve"> les autres usagers de la route ;</w:t>
      </w:r>
    </w:p>
    <w:p w:rsidR="00B1465D" w:rsidRPr="00574938" w:rsidRDefault="00B1465D" w:rsidP="00D635D3">
      <w:pPr>
        <w:pStyle w:val="SingleTxtG"/>
        <w:ind w:left="2835" w:hanging="1701"/>
        <w:rPr>
          <w:strike/>
          <w:lang w:val="fr-FR"/>
        </w:rPr>
      </w:pPr>
      <w:r w:rsidRPr="00574938">
        <w:rPr>
          <w:strike/>
          <w:lang w:val="fr-FR"/>
        </w:rPr>
        <w:t>2.6.14</w:t>
      </w:r>
      <w:r w:rsidRPr="00574938">
        <w:rPr>
          <w:strike/>
          <w:lang w:val="fr-FR"/>
        </w:rPr>
        <w:tab/>
      </w:r>
      <w:r w:rsidR="00581236" w:rsidRPr="00574938">
        <w:rPr>
          <w:strike/>
        </w:rPr>
        <w:t>“</w:t>
      </w:r>
      <w:r w:rsidRPr="00574938">
        <w:rPr>
          <w:i/>
          <w:strike/>
          <w:lang w:val="fr-FR"/>
        </w:rPr>
        <w:t>Feu-stop</w:t>
      </w:r>
      <w:r w:rsidR="00581236" w:rsidRPr="00574938">
        <w:rPr>
          <w:strike/>
        </w:rPr>
        <w:t>”</w:t>
      </w:r>
      <w:r w:rsidRPr="00574938">
        <w:rPr>
          <w:strike/>
          <w:lang w:val="fr-FR"/>
        </w:rPr>
        <w:t>, le feu servant à indiquer aux autres usagers de la route qui se trouvent derrière le véhicule que son déplacement longitud</w:t>
      </w:r>
      <w:r w:rsidR="00574938">
        <w:rPr>
          <w:strike/>
          <w:lang w:val="fr-FR"/>
        </w:rPr>
        <w:t>inal est volontairement ralenti ;</w:t>
      </w:r>
    </w:p>
    <w:p w:rsidR="00B1465D" w:rsidRPr="00574938" w:rsidRDefault="00B1465D" w:rsidP="00D635D3">
      <w:pPr>
        <w:pStyle w:val="SingleTxtG"/>
        <w:ind w:left="2835" w:hanging="1701"/>
        <w:rPr>
          <w:strike/>
          <w:lang w:val="fr-FR"/>
        </w:rPr>
      </w:pPr>
      <w:r w:rsidRPr="00574938">
        <w:rPr>
          <w:strike/>
          <w:lang w:val="fr-FR"/>
        </w:rPr>
        <w:t>2.6.15</w:t>
      </w:r>
      <w:r w:rsidRPr="00574938">
        <w:rPr>
          <w:strike/>
          <w:lang w:val="fr-FR"/>
        </w:rPr>
        <w:tab/>
      </w:r>
      <w:r w:rsidR="00581236" w:rsidRPr="00574938">
        <w:rPr>
          <w:strike/>
        </w:rPr>
        <w:t>“</w:t>
      </w:r>
      <w:r w:rsidRPr="00574938">
        <w:rPr>
          <w:i/>
          <w:strike/>
          <w:lang w:val="fr-FR"/>
        </w:rPr>
        <w:t>Dispositif d’éclairage de la plaque d’immatriculation arrière</w:t>
      </w:r>
      <w:r w:rsidR="00581236" w:rsidRPr="00574938">
        <w:rPr>
          <w:strike/>
        </w:rPr>
        <w:t>”</w:t>
      </w:r>
      <w:r w:rsidRPr="00574938">
        <w:rPr>
          <w:strike/>
          <w:lang w:val="fr-FR"/>
        </w:rPr>
        <w:t>, le dispositif servant à assurer l’éclairage de la plaque d’immatriculation arrière; il peut être composé</w:t>
      </w:r>
      <w:r w:rsidR="00574938">
        <w:rPr>
          <w:strike/>
          <w:lang w:val="fr-FR"/>
        </w:rPr>
        <w:t xml:space="preserve"> de plusieurs éléments optiques ;</w:t>
      </w:r>
    </w:p>
    <w:p w:rsidR="00B1465D" w:rsidRPr="00574938" w:rsidRDefault="00B1465D" w:rsidP="00D635D3">
      <w:pPr>
        <w:pStyle w:val="SingleTxtG"/>
        <w:ind w:left="2835" w:hanging="1701"/>
        <w:rPr>
          <w:strike/>
          <w:lang w:val="fr-FR"/>
        </w:rPr>
      </w:pPr>
      <w:r w:rsidRPr="00574938">
        <w:rPr>
          <w:strike/>
          <w:lang w:val="fr-FR"/>
        </w:rPr>
        <w:t>2.6.16</w:t>
      </w:r>
      <w:r w:rsidRPr="00574938">
        <w:rPr>
          <w:strike/>
          <w:lang w:val="fr-FR"/>
        </w:rPr>
        <w:tab/>
      </w:r>
      <w:r w:rsidR="00581236" w:rsidRPr="00574938">
        <w:rPr>
          <w:strike/>
        </w:rPr>
        <w:t>“</w:t>
      </w:r>
      <w:r w:rsidRPr="00574938">
        <w:rPr>
          <w:i/>
          <w:strike/>
          <w:lang w:val="fr-FR"/>
        </w:rPr>
        <w:t>Feu de position avant</w:t>
      </w:r>
      <w:r w:rsidR="00581236" w:rsidRPr="00574938">
        <w:rPr>
          <w:strike/>
        </w:rPr>
        <w:t>”</w:t>
      </w:r>
      <w:r w:rsidRPr="00574938">
        <w:rPr>
          <w:strike/>
          <w:lang w:val="fr-FR"/>
        </w:rPr>
        <w:t>, le feu servant à indiquer la présence et la la</w:t>
      </w:r>
      <w:r w:rsidR="00574938" w:rsidRPr="00574938">
        <w:rPr>
          <w:strike/>
          <w:lang w:val="fr-FR"/>
        </w:rPr>
        <w:t>rgeur du véhicule vu de l’avant ;</w:t>
      </w:r>
    </w:p>
    <w:p w:rsidR="00B1465D" w:rsidRPr="00574938" w:rsidRDefault="00B1465D" w:rsidP="00D635D3">
      <w:pPr>
        <w:pStyle w:val="SingleTxtG"/>
        <w:ind w:left="2835" w:hanging="1701"/>
        <w:rPr>
          <w:strike/>
          <w:lang w:val="fr-FR"/>
        </w:rPr>
      </w:pPr>
      <w:r w:rsidRPr="00574938">
        <w:rPr>
          <w:strike/>
          <w:lang w:val="fr-FR"/>
        </w:rPr>
        <w:t>2.6.17</w:t>
      </w:r>
      <w:r w:rsidRPr="00574938">
        <w:rPr>
          <w:strike/>
          <w:lang w:val="fr-FR"/>
        </w:rPr>
        <w:tab/>
      </w:r>
      <w:r w:rsidR="001F7F57" w:rsidRPr="00574938">
        <w:rPr>
          <w:strike/>
        </w:rPr>
        <w:t>“</w:t>
      </w:r>
      <w:r w:rsidRPr="00574938">
        <w:rPr>
          <w:i/>
          <w:strike/>
          <w:lang w:val="fr-FR"/>
        </w:rPr>
        <w:t>Feu de position arrière</w:t>
      </w:r>
      <w:r w:rsidR="00581236" w:rsidRPr="00574938">
        <w:rPr>
          <w:strike/>
        </w:rPr>
        <w:t>”</w:t>
      </w:r>
      <w:r w:rsidRPr="00574938">
        <w:rPr>
          <w:strike/>
          <w:lang w:val="fr-FR"/>
        </w:rPr>
        <w:t>, le feu servant à indiquer la présence et la larg</w:t>
      </w:r>
      <w:r w:rsidR="00574938" w:rsidRPr="00574938">
        <w:rPr>
          <w:strike/>
          <w:lang w:val="fr-FR"/>
        </w:rPr>
        <w:t>eur du véhicule vu de l’arrière ;</w:t>
      </w:r>
    </w:p>
    <w:p w:rsidR="00B1465D" w:rsidRPr="00574938" w:rsidRDefault="00B1465D" w:rsidP="00D635D3">
      <w:pPr>
        <w:pStyle w:val="SingleTxtG"/>
        <w:ind w:left="2835" w:hanging="1701"/>
        <w:rPr>
          <w:strike/>
          <w:lang w:val="fr-FR"/>
        </w:rPr>
      </w:pPr>
      <w:r w:rsidRPr="00574938">
        <w:rPr>
          <w:strike/>
          <w:lang w:val="fr-FR"/>
        </w:rPr>
        <w:lastRenderedPageBreak/>
        <w:t>2.6.18</w:t>
      </w:r>
      <w:r w:rsidRPr="00574938">
        <w:rPr>
          <w:strike/>
          <w:lang w:val="fr-FR"/>
        </w:rPr>
        <w:tab/>
      </w:r>
      <w:r w:rsidR="00581236" w:rsidRPr="00574938">
        <w:rPr>
          <w:strike/>
        </w:rPr>
        <w:t>“</w:t>
      </w:r>
      <w:r w:rsidRPr="00574938">
        <w:rPr>
          <w:i/>
          <w:strike/>
          <w:lang w:val="fr-FR"/>
        </w:rPr>
        <w:t>Feu de brouillard arrière</w:t>
      </w:r>
      <w:r w:rsidR="00581236" w:rsidRPr="00574938">
        <w:rPr>
          <w:strike/>
        </w:rPr>
        <w:t>”</w:t>
      </w:r>
      <w:r w:rsidRPr="00574938">
        <w:rPr>
          <w:strike/>
          <w:lang w:val="fr-FR"/>
        </w:rPr>
        <w:t>, le feu servant à rendre plus visible le véhicule depuis l’arr</w:t>
      </w:r>
      <w:r w:rsidR="00574938" w:rsidRPr="00574938">
        <w:rPr>
          <w:strike/>
          <w:lang w:val="fr-FR"/>
        </w:rPr>
        <w:t>ière en cas de brouillard dense ;</w:t>
      </w:r>
    </w:p>
    <w:p w:rsidR="00B1465D" w:rsidRPr="00574938" w:rsidRDefault="00B1465D" w:rsidP="00D635D3">
      <w:pPr>
        <w:pStyle w:val="SingleTxtG"/>
        <w:ind w:left="2835" w:hanging="1701"/>
        <w:rPr>
          <w:strike/>
          <w:lang w:val="fr-FR"/>
        </w:rPr>
      </w:pPr>
      <w:r w:rsidRPr="00574938">
        <w:rPr>
          <w:strike/>
          <w:lang w:val="fr-FR"/>
        </w:rPr>
        <w:t>2.6.19</w:t>
      </w:r>
      <w:r w:rsidRPr="00574938">
        <w:rPr>
          <w:strike/>
          <w:lang w:val="fr-FR"/>
        </w:rPr>
        <w:tab/>
      </w:r>
      <w:r w:rsidR="00581236" w:rsidRPr="00574938">
        <w:rPr>
          <w:strike/>
        </w:rPr>
        <w:t>“</w:t>
      </w:r>
      <w:r w:rsidRPr="00574938">
        <w:rPr>
          <w:i/>
          <w:strike/>
          <w:lang w:val="fr-FR"/>
        </w:rPr>
        <w:t>Feu de stationnement</w:t>
      </w:r>
      <w:r w:rsidR="00581236" w:rsidRPr="00574938">
        <w:rPr>
          <w:strike/>
        </w:rPr>
        <w:t>”</w:t>
      </w:r>
      <w:r w:rsidRPr="00574938">
        <w:rPr>
          <w:strike/>
          <w:lang w:val="fr-FR"/>
        </w:rPr>
        <w:t xml:space="preserve"> le feu servant à signaler la présence d’un véhicule à l’arrêt dans une agglomération. Il remplace alors les fe</w:t>
      </w:r>
      <w:r w:rsidR="00574938" w:rsidRPr="00574938">
        <w:rPr>
          <w:strike/>
          <w:lang w:val="fr-FR"/>
        </w:rPr>
        <w:t>ux de position avant et arrière ;</w:t>
      </w:r>
    </w:p>
    <w:p w:rsidR="00B1465D" w:rsidRPr="00B1465D" w:rsidRDefault="00B1465D" w:rsidP="00A43337">
      <w:pPr>
        <w:pStyle w:val="SingleTxtG"/>
        <w:ind w:left="2835" w:hanging="1701"/>
        <w:rPr>
          <w:lang w:val="fr-FR"/>
        </w:rPr>
      </w:pPr>
      <w:r w:rsidRPr="00A43337">
        <w:rPr>
          <w:strike/>
          <w:lang w:val="fr-FR"/>
        </w:rPr>
        <w:t>2.6.20</w:t>
      </w:r>
      <w:r w:rsidRPr="00A43337">
        <w:rPr>
          <w:b/>
          <w:lang w:val="fr-FR"/>
        </w:rPr>
        <w:t>2.3.10</w:t>
      </w:r>
      <w:r w:rsidRPr="00A43337">
        <w:rPr>
          <w:lang w:val="fr-FR"/>
        </w:rPr>
        <w:tab/>
      </w:r>
      <w:r w:rsidR="00581236" w:rsidRPr="00A43337">
        <w:t>“</w:t>
      </w:r>
      <w:r w:rsidRPr="00A43337">
        <w:rPr>
          <w:i/>
          <w:lang w:val="fr-FR"/>
        </w:rPr>
        <w:t>Feu de gabarit</w:t>
      </w:r>
      <w:r w:rsidR="00D635D3" w:rsidRPr="00A43337">
        <w:t>”</w:t>
      </w:r>
      <w:r w:rsidRPr="00A43337">
        <w:rPr>
          <w:lang w:val="fr-FR"/>
        </w:rPr>
        <w:t>, le feu installé à l’extrémité extérieure aussi près que possible du point le plus haut du véhicule et destiné à bien signaler sa largeur hors tout. Ce type de feu a pour but de compléter sur certains véhicules les feux de position avant et arrière en attirant particulièrement l’attention sur l’</w:t>
      </w:r>
      <w:r w:rsidR="00A43337">
        <w:rPr>
          <w:lang w:val="fr-FR"/>
        </w:rPr>
        <w:t>encombrement du véhicule ;</w:t>
      </w:r>
    </w:p>
    <w:p w:rsidR="00B1465D" w:rsidRPr="00B1465D" w:rsidRDefault="00B1465D" w:rsidP="00A43337">
      <w:pPr>
        <w:pStyle w:val="SingleTxtG"/>
        <w:ind w:left="2835" w:hanging="1701"/>
        <w:rPr>
          <w:lang w:val="fr-FR"/>
        </w:rPr>
      </w:pPr>
      <w:r w:rsidRPr="00A43337">
        <w:rPr>
          <w:strike/>
          <w:lang w:val="fr-FR"/>
        </w:rPr>
        <w:t>2.6.21</w:t>
      </w:r>
      <w:r w:rsidRPr="00B1465D">
        <w:rPr>
          <w:b/>
          <w:lang w:val="fr-FR"/>
        </w:rPr>
        <w:t>2.3.11</w:t>
      </w:r>
      <w:r w:rsidRPr="00B1465D">
        <w:rPr>
          <w:lang w:val="fr-FR"/>
        </w:rPr>
        <w:tab/>
      </w:r>
      <w:r w:rsidR="00581236" w:rsidRPr="00581236">
        <w:t>“</w:t>
      </w:r>
      <w:r w:rsidRPr="00B1465D">
        <w:rPr>
          <w:i/>
          <w:lang w:val="fr-FR"/>
        </w:rPr>
        <w:t>Projecteur de travail</w:t>
      </w:r>
      <w:r w:rsidR="00D635D3" w:rsidRPr="00581236">
        <w:t>”</w:t>
      </w:r>
      <w:r w:rsidRPr="00B1465D">
        <w:rPr>
          <w:lang w:val="fr-FR"/>
        </w:rPr>
        <w:t>, un dispositif destiné à éclairer un lieu de tr</w:t>
      </w:r>
      <w:r w:rsidR="00A43337">
        <w:rPr>
          <w:lang w:val="fr-FR"/>
        </w:rPr>
        <w:t>avail ou une opération en cours ;</w:t>
      </w:r>
    </w:p>
    <w:p w:rsidR="00B1465D" w:rsidRPr="00B1465D" w:rsidRDefault="00B1465D" w:rsidP="00A43337">
      <w:pPr>
        <w:pStyle w:val="SingleTxtG"/>
        <w:ind w:left="2835" w:hanging="1701"/>
        <w:rPr>
          <w:lang w:val="fr-FR"/>
        </w:rPr>
      </w:pPr>
      <w:r w:rsidRPr="00A43337">
        <w:rPr>
          <w:strike/>
          <w:lang w:val="fr-FR"/>
        </w:rPr>
        <w:t>2.6.22</w:t>
      </w:r>
      <w:r w:rsidRPr="00B1465D">
        <w:rPr>
          <w:b/>
          <w:lang w:val="fr-FR"/>
        </w:rPr>
        <w:t>2.3.12</w:t>
      </w:r>
      <w:r w:rsidRPr="00B1465D">
        <w:rPr>
          <w:lang w:val="fr-FR"/>
        </w:rPr>
        <w:tab/>
      </w:r>
      <w:r w:rsidR="00581236" w:rsidRPr="00581236">
        <w:t>“</w:t>
      </w:r>
      <w:r w:rsidRPr="00B1465D">
        <w:rPr>
          <w:i/>
          <w:lang w:val="fr-FR"/>
        </w:rPr>
        <w:t>Catadioptre</w:t>
      </w:r>
      <w:r w:rsidR="00D635D3" w:rsidRPr="00581236">
        <w:t>”</w:t>
      </w:r>
      <w:r w:rsidRPr="00B1465D">
        <w:rPr>
          <w:lang w:val="fr-FR"/>
        </w:rPr>
        <w:t>, un dispositif servant à indiquer la présence d’un véhicule par réflexion de la lumière émanant d’une source lumineuse indépendante de ce véhicule, pour un observateur placé près de ladite source. Au sens du présent Règlement, ne sont pa</w:t>
      </w:r>
      <w:r w:rsidR="00A43337">
        <w:rPr>
          <w:lang w:val="fr-FR"/>
        </w:rPr>
        <w:t>s considérés comme catadioptres :</w:t>
      </w:r>
    </w:p>
    <w:p w:rsidR="00B1465D" w:rsidRPr="00B1465D" w:rsidRDefault="00B1465D" w:rsidP="00581236">
      <w:pPr>
        <w:pStyle w:val="SingleTxtG"/>
        <w:ind w:left="2268" w:hanging="1134"/>
        <w:rPr>
          <w:lang w:val="fr-FR"/>
        </w:rPr>
      </w:pPr>
      <w:r w:rsidRPr="00A43337">
        <w:rPr>
          <w:strike/>
          <w:lang w:val="fr-FR"/>
        </w:rPr>
        <w:t>2.6.22.1</w:t>
      </w:r>
      <w:r w:rsidRPr="00B1465D">
        <w:rPr>
          <w:b/>
          <w:lang w:val="fr-FR"/>
        </w:rPr>
        <w:t>2.3.12.1</w:t>
      </w:r>
      <w:r w:rsidRPr="00B1465D">
        <w:rPr>
          <w:lang w:val="fr-FR"/>
        </w:rPr>
        <w:tab/>
        <w:t>Les plaques d’immatriculation réfléchissantes</w:t>
      </w:r>
      <w:r w:rsidR="00B55BA0">
        <w:rPr>
          <w:lang w:val="fr-FR"/>
        </w:rPr>
        <w:t> ;</w:t>
      </w:r>
    </w:p>
    <w:p w:rsidR="00B1465D" w:rsidRPr="00B1465D" w:rsidRDefault="00B1465D" w:rsidP="00A43337">
      <w:pPr>
        <w:pStyle w:val="SingleTxtG"/>
        <w:ind w:left="2835" w:hanging="1701"/>
        <w:rPr>
          <w:lang w:val="fr-FR"/>
        </w:rPr>
      </w:pPr>
      <w:r w:rsidRPr="00A43337">
        <w:rPr>
          <w:strike/>
          <w:lang w:val="fr-FR"/>
        </w:rPr>
        <w:t>2.6.22.2</w:t>
      </w:r>
      <w:r w:rsidRPr="00B1465D">
        <w:rPr>
          <w:b/>
          <w:lang w:val="fr-FR"/>
        </w:rPr>
        <w:t>2.3.12.2</w:t>
      </w:r>
      <w:r w:rsidRPr="00B1465D">
        <w:rPr>
          <w:lang w:val="fr-FR"/>
        </w:rPr>
        <w:tab/>
        <w:t>Les autres plaques et signaux réfléchissants imposés par une Partie contractante pour certaines catégories de véhicules ou certaines conditions d’utilisation.</w:t>
      </w:r>
    </w:p>
    <w:p w:rsidR="00B1465D" w:rsidRPr="00A43337" w:rsidRDefault="00B1465D" w:rsidP="00A43337">
      <w:pPr>
        <w:pStyle w:val="SingleTxtG"/>
        <w:ind w:left="2835" w:hanging="1701"/>
        <w:rPr>
          <w:strike/>
          <w:lang w:val="fr-FR"/>
        </w:rPr>
      </w:pPr>
      <w:r w:rsidRPr="00A43337">
        <w:rPr>
          <w:strike/>
          <w:lang w:val="fr-FR"/>
        </w:rPr>
        <w:t>2.6.23</w:t>
      </w:r>
      <w:r w:rsidRPr="00A43337">
        <w:rPr>
          <w:strike/>
          <w:lang w:val="fr-FR"/>
        </w:rPr>
        <w:tab/>
      </w:r>
      <w:r w:rsidR="00D635D3" w:rsidRPr="00A43337">
        <w:rPr>
          <w:strike/>
        </w:rPr>
        <w:t>“</w:t>
      </w:r>
      <w:r w:rsidRPr="00A43337">
        <w:rPr>
          <w:i/>
          <w:strike/>
          <w:lang w:val="fr-FR"/>
        </w:rPr>
        <w:t>Feu de position latéral</w:t>
      </w:r>
      <w:r w:rsidR="00D635D3" w:rsidRPr="00A43337">
        <w:rPr>
          <w:strike/>
        </w:rPr>
        <w:t>”</w:t>
      </w:r>
      <w:r w:rsidRPr="00A43337">
        <w:rPr>
          <w:strike/>
          <w:lang w:val="fr-FR"/>
        </w:rPr>
        <w:t xml:space="preserve">, un feu servant à indiquer la </w:t>
      </w:r>
      <w:r w:rsidR="00A43337" w:rsidRPr="00A43337">
        <w:rPr>
          <w:strike/>
          <w:lang w:val="fr-FR"/>
        </w:rPr>
        <w:t>présence du véhicule vu de côté ;</w:t>
      </w:r>
    </w:p>
    <w:p w:rsidR="00B1465D" w:rsidRPr="00A43337" w:rsidRDefault="00B1465D" w:rsidP="00A43337">
      <w:pPr>
        <w:pStyle w:val="SingleTxtG"/>
        <w:ind w:left="2835" w:hanging="1701"/>
        <w:rPr>
          <w:strike/>
          <w:lang w:val="fr-FR"/>
        </w:rPr>
      </w:pPr>
      <w:r w:rsidRPr="00A43337">
        <w:rPr>
          <w:strike/>
          <w:lang w:val="fr-FR"/>
        </w:rPr>
        <w:t>2.6.24</w:t>
      </w:r>
      <w:r w:rsidRPr="00A43337">
        <w:rPr>
          <w:strike/>
          <w:lang w:val="fr-FR"/>
        </w:rPr>
        <w:tab/>
      </w:r>
      <w:r w:rsidR="00D635D3" w:rsidRPr="00A43337">
        <w:rPr>
          <w:strike/>
        </w:rPr>
        <w:t>“</w:t>
      </w:r>
      <w:r w:rsidRPr="00A43337">
        <w:rPr>
          <w:i/>
          <w:strike/>
          <w:lang w:val="fr-FR"/>
        </w:rPr>
        <w:t>Feu de circulation diurne</w:t>
      </w:r>
      <w:r w:rsidR="00D635D3" w:rsidRPr="00A43337">
        <w:rPr>
          <w:strike/>
        </w:rPr>
        <w:t>”</w:t>
      </w:r>
      <w:r w:rsidRPr="00A43337">
        <w:rPr>
          <w:strike/>
          <w:lang w:val="fr-FR"/>
        </w:rPr>
        <w:t>, un feu tourné vers l’avant, servant à rendre le véhicule p</w:t>
      </w:r>
      <w:r w:rsidR="00A43337" w:rsidRPr="00A43337">
        <w:rPr>
          <w:strike/>
          <w:lang w:val="fr-FR"/>
        </w:rPr>
        <w:t>lus visible en conduite de jour ;</w:t>
      </w:r>
      <w:r w:rsidRPr="00A43337">
        <w:rPr>
          <w:strike/>
          <w:lang w:val="fr-FR"/>
        </w:rPr>
        <w:t xml:space="preserve"> </w:t>
      </w:r>
    </w:p>
    <w:p w:rsidR="00B1465D" w:rsidRPr="00A43337" w:rsidRDefault="00B1465D" w:rsidP="00A43337">
      <w:pPr>
        <w:pStyle w:val="SingleTxtG"/>
        <w:ind w:left="2835" w:hanging="1701"/>
        <w:rPr>
          <w:strike/>
          <w:lang w:val="fr-FR"/>
        </w:rPr>
      </w:pPr>
      <w:r w:rsidRPr="00A43337">
        <w:rPr>
          <w:strike/>
          <w:lang w:val="fr-FR"/>
        </w:rPr>
        <w:t>2.6.25</w:t>
      </w:r>
      <w:r w:rsidRPr="00A43337">
        <w:rPr>
          <w:strike/>
          <w:lang w:val="fr-FR"/>
        </w:rPr>
        <w:tab/>
      </w:r>
      <w:r w:rsidR="00D635D3" w:rsidRPr="00A43337">
        <w:rPr>
          <w:strike/>
        </w:rPr>
        <w:t>“</w:t>
      </w:r>
      <w:r w:rsidRPr="00A43337">
        <w:rPr>
          <w:i/>
          <w:strike/>
          <w:lang w:val="fr-FR"/>
        </w:rPr>
        <w:t>Feu d’angle</w:t>
      </w:r>
      <w:r w:rsidR="00D635D3" w:rsidRPr="00A43337">
        <w:rPr>
          <w:strike/>
        </w:rPr>
        <w:t>”</w:t>
      </w:r>
      <w:r w:rsidRPr="00A43337">
        <w:rPr>
          <w:strike/>
          <w:lang w:val="fr-FR"/>
        </w:rPr>
        <w:t>, un feu servant à compléter l’éclairage de la partie de la route située en avant du véhicule, du côté vers</w:t>
      </w:r>
      <w:r w:rsidR="00A43337" w:rsidRPr="00A43337">
        <w:rPr>
          <w:strike/>
          <w:lang w:val="fr-FR"/>
        </w:rPr>
        <w:t xml:space="preserve"> lequel celui-ci va tourner ;</w:t>
      </w:r>
    </w:p>
    <w:p w:rsidR="00B1465D" w:rsidRPr="00A43337" w:rsidRDefault="00B1465D" w:rsidP="00A43337">
      <w:pPr>
        <w:pStyle w:val="SingleTxtG"/>
        <w:ind w:left="2835" w:hanging="1701"/>
        <w:rPr>
          <w:strike/>
          <w:lang w:val="fr-FR"/>
        </w:rPr>
      </w:pPr>
      <w:r w:rsidRPr="00A43337">
        <w:rPr>
          <w:strike/>
          <w:lang w:val="fr-FR"/>
        </w:rPr>
        <w:t>2.6.26</w:t>
      </w:r>
      <w:r w:rsidRPr="00A43337">
        <w:rPr>
          <w:strike/>
          <w:lang w:val="fr-FR"/>
        </w:rPr>
        <w:tab/>
      </w:r>
      <w:r w:rsidR="00D635D3" w:rsidRPr="00A43337">
        <w:rPr>
          <w:strike/>
        </w:rPr>
        <w:t>“</w:t>
      </w:r>
      <w:r w:rsidRPr="00A43337">
        <w:rPr>
          <w:i/>
          <w:strike/>
          <w:lang w:val="fr-FR"/>
        </w:rPr>
        <w:t>Feu de courtoisie extérieur</w:t>
      </w:r>
      <w:r w:rsidR="00D635D3" w:rsidRPr="00A43337">
        <w:rPr>
          <w:strike/>
        </w:rPr>
        <w:t>”</w:t>
      </w:r>
      <w:r w:rsidRPr="00A43337">
        <w:rPr>
          <w:strike/>
          <w:lang w:val="fr-FR"/>
        </w:rPr>
        <w:t>, un feu servant à fournir un éclairage supplémentaire pour aider le conducteur et les passagers à monter dans le véhicule ou à en descendre, ou encore facilit</w:t>
      </w:r>
      <w:r w:rsidR="00A43337" w:rsidRPr="00A43337">
        <w:rPr>
          <w:strike/>
          <w:lang w:val="fr-FR"/>
        </w:rPr>
        <w:t>er les opérations de chargement ;</w:t>
      </w:r>
    </w:p>
    <w:p w:rsidR="00B1465D" w:rsidRPr="00A43337" w:rsidRDefault="00B1465D" w:rsidP="00A43337">
      <w:pPr>
        <w:pStyle w:val="SingleTxtG"/>
        <w:ind w:left="2835" w:hanging="1701"/>
        <w:rPr>
          <w:strike/>
          <w:lang w:val="fr-FR"/>
        </w:rPr>
      </w:pPr>
      <w:r w:rsidRPr="00A43337">
        <w:rPr>
          <w:strike/>
          <w:lang w:val="fr-FR"/>
        </w:rPr>
        <w:t>2.6.27</w:t>
      </w:r>
      <w:r w:rsidRPr="00A43337">
        <w:rPr>
          <w:strike/>
          <w:lang w:val="fr-FR"/>
        </w:rPr>
        <w:tab/>
      </w:r>
      <w:r w:rsidR="00D635D3" w:rsidRPr="00A43337">
        <w:rPr>
          <w:strike/>
        </w:rPr>
        <w:t>“</w:t>
      </w:r>
      <w:r w:rsidRPr="00A43337">
        <w:rPr>
          <w:i/>
          <w:strike/>
          <w:lang w:val="fr-FR"/>
        </w:rPr>
        <w:t>Feu de manœuvre</w:t>
      </w:r>
      <w:r w:rsidR="00D635D3" w:rsidRPr="00A43337">
        <w:rPr>
          <w:strike/>
        </w:rPr>
        <w:t>”</w:t>
      </w:r>
      <w:r w:rsidRPr="00A43337">
        <w:rPr>
          <w:strike/>
          <w:lang w:val="fr-FR"/>
        </w:rPr>
        <w:t>, un feu fournissant un éclairage supplémentaire sur les côtés du véhicule pour faciliter les manœuvres</w:t>
      </w:r>
      <w:r w:rsidR="00A43337" w:rsidRPr="00A43337">
        <w:rPr>
          <w:strike/>
          <w:lang w:val="fr-FR"/>
        </w:rPr>
        <w:t xml:space="preserve"> à vitesse réduite ;</w:t>
      </w:r>
    </w:p>
    <w:p w:rsidR="00B1465D" w:rsidRPr="00B1465D" w:rsidRDefault="00B1465D" w:rsidP="00A43337">
      <w:pPr>
        <w:pStyle w:val="SingleTxtG"/>
        <w:ind w:left="2835" w:hanging="1701"/>
        <w:rPr>
          <w:lang w:val="fr-FR"/>
        </w:rPr>
      </w:pPr>
      <w:r w:rsidRPr="00A43337">
        <w:rPr>
          <w:strike/>
          <w:lang w:val="fr-FR"/>
        </w:rPr>
        <w:t>2.6.28</w:t>
      </w:r>
      <w:r w:rsidRPr="00B1465D">
        <w:rPr>
          <w:b/>
          <w:lang w:val="fr-FR"/>
        </w:rPr>
        <w:t>2.4</w:t>
      </w:r>
      <w:r w:rsidRPr="00B1465D">
        <w:rPr>
          <w:lang w:val="fr-FR"/>
        </w:rPr>
        <w:tab/>
      </w:r>
      <w:r w:rsidR="00D635D3" w:rsidRPr="00581236">
        <w:t>“</w:t>
      </w:r>
      <w:r w:rsidRPr="00B1465D">
        <w:rPr>
          <w:i/>
          <w:lang w:val="fr-FR"/>
        </w:rPr>
        <w:t>Source lumineuse</w:t>
      </w:r>
      <w:r w:rsidR="00D635D3" w:rsidRPr="00581236">
        <w:t>”</w:t>
      </w:r>
      <w:r w:rsidRPr="00B1465D">
        <w:rPr>
          <w:lang w:val="fr-FR"/>
        </w:rPr>
        <w:t xml:space="preserve">, un ou plusieurs éléments émettant un rayonnement optique visible, qui peuvent être constitués d’une ou </w:t>
      </w:r>
      <w:r w:rsidR="0028616D">
        <w:rPr>
          <w:lang w:val="fr-FR"/>
        </w:rPr>
        <w:t xml:space="preserve">de </w:t>
      </w:r>
      <w:r w:rsidRPr="00B1465D">
        <w:rPr>
          <w:lang w:val="fr-FR"/>
        </w:rPr>
        <w:t>plusieurs enveloppe(s) transparente(s) et d’un culot pour le montage mécanique et le raccordement électrique.</w:t>
      </w:r>
    </w:p>
    <w:p w:rsidR="00B1465D" w:rsidRPr="00B1465D" w:rsidRDefault="00A43337" w:rsidP="00A43337">
      <w:pPr>
        <w:pStyle w:val="SingleTxtG"/>
        <w:ind w:left="2835" w:hanging="1701"/>
        <w:rPr>
          <w:lang w:val="fr-FR"/>
        </w:rPr>
      </w:pPr>
      <w:r>
        <w:rPr>
          <w:lang w:val="fr-FR"/>
        </w:rPr>
        <w:tab/>
      </w:r>
      <w:r w:rsidR="00B1465D" w:rsidRPr="00B1465D">
        <w:rPr>
          <w:lang w:val="fr-FR"/>
        </w:rPr>
        <w:t>Une source lumineuse peut également être constituée par l’extrémité d’un guide de lumière faisant partie d’un système d’éclairage ou de signalisation lumineuse à fibres optiques non pourvu d’une lentille extérieure intégrée.</w:t>
      </w:r>
    </w:p>
    <w:p w:rsidR="00B1465D" w:rsidRPr="00A43337" w:rsidRDefault="00B1465D" w:rsidP="00A43337">
      <w:pPr>
        <w:pStyle w:val="SingleTxtG"/>
        <w:ind w:left="2835" w:hanging="1701"/>
        <w:rPr>
          <w:strike/>
          <w:lang w:val="fr-FR"/>
        </w:rPr>
      </w:pPr>
      <w:r w:rsidRPr="00A43337">
        <w:rPr>
          <w:strike/>
          <w:lang w:val="fr-FR"/>
        </w:rPr>
        <w:t>2.6.29</w:t>
      </w:r>
      <w:r w:rsidRPr="00A43337">
        <w:rPr>
          <w:strike/>
          <w:lang w:val="fr-FR"/>
        </w:rPr>
        <w:tab/>
      </w:r>
      <w:r w:rsidR="00D635D3" w:rsidRPr="00A43337">
        <w:rPr>
          <w:strike/>
        </w:rPr>
        <w:t>“</w:t>
      </w:r>
      <w:r w:rsidRPr="00A43337">
        <w:rPr>
          <w:i/>
          <w:strike/>
          <w:lang w:val="fr-FR"/>
        </w:rPr>
        <w:t>Système de feux interdépendants</w:t>
      </w:r>
      <w:r w:rsidR="00D635D3" w:rsidRPr="00A43337">
        <w:rPr>
          <w:strike/>
        </w:rPr>
        <w:t>”</w:t>
      </w:r>
      <w:r w:rsidRPr="00A43337">
        <w:rPr>
          <w:strike/>
          <w:lang w:val="fr-FR"/>
        </w:rPr>
        <w:t>, un ensemble constitué de deux ou trois feux interdépendants ayant la même fonction.</w:t>
      </w:r>
    </w:p>
    <w:p w:rsidR="00B1465D" w:rsidRPr="00A43337" w:rsidRDefault="00B1465D" w:rsidP="00A43337">
      <w:pPr>
        <w:pStyle w:val="SingleTxtG"/>
        <w:ind w:left="2835" w:hanging="1701"/>
        <w:rPr>
          <w:strike/>
          <w:lang w:val="fr-FR"/>
        </w:rPr>
      </w:pPr>
      <w:r w:rsidRPr="00A43337">
        <w:rPr>
          <w:strike/>
          <w:lang w:val="fr-FR"/>
        </w:rPr>
        <w:t>2.6.29.1</w:t>
      </w:r>
      <w:r w:rsidRPr="00A43337">
        <w:rPr>
          <w:strike/>
          <w:lang w:val="fr-FR"/>
        </w:rPr>
        <w:tab/>
      </w:r>
      <w:r w:rsidR="00D635D3" w:rsidRPr="00A43337">
        <w:rPr>
          <w:strike/>
        </w:rPr>
        <w:t>“</w:t>
      </w:r>
      <w:r w:rsidRPr="00A43337">
        <w:rPr>
          <w:i/>
          <w:strike/>
          <w:lang w:val="fr-FR"/>
        </w:rPr>
        <w:t>Feu interdépendant</w:t>
      </w:r>
      <w:r w:rsidR="00D635D3" w:rsidRPr="00A43337">
        <w:rPr>
          <w:strike/>
        </w:rPr>
        <w:t>”</w:t>
      </w:r>
      <w:r w:rsidRPr="00A43337">
        <w:rPr>
          <w:strike/>
          <w:lang w:val="fr-FR"/>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B1465D" w:rsidRPr="00B1465D" w:rsidRDefault="00B1465D" w:rsidP="00A43337">
      <w:pPr>
        <w:pStyle w:val="SingleTxtG"/>
        <w:keepNext/>
        <w:keepLines/>
        <w:ind w:left="2835" w:hanging="1701"/>
        <w:rPr>
          <w:lang w:val="fr-FR"/>
        </w:rPr>
      </w:pPr>
      <w:r w:rsidRPr="00A43337">
        <w:rPr>
          <w:strike/>
          <w:lang w:val="fr-FR"/>
        </w:rPr>
        <w:lastRenderedPageBreak/>
        <w:t>2.7</w:t>
      </w:r>
      <w:r w:rsidRPr="00B1465D">
        <w:rPr>
          <w:b/>
          <w:lang w:val="fr-FR"/>
        </w:rPr>
        <w:t>2.5</w:t>
      </w:r>
      <w:r w:rsidRPr="00B1465D">
        <w:rPr>
          <w:lang w:val="fr-FR"/>
        </w:rPr>
        <w:tab/>
      </w:r>
      <w:r w:rsidR="00D635D3" w:rsidRPr="00581236">
        <w:t>“</w:t>
      </w:r>
      <w:r w:rsidRPr="00B1465D">
        <w:rPr>
          <w:i/>
          <w:lang w:val="fr-FR"/>
        </w:rPr>
        <w:t>Plage éclairante</w:t>
      </w:r>
      <w:r w:rsidR="00D635D3" w:rsidRPr="00581236">
        <w:t>”</w:t>
      </w:r>
      <w:r w:rsidRPr="00B1465D">
        <w:rPr>
          <w:lang w:val="fr-FR"/>
        </w:rPr>
        <w:t xml:space="preserve"> (voir annexe</w:t>
      </w:r>
      <w:r w:rsidR="00A43337">
        <w:rPr>
          <w:lang w:val="fr-FR"/>
        </w:rPr>
        <w:t> 3)</w:t>
      </w:r>
      <w:r w:rsidR="0028616D">
        <w:rPr>
          <w:lang w:val="fr-FR"/>
        </w:rPr>
        <w:t>.</w:t>
      </w:r>
    </w:p>
    <w:p w:rsidR="00B1465D" w:rsidRPr="00B1465D" w:rsidRDefault="00B1465D" w:rsidP="00A43337">
      <w:pPr>
        <w:pStyle w:val="SingleTxtG"/>
        <w:ind w:left="2835" w:hanging="1701"/>
        <w:rPr>
          <w:lang w:val="fr-FR"/>
        </w:rPr>
      </w:pPr>
      <w:r w:rsidRPr="00A43337">
        <w:rPr>
          <w:strike/>
          <w:lang w:val="fr-FR"/>
        </w:rPr>
        <w:t>2.7.1</w:t>
      </w:r>
      <w:r w:rsidRPr="00B1465D">
        <w:rPr>
          <w:b/>
          <w:lang w:val="fr-FR"/>
        </w:rPr>
        <w:t>2.5.1</w:t>
      </w:r>
      <w:r w:rsidRPr="00B1465D">
        <w:rPr>
          <w:lang w:val="fr-FR"/>
        </w:rPr>
        <w:tab/>
      </w:r>
      <w:r w:rsidR="00D635D3" w:rsidRPr="00581236">
        <w:t>“</w:t>
      </w:r>
      <w:r w:rsidRPr="00B1465D">
        <w:rPr>
          <w:i/>
          <w:lang w:val="fr-FR"/>
        </w:rPr>
        <w:t>Plage éclairante d’un dispositif d’éclairage</w:t>
      </w:r>
      <w:r w:rsidR="00D635D3" w:rsidRPr="00581236">
        <w:t>”</w:t>
      </w:r>
      <w:r w:rsidRPr="00B1465D">
        <w:rPr>
          <w:lang w:val="fr-FR"/>
        </w:rPr>
        <w:t xml:space="preserve"> (</w:t>
      </w:r>
      <w:r w:rsidRPr="00B1465D">
        <w:rPr>
          <w:b/>
          <w:lang w:val="fr-FR"/>
        </w:rPr>
        <w:t>feu de route, feu de croisement, feu de brouillard avant, feu de marche arrière et feu d’angle</w:t>
      </w:r>
      <w:r w:rsidRPr="00A43337">
        <w:rPr>
          <w:strike/>
          <w:lang w:val="fr-FR"/>
        </w:rPr>
        <w:t>par. 2.6.8, 2.6.9, 2.6.10, 2.6.11 et 2.6.25</w:t>
      </w:r>
      <w:r w:rsidRPr="00B1465D">
        <w:rPr>
          <w:lang w:val="fr-FR"/>
        </w:rPr>
        <w:t xml:space="preserve">), la projection orthogonale de la totalité du réflecteur ou, dans le cas de projecteurs à réflecteur ellipsoïdal, de la </w:t>
      </w:r>
      <w:r w:rsidR="00FF2CA6" w:rsidRPr="00581236">
        <w:t>“</w:t>
      </w:r>
      <w:r w:rsidRPr="00B1465D">
        <w:rPr>
          <w:lang w:val="fr-FR"/>
        </w:rPr>
        <w:t>lentille</w:t>
      </w:r>
      <w:r w:rsidR="00FF2CA6" w:rsidRPr="00581236">
        <w:t>”</w:t>
      </w:r>
      <w:r w:rsidRPr="00B1465D">
        <w:rPr>
          <w:lang w:val="fr-FR"/>
        </w:rPr>
        <w:t>, sur un plan transversal. Si le dispositif d’éclairage est dépourvu de réflecteur, c’est la définition du paragraphe </w:t>
      </w:r>
      <w:r w:rsidRPr="00A43337">
        <w:rPr>
          <w:strike/>
          <w:lang w:val="fr-FR"/>
        </w:rPr>
        <w:t>2.7.2</w:t>
      </w:r>
      <w:r w:rsidRPr="00B1465D">
        <w:rPr>
          <w:b/>
          <w:lang w:val="fr-FR"/>
        </w:rPr>
        <w:t>2.5.2</w:t>
      </w:r>
      <w:r w:rsidRPr="00B1465D">
        <w:rPr>
          <w:lang w:val="fr-FR"/>
        </w:rPr>
        <w:t xml:space="preserve"> qui doit s’appliquer. Si la surface de sortie de la lumière du feu n’occupe qu’une partie du réflecteur, on ne considère que la projection de cette partie.</w:t>
      </w:r>
    </w:p>
    <w:p w:rsidR="00B1465D" w:rsidRPr="00B1465D" w:rsidRDefault="00B1465D" w:rsidP="00A43337">
      <w:pPr>
        <w:pStyle w:val="SingleTxtG"/>
        <w:ind w:left="2835" w:hanging="1701"/>
        <w:rPr>
          <w:lang w:val="fr-FR"/>
        </w:rPr>
      </w:pPr>
      <w:r w:rsidRPr="00B1465D">
        <w:rPr>
          <w:lang w:val="fr-FR"/>
        </w:rPr>
        <w:tab/>
        <w:t>Dans le cas d’un feu de croisement, la plage éclairante est limitée par la trace apparente de la ligne de coupure sur la glace. Si le miroir et la glace sont réglables l’un par rapport à l’autre, il faut utiliser la position de réglage moyenne.</w:t>
      </w:r>
    </w:p>
    <w:p w:rsidR="00B1465D" w:rsidRPr="00B1465D" w:rsidRDefault="00B1465D" w:rsidP="00A43337">
      <w:pPr>
        <w:pStyle w:val="SingleTxtG"/>
        <w:ind w:left="2835" w:hanging="1701"/>
        <w:rPr>
          <w:lang w:val="fr-FR"/>
        </w:rPr>
      </w:pPr>
      <w:r w:rsidRPr="008A5BA4">
        <w:rPr>
          <w:strike/>
          <w:lang w:val="fr-FR"/>
        </w:rPr>
        <w:t>2.7.2</w:t>
      </w:r>
      <w:r w:rsidRPr="00B1465D">
        <w:rPr>
          <w:b/>
          <w:lang w:val="fr-FR"/>
        </w:rPr>
        <w:t>2.5.2</w:t>
      </w:r>
      <w:r w:rsidRPr="00B1465D">
        <w:rPr>
          <w:lang w:val="fr-FR"/>
        </w:rPr>
        <w:tab/>
      </w:r>
      <w:r w:rsidR="00D635D3" w:rsidRPr="00581236">
        <w:t>“</w:t>
      </w:r>
      <w:r w:rsidRPr="00B1465D">
        <w:rPr>
          <w:i/>
          <w:lang w:val="fr-FR"/>
        </w:rPr>
        <w:t>Plage éclairante d’un dispositif de signalisation lumineuse autre qu’un catadioptre</w:t>
      </w:r>
      <w:r w:rsidR="00D635D3" w:rsidRPr="00581236">
        <w:t>”</w:t>
      </w:r>
      <w:r w:rsidRPr="00B1465D">
        <w:rPr>
          <w:lang w:val="fr-FR"/>
        </w:rPr>
        <w:t xml:space="preserve"> </w:t>
      </w:r>
      <w:r w:rsidRPr="00B1465D">
        <w:rPr>
          <w:b/>
          <w:lang w:val="fr-FR"/>
        </w:rPr>
        <w:t>(feu indicateur de direction, signal de détresse, feu stop, dispositif d’éclairage de la plaque d’immatriculation arrière, feu de position avant, feu de position arrière, feu de brouillard arrière, feu de stationnement, feu de gabarit, feu de position latéral, feu de circulation diurne</w:t>
      </w:r>
      <w:r w:rsidRPr="008A5BA4">
        <w:rPr>
          <w:strike/>
          <w:lang w:val="fr-FR"/>
        </w:rPr>
        <w:t>par. 2.6.12 à 2.6.20, 2.6.23 et 2.6.24</w:t>
      </w:r>
      <w:r w:rsidRPr="00B1465D">
        <w:rPr>
          <w:lang w:val="fr-FR"/>
        </w:rPr>
        <w:t>),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w:t>
      </w:r>
    </w:p>
    <w:p w:rsidR="00B1465D" w:rsidRPr="00B1465D" w:rsidRDefault="00B1465D" w:rsidP="00A43337">
      <w:pPr>
        <w:pStyle w:val="SingleTxtG"/>
        <w:ind w:left="2835" w:hanging="1701"/>
        <w:rPr>
          <w:lang w:val="fr-FR"/>
        </w:rPr>
      </w:pPr>
      <w:r w:rsidRPr="00B1465D">
        <w:rPr>
          <w:lang w:val="fr-FR"/>
        </w:rPr>
        <w:tab/>
        <w:t>Pour déterminer les bords inférieur, supérieur et latéraux de la plage éclairante, on ne doit utiliser que des écrans à bords horizontaux ou verticaux, de façon à vérifier la distance jusqu’aux extrémités du véhicule et la hauteur au-dessus du sol.</w:t>
      </w:r>
    </w:p>
    <w:p w:rsidR="00B1465D" w:rsidRPr="00B1465D" w:rsidRDefault="00B1465D" w:rsidP="00A43337">
      <w:pPr>
        <w:pStyle w:val="SingleTxtG"/>
        <w:ind w:left="2835" w:hanging="1701"/>
        <w:rPr>
          <w:lang w:val="fr-FR"/>
        </w:rPr>
      </w:pPr>
      <w:r w:rsidRPr="00B1465D">
        <w:rPr>
          <w:lang w:val="fr-FR"/>
        </w:rPr>
        <w:tab/>
        <w:t>Pour d’autres applications de la plage éclairante (distance entre deux feux ou fonctions, par exemple), il faut utiliser la forme de cette plage éclairante. Les écrans doivent rester parallèles, mais on peut utiliser d’autres orientations.</w:t>
      </w:r>
    </w:p>
    <w:p w:rsidR="00B1465D" w:rsidRPr="00B1465D" w:rsidRDefault="00B1465D" w:rsidP="00A43337">
      <w:pPr>
        <w:pStyle w:val="SingleTxtG"/>
        <w:ind w:left="2835" w:hanging="1701"/>
        <w:rPr>
          <w:lang w:val="fr-FR"/>
        </w:rPr>
      </w:pPr>
      <w:r w:rsidRPr="00B1465D">
        <w:rPr>
          <w:lang w:val="fr-FR"/>
        </w:rPr>
        <w:tab/>
        <w:t>Dans le cas d’un dispositif de signalisation lumineuse dont la plage éclairante recoupe en totalité ou partiellement la plage éclairante d’une autre fonction ou une plage non éclairante, on peut considérer que la plage éclairante se limite à la surface de sortie de la lumière (voir annexe 3, par exemple).</w:t>
      </w:r>
    </w:p>
    <w:p w:rsidR="00B1465D" w:rsidRPr="00B1465D" w:rsidRDefault="00B1465D" w:rsidP="00A43337">
      <w:pPr>
        <w:pStyle w:val="SingleTxtG"/>
        <w:ind w:left="2835" w:hanging="1701"/>
        <w:rPr>
          <w:lang w:val="fr-FR"/>
        </w:rPr>
      </w:pPr>
      <w:r w:rsidRPr="00F825BC">
        <w:rPr>
          <w:strike/>
          <w:lang w:val="fr-FR"/>
        </w:rPr>
        <w:t>2.7.3</w:t>
      </w:r>
      <w:r w:rsidRPr="00B1465D">
        <w:rPr>
          <w:b/>
          <w:lang w:val="fr-FR"/>
        </w:rPr>
        <w:t>2.5.3</w:t>
      </w:r>
      <w:r w:rsidRPr="00B1465D">
        <w:rPr>
          <w:lang w:val="fr-FR"/>
        </w:rPr>
        <w:tab/>
      </w:r>
      <w:r w:rsidR="00D635D3" w:rsidRPr="00581236">
        <w:t>“</w:t>
      </w:r>
      <w:r w:rsidRPr="00B1465D">
        <w:rPr>
          <w:i/>
          <w:lang w:val="fr-FR"/>
        </w:rPr>
        <w:t>Plage éclairante d’un catadioptre</w:t>
      </w:r>
      <w:r w:rsidR="00D635D3" w:rsidRPr="00581236">
        <w:t>”</w:t>
      </w:r>
      <w:r w:rsidRPr="00B1465D">
        <w:rPr>
          <w:lang w:val="fr-FR"/>
        </w:rPr>
        <w:t xml:space="preserve"> (</w:t>
      </w:r>
      <w:r w:rsidRPr="00B1465D">
        <w:rPr>
          <w:b/>
          <w:lang w:val="fr-FR"/>
        </w:rPr>
        <w:t>catadioptre</w:t>
      </w:r>
      <w:r w:rsidRPr="00F825BC">
        <w:rPr>
          <w:strike/>
          <w:lang w:val="fr-FR"/>
        </w:rPr>
        <w:t>par. 2.6.22</w:t>
      </w:r>
      <w:r w:rsidRPr="00B1465D">
        <w:rPr>
          <w:lang w:val="fr-FR"/>
        </w:rPr>
        <w:t>), la projection orthogonale d’un catadioptre dans un plan perpendiculaire à son axe de référence, délimitée par des plans parallèles à cet axe et contigus aux parties extrêmes de la surface de l’optique catadioptrique, indiquée par le demandeur lors de la procédure d’homologation de l’entité élément. Pour déterminer les bords inférieur, supérieur et latéraux du dispositif, on ne doit considérer que les plans horizontaux et verticaux.</w:t>
      </w:r>
    </w:p>
    <w:p w:rsidR="00B1465D" w:rsidRPr="00B1465D" w:rsidRDefault="00B1465D" w:rsidP="00F825BC">
      <w:pPr>
        <w:pStyle w:val="SingleTxtG"/>
        <w:keepNext/>
        <w:keepLines/>
        <w:ind w:left="2835" w:hanging="1701"/>
        <w:rPr>
          <w:lang w:val="fr-FR"/>
        </w:rPr>
      </w:pPr>
      <w:r w:rsidRPr="00F825BC">
        <w:rPr>
          <w:strike/>
          <w:lang w:val="fr-FR"/>
        </w:rPr>
        <w:t>2.8</w:t>
      </w:r>
      <w:r w:rsidRPr="00B1465D">
        <w:rPr>
          <w:b/>
          <w:lang w:val="fr-FR"/>
        </w:rPr>
        <w:t>2.6</w:t>
      </w:r>
      <w:r w:rsidRPr="00B1465D">
        <w:rPr>
          <w:lang w:val="fr-FR"/>
        </w:rPr>
        <w:tab/>
      </w:r>
      <w:r w:rsidR="00D635D3" w:rsidRPr="00581236">
        <w:t>“</w:t>
      </w:r>
      <w:r w:rsidRPr="00B1465D">
        <w:rPr>
          <w:i/>
          <w:lang w:val="fr-FR"/>
        </w:rPr>
        <w:t xml:space="preserve">Surface </w:t>
      </w:r>
      <w:r w:rsidRPr="00B1465D">
        <w:rPr>
          <w:lang w:val="fr-FR"/>
        </w:rPr>
        <w:t>apparente</w:t>
      </w:r>
      <w:r w:rsidR="00D635D3" w:rsidRPr="00581236">
        <w:t>”</w:t>
      </w:r>
      <w:r w:rsidRPr="00B1465D">
        <w:rPr>
          <w:lang w:val="fr-FR"/>
        </w:rPr>
        <w:t>, dans une direction d’observation donnée, sur demande du fabricant ou de son représentant dûment accré</w:t>
      </w:r>
      <w:r w:rsidR="00F825BC">
        <w:rPr>
          <w:lang w:val="fr-FR"/>
        </w:rPr>
        <w:t>dité, la projection orthogonale :</w:t>
      </w:r>
    </w:p>
    <w:p w:rsidR="00B1465D" w:rsidRPr="00B1465D" w:rsidRDefault="00D635D3" w:rsidP="00A43337">
      <w:pPr>
        <w:pStyle w:val="SingleTxtG"/>
        <w:ind w:left="2835" w:hanging="1701"/>
        <w:rPr>
          <w:lang w:val="fr-FR"/>
        </w:rPr>
      </w:pPr>
      <w:r>
        <w:rPr>
          <w:lang w:val="fr-FR"/>
        </w:rPr>
        <w:tab/>
      </w:r>
      <w:r w:rsidR="00B1465D" w:rsidRPr="00B1465D">
        <w:rPr>
          <w:lang w:val="fr-FR"/>
        </w:rPr>
        <w:t>Soit de la limite de la plage éclairante projetée sur la</w:t>
      </w:r>
      <w:r w:rsidR="00F825BC">
        <w:rPr>
          <w:lang w:val="fr-FR"/>
        </w:rPr>
        <w:t xml:space="preserve"> surface extérieure de la glace ;</w:t>
      </w:r>
    </w:p>
    <w:p w:rsidR="00B1465D" w:rsidRPr="00B1465D" w:rsidRDefault="00D635D3" w:rsidP="00A43337">
      <w:pPr>
        <w:pStyle w:val="SingleTxtG"/>
        <w:ind w:left="2835" w:hanging="1701"/>
        <w:rPr>
          <w:lang w:val="fr-FR"/>
        </w:rPr>
      </w:pPr>
      <w:r>
        <w:rPr>
          <w:lang w:val="fr-FR"/>
        </w:rPr>
        <w:tab/>
      </w:r>
      <w:r w:rsidR="00B1465D" w:rsidRPr="00B1465D">
        <w:rPr>
          <w:lang w:val="fr-FR"/>
        </w:rPr>
        <w:t>Soit de la surface de</w:t>
      </w:r>
      <w:r w:rsidR="00F825BC">
        <w:rPr>
          <w:lang w:val="fr-FR"/>
        </w:rPr>
        <w:t xml:space="preserve"> sortie de la lumière ;</w:t>
      </w:r>
    </w:p>
    <w:p w:rsidR="00B1465D" w:rsidRPr="00B1465D" w:rsidRDefault="00D635D3" w:rsidP="00A43337">
      <w:pPr>
        <w:pStyle w:val="SingleTxtG"/>
        <w:ind w:left="2835" w:hanging="1701"/>
        <w:rPr>
          <w:lang w:val="fr-FR"/>
        </w:rPr>
      </w:pPr>
      <w:r>
        <w:rPr>
          <w:lang w:val="fr-FR"/>
        </w:rPr>
        <w:lastRenderedPageBreak/>
        <w:tab/>
      </w:r>
      <w:r w:rsidR="00B1465D" w:rsidRPr="00B1465D">
        <w:rPr>
          <w:lang w:val="fr-FR"/>
        </w:rPr>
        <w:t>Dans un plan perpendiculaire à la direction d’observation et tangent à la limite extérieure de la lentille. On trouvera différents exemples d’application de la surface apparente à l’annexe 3 du présent Règlement.</w:t>
      </w:r>
    </w:p>
    <w:p w:rsidR="00B1465D" w:rsidRPr="00B1465D" w:rsidRDefault="00B1465D" w:rsidP="00A43337">
      <w:pPr>
        <w:pStyle w:val="SingleTxtG"/>
        <w:ind w:left="2835" w:hanging="1701"/>
        <w:rPr>
          <w:lang w:val="fr-FR"/>
        </w:rPr>
      </w:pPr>
      <w:r w:rsidRPr="00F825BC">
        <w:rPr>
          <w:strike/>
          <w:lang w:val="fr-FR"/>
        </w:rPr>
        <w:t>2.8.1</w:t>
      </w:r>
      <w:r w:rsidRPr="00B1465D">
        <w:rPr>
          <w:b/>
          <w:lang w:val="fr-FR"/>
        </w:rPr>
        <w:t>2.6.1</w:t>
      </w:r>
      <w:r w:rsidRPr="00B1465D">
        <w:rPr>
          <w:lang w:val="fr-FR"/>
        </w:rPr>
        <w:tab/>
      </w:r>
      <w:r w:rsidR="00D635D3" w:rsidRPr="00581236">
        <w:t>“</w:t>
      </w:r>
      <w:r w:rsidRPr="00B1465D">
        <w:rPr>
          <w:i/>
          <w:lang w:val="fr-FR"/>
        </w:rPr>
        <w:t>Surface de sortie de la lumière</w:t>
      </w:r>
      <w:r w:rsidR="00D635D3" w:rsidRPr="00581236">
        <w:t>”</w:t>
      </w:r>
      <w:r w:rsidRPr="00B1465D">
        <w:rPr>
          <w:lang w:val="fr-FR"/>
        </w:rPr>
        <w:t xml:space="preserve"> d’un </w:t>
      </w:r>
      <w:r w:rsidR="00D635D3" w:rsidRPr="00581236">
        <w:t>“</w:t>
      </w:r>
      <w:r w:rsidRPr="00B1465D">
        <w:rPr>
          <w:i/>
          <w:lang w:val="fr-FR"/>
        </w:rPr>
        <w:t>dispositif d’éclairage</w:t>
      </w:r>
      <w:r w:rsidR="00D635D3" w:rsidRPr="00581236">
        <w:t>”</w:t>
      </w:r>
      <w:r w:rsidRPr="00B1465D">
        <w:rPr>
          <w:lang w:val="fr-FR"/>
        </w:rPr>
        <w:t xml:space="preserve">, d’un </w:t>
      </w:r>
      <w:r w:rsidR="00A1295F" w:rsidRPr="00581236">
        <w:t>“</w:t>
      </w:r>
      <w:r w:rsidRPr="00B1465D">
        <w:rPr>
          <w:i/>
          <w:lang w:val="fr-FR"/>
        </w:rPr>
        <w:t xml:space="preserve">dispositif de signalisation </w:t>
      </w:r>
      <w:r w:rsidRPr="00A1295F">
        <w:rPr>
          <w:i/>
          <w:lang w:val="fr-FR"/>
        </w:rPr>
        <w:t>lumineuse</w:t>
      </w:r>
      <w:r w:rsidR="00A1295F" w:rsidRPr="00581236">
        <w:t>”</w:t>
      </w:r>
      <w:r w:rsidRPr="00B1465D">
        <w:rPr>
          <w:lang w:val="fr-FR"/>
        </w:rPr>
        <w:t xml:space="preserve"> ou d’un catadioptre, la surface indiquée sur le schéma de la demande d’homologation présentée par le fabricant du dispositif (voir annexe 3).</w:t>
      </w:r>
    </w:p>
    <w:p w:rsidR="00B1465D" w:rsidRPr="00B1465D" w:rsidRDefault="00A43337" w:rsidP="00F825BC">
      <w:pPr>
        <w:pStyle w:val="SingleTxtG"/>
        <w:keepNext/>
        <w:keepLines/>
        <w:ind w:left="2835" w:hanging="1701"/>
        <w:rPr>
          <w:lang w:val="fr-FR"/>
        </w:rPr>
      </w:pPr>
      <w:r>
        <w:rPr>
          <w:lang w:val="fr-FR"/>
        </w:rPr>
        <w:tab/>
      </w:r>
      <w:r w:rsidR="00B1465D" w:rsidRPr="00B1465D">
        <w:rPr>
          <w:lang w:val="fr-FR"/>
        </w:rPr>
        <w:t>Cette indi</w:t>
      </w:r>
      <w:r w:rsidR="00F825BC">
        <w:rPr>
          <w:lang w:val="fr-FR"/>
        </w:rPr>
        <w:t>cation doit se faire comme suit :</w:t>
      </w:r>
    </w:p>
    <w:p w:rsidR="00B1465D" w:rsidRPr="00B1465D" w:rsidRDefault="00B1465D" w:rsidP="00F825BC">
      <w:pPr>
        <w:pStyle w:val="SingleTxtG"/>
        <w:ind w:left="3402" w:hanging="567"/>
        <w:rPr>
          <w:lang w:val="fr-FR"/>
        </w:rPr>
      </w:pPr>
      <w:r w:rsidRPr="00B1465D">
        <w:rPr>
          <w:lang w:val="fr-FR"/>
        </w:rPr>
        <w:t>a)</w:t>
      </w:r>
      <w:r w:rsidRPr="00B1465D">
        <w:rPr>
          <w:lang w:val="fr-FR"/>
        </w:rPr>
        <w:tab/>
        <w:t>Dans le cas où la glace extérieure est texturée, la surface de sortie de la lumière indiquée doit correspondre à tout ou partie de la surface ex</w:t>
      </w:r>
      <w:r w:rsidR="00F825BC">
        <w:rPr>
          <w:lang w:val="fr-FR"/>
        </w:rPr>
        <w:t>térieure de la glace extérieure ;</w:t>
      </w:r>
    </w:p>
    <w:p w:rsidR="00B1465D" w:rsidRPr="00B1465D" w:rsidRDefault="00B1465D" w:rsidP="00F825BC">
      <w:pPr>
        <w:pStyle w:val="SingleTxtG"/>
        <w:ind w:left="3402" w:hanging="567"/>
        <w:rPr>
          <w:lang w:val="fr-FR"/>
        </w:rPr>
      </w:pPr>
      <w:r w:rsidRPr="00B1465D">
        <w:rPr>
          <w:lang w:val="fr-FR"/>
        </w:rPr>
        <w:t>b)</w:t>
      </w:r>
      <w:r w:rsidRPr="00B1465D">
        <w:rPr>
          <w:lang w:val="fr-FR"/>
        </w:rPr>
        <w:tab/>
        <w:t xml:space="preserve">Dans le cas où la glace extérieure n’est pas </w:t>
      </w:r>
      <w:r w:rsidR="003F125C">
        <w:rPr>
          <w:lang w:val="fr-FR"/>
        </w:rPr>
        <w:t>texturée elle peut être ignorée ;</w:t>
      </w:r>
      <w:r w:rsidRPr="00B1465D">
        <w:rPr>
          <w:lang w:val="fr-FR"/>
        </w:rPr>
        <w:t xml:space="preserve"> la surface de sortie de la lumière doit alors être celle qui est indi</w:t>
      </w:r>
      <w:r w:rsidR="00F825BC">
        <w:rPr>
          <w:lang w:val="fr-FR"/>
        </w:rPr>
        <w:t>quée sur le schéma (voir annexe </w:t>
      </w:r>
      <w:r w:rsidRPr="00B1465D">
        <w:rPr>
          <w:lang w:val="fr-FR"/>
        </w:rPr>
        <w:t>3).</w:t>
      </w:r>
    </w:p>
    <w:p w:rsidR="00B1465D" w:rsidRPr="00B1465D" w:rsidRDefault="00B1465D" w:rsidP="00A43337">
      <w:pPr>
        <w:pStyle w:val="SingleTxtG"/>
        <w:ind w:left="2835" w:hanging="1701"/>
        <w:rPr>
          <w:lang w:val="fr-FR"/>
        </w:rPr>
      </w:pPr>
      <w:r w:rsidRPr="00F825BC">
        <w:rPr>
          <w:strike/>
          <w:lang w:val="fr-FR"/>
        </w:rPr>
        <w:t>2.9</w:t>
      </w:r>
      <w:r w:rsidRPr="00B1465D">
        <w:rPr>
          <w:b/>
          <w:lang w:val="fr-FR"/>
        </w:rPr>
        <w:t>2.7</w:t>
      </w:r>
      <w:r w:rsidRPr="00B1465D">
        <w:rPr>
          <w:lang w:val="fr-FR"/>
        </w:rPr>
        <w:tab/>
      </w:r>
      <w:r w:rsidR="00F825BC" w:rsidRPr="00581236">
        <w:t>“</w:t>
      </w:r>
      <w:r w:rsidRPr="00B1465D">
        <w:rPr>
          <w:i/>
          <w:lang w:val="fr-FR"/>
        </w:rPr>
        <w:t>Axe de référence</w:t>
      </w:r>
      <w:r w:rsidR="00F825BC" w:rsidRPr="00581236">
        <w:t>”</w:t>
      </w:r>
      <w:r w:rsidRPr="00B1465D">
        <w:rPr>
          <w:lang w:val="fr-FR"/>
        </w:rPr>
        <w:t>, l’axe caractéristique du feu, déterminé par le fabricant afin de servir de directi</w:t>
      </w:r>
      <w:r w:rsidR="00F825BC">
        <w:rPr>
          <w:lang w:val="fr-FR"/>
        </w:rPr>
        <w:t>on de référence (H = 0°, V = </w:t>
      </w:r>
      <w:r w:rsidRPr="00B1465D">
        <w:rPr>
          <w:lang w:val="fr-FR"/>
        </w:rPr>
        <w:t>0°) pour les mesures photométriques et pour l’insta</w:t>
      </w:r>
      <w:r w:rsidR="00F825BC">
        <w:rPr>
          <w:lang w:val="fr-FR"/>
        </w:rPr>
        <w:t>llation du feu sur le véhicule ;</w:t>
      </w:r>
    </w:p>
    <w:p w:rsidR="00B1465D" w:rsidRPr="00B1465D" w:rsidRDefault="00B1465D" w:rsidP="00A43337">
      <w:pPr>
        <w:pStyle w:val="SingleTxtG"/>
        <w:ind w:left="2835" w:hanging="1701"/>
        <w:rPr>
          <w:lang w:val="fr-FR"/>
        </w:rPr>
      </w:pPr>
      <w:r w:rsidRPr="00F825BC">
        <w:rPr>
          <w:strike/>
          <w:lang w:val="fr-FR"/>
        </w:rPr>
        <w:t>2.10</w:t>
      </w:r>
      <w:r w:rsidRPr="00B1465D">
        <w:rPr>
          <w:b/>
          <w:lang w:val="fr-FR"/>
        </w:rPr>
        <w:t>2.8</w:t>
      </w:r>
      <w:r w:rsidRPr="00B1465D">
        <w:rPr>
          <w:lang w:val="fr-FR"/>
        </w:rPr>
        <w:tab/>
      </w:r>
      <w:r w:rsidR="00F825BC" w:rsidRPr="00581236">
        <w:t>“</w:t>
      </w:r>
      <w:r w:rsidRPr="00B1465D">
        <w:rPr>
          <w:i/>
          <w:lang w:val="fr-FR"/>
        </w:rPr>
        <w:t xml:space="preserve">Centre de </w:t>
      </w:r>
      <w:r w:rsidRPr="00B1465D">
        <w:rPr>
          <w:lang w:val="fr-FR"/>
        </w:rPr>
        <w:t>référence</w:t>
      </w:r>
      <w:r w:rsidR="00F825BC" w:rsidRPr="00581236">
        <w:t>”</w:t>
      </w:r>
      <w:r w:rsidRPr="00B1465D">
        <w:rPr>
          <w:lang w:val="fr-FR"/>
        </w:rPr>
        <w:t>, l’intersection de l’axe de référence avec la surface extérieure de sortie de la lumière, tel qu’il est défini pa</w:t>
      </w:r>
      <w:r w:rsidR="00F825BC">
        <w:rPr>
          <w:lang w:val="fr-FR"/>
        </w:rPr>
        <w:t>r le fabricant du feu ;</w:t>
      </w:r>
    </w:p>
    <w:p w:rsidR="00B1465D" w:rsidRPr="00F825BC" w:rsidRDefault="00B1465D" w:rsidP="00A43337">
      <w:pPr>
        <w:pStyle w:val="SingleTxtG"/>
        <w:ind w:left="2835" w:hanging="1701"/>
        <w:rPr>
          <w:strike/>
          <w:lang w:val="fr-FR"/>
        </w:rPr>
      </w:pPr>
      <w:r w:rsidRPr="00F825BC">
        <w:rPr>
          <w:strike/>
          <w:lang w:val="fr-FR"/>
        </w:rPr>
        <w:t>2.11</w:t>
      </w:r>
      <w:r w:rsidRPr="00F825BC">
        <w:rPr>
          <w:strike/>
          <w:lang w:val="fr-FR"/>
        </w:rPr>
        <w:tab/>
      </w:r>
      <w:r w:rsidR="00F825BC" w:rsidRPr="005E108C">
        <w:rPr>
          <w:strike/>
        </w:rPr>
        <w:t>“</w:t>
      </w:r>
      <w:r w:rsidRPr="00F825BC">
        <w:rPr>
          <w:i/>
          <w:strike/>
          <w:lang w:val="fr-FR"/>
        </w:rPr>
        <w:t>Angles de visibilité géométrique</w:t>
      </w:r>
      <w:r w:rsidR="00F825BC" w:rsidRPr="00581236">
        <w:t>”</w:t>
      </w:r>
      <w:r w:rsidRPr="00F825BC">
        <w:rPr>
          <w:strike/>
          <w:lang w:val="fr-FR"/>
        </w:rPr>
        <w:t>, les angles qui déterminent le champ de l’angle solide minimal dans lequel la surface apparente du feu est visible. Ce champ est délimité par les segments d’une sphère dont le centre coïncide avec le centre de référence du feu et dont l’équateur est parallèle à la chaussée. On détermine ces segments à partir de l’axe de référence. Les angles horizontaux β correspondent à la longitude et les angles verticaux α, à la latitude.</w:t>
      </w:r>
    </w:p>
    <w:p w:rsidR="00B1465D" w:rsidRPr="00B1465D" w:rsidRDefault="00B1465D" w:rsidP="00A43337">
      <w:pPr>
        <w:pStyle w:val="SingleTxtG"/>
        <w:ind w:left="2835" w:hanging="1701"/>
        <w:rPr>
          <w:lang w:val="fr-FR"/>
        </w:rPr>
      </w:pPr>
      <w:r w:rsidRPr="00F825BC">
        <w:rPr>
          <w:strike/>
          <w:lang w:val="fr-FR"/>
        </w:rPr>
        <w:t>2.12</w:t>
      </w:r>
      <w:r w:rsidRPr="00B1465D">
        <w:rPr>
          <w:b/>
          <w:lang w:val="fr-FR"/>
        </w:rPr>
        <w:t>2.9</w:t>
      </w:r>
      <w:r w:rsidRPr="00B1465D">
        <w:rPr>
          <w:lang w:val="fr-FR"/>
        </w:rPr>
        <w:tab/>
      </w:r>
      <w:r w:rsidR="00F825BC" w:rsidRPr="00581236">
        <w:t>“</w:t>
      </w:r>
      <w:r w:rsidRPr="00B1465D">
        <w:rPr>
          <w:i/>
          <w:lang w:val="fr-FR"/>
        </w:rPr>
        <w:t>Extrémité de la largeur hors tout</w:t>
      </w:r>
      <w:r w:rsidR="00F825BC" w:rsidRPr="00581236">
        <w:t>”</w:t>
      </w:r>
      <w:r w:rsidRPr="00B1465D">
        <w:rPr>
          <w:lang w:val="fr-FR"/>
        </w:rPr>
        <w:t>, de chaque côté du véhicule, le plan parallèle au plan longitudinal médian du véhicule tangent à son bord extérieur latéral, compte</w:t>
      </w:r>
      <w:r w:rsidR="006D4521">
        <w:rPr>
          <w:lang w:val="fr-FR"/>
        </w:rPr>
        <w:t xml:space="preserve"> non tenu de la ou des saillies :</w:t>
      </w:r>
    </w:p>
    <w:p w:rsidR="00B1465D" w:rsidRPr="00B1465D" w:rsidRDefault="00B1465D" w:rsidP="00A43337">
      <w:pPr>
        <w:pStyle w:val="SingleTxtG"/>
        <w:ind w:left="2835" w:hanging="1701"/>
        <w:rPr>
          <w:lang w:val="fr-FR"/>
        </w:rPr>
      </w:pPr>
      <w:r w:rsidRPr="006D4521">
        <w:rPr>
          <w:strike/>
          <w:lang w:val="fr-FR"/>
        </w:rPr>
        <w:t>2.12.1</w:t>
      </w:r>
      <w:r w:rsidRPr="00B1465D">
        <w:rPr>
          <w:b/>
          <w:lang w:val="fr-FR"/>
        </w:rPr>
        <w:t>2.9.1</w:t>
      </w:r>
      <w:r w:rsidRPr="00B1465D">
        <w:rPr>
          <w:lang w:val="fr-FR"/>
        </w:rPr>
        <w:tab/>
        <w:t>Des pneus près de leur point de contact avec le sol et à la hauteur du capteur de pression ou du raccord de gonflage</w:t>
      </w:r>
      <w:r w:rsidR="006D4521">
        <w:rPr>
          <w:lang w:val="fr-FR"/>
        </w:rPr>
        <w:t>/dégonflage ;</w:t>
      </w:r>
    </w:p>
    <w:p w:rsidR="00B1465D" w:rsidRPr="00B1465D" w:rsidRDefault="00B1465D" w:rsidP="00A43337">
      <w:pPr>
        <w:pStyle w:val="SingleTxtG"/>
        <w:ind w:left="2835" w:hanging="1701"/>
        <w:rPr>
          <w:lang w:val="fr-FR"/>
        </w:rPr>
      </w:pPr>
      <w:r w:rsidRPr="006D4521">
        <w:rPr>
          <w:strike/>
          <w:lang w:val="fr-FR"/>
        </w:rPr>
        <w:t>2.12.2</w:t>
      </w:r>
      <w:r w:rsidRPr="00B1465D">
        <w:rPr>
          <w:b/>
          <w:lang w:val="fr-FR"/>
        </w:rPr>
        <w:t>2.9.2</w:t>
      </w:r>
      <w:r w:rsidRPr="00B1465D">
        <w:rPr>
          <w:lang w:val="fr-FR"/>
        </w:rPr>
        <w:tab/>
        <w:t>Des dispositifs antipatinage qu</w:t>
      </w:r>
      <w:r w:rsidR="006D4521">
        <w:rPr>
          <w:lang w:val="fr-FR"/>
        </w:rPr>
        <w:t>i seraient montés sur les roues ;</w:t>
      </w:r>
    </w:p>
    <w:p w:rsidR="00B1465D" w:rsidRPr="00B1465D" w:rsidRDefault="00B1465D" w:rsidP="00A43337">
      <w:pPr>
        <w:pStyle w:val="SingleTxtG"/>
        <w:ind w:left="2835" w:hanging="1701"/>
        <w:rPr>
          <w:lang w:val="fr-FR"/>
        </w:rPr>
      </w:pPr>
      <w:r w:rsidRPr="006D4521">
        <w:rPr>
          <w:strike/>
          <w:lang w:val="fr-FR"/>
        </w:rPr>
        <w:t>2.12.3</w:t>
      </w:r>
      <w:r w:rsidRPr="00B1465D">
        <w:rPr>
          <w:b/>
          <w:lang w:val="fr-FR"/>
        </w:rPr>
        <w:t>2.9.3</w:t>
      </w:r>
      <w:r w:rsidRPr="00B1465D">
        <w:rPr>
          <w:lang w:val="fr-FR"/>
        </w:rPr>
        <w:tab/>
        <w:t xml:space="preserve">Des </w:t>
      </w:r>
      <w:r w:rsidR="006D4521">
        <w:rPr>
          <w:lang w:val="fr-FR"/>
        </w:rPr>
        <w:t>dispositifs de vision indirecte ;</w:t>
      </w:r>
    </w:p>
    <w:p w:rsidR="00B1465D" w:rsidRPr="00B1465D" w:rsidRDefault="00B1465D" w:rsidP="00A43337">
      <w:pPr>
        <w:pStyle w:val="SingleTxtG"/>
        <w:ind w:left="2835" w:hanging="1701"/>
        <w:rPr>
          <w:lang w:val="fr-FR"/>
        </w:rPr>
      </w:pPr>
      <w:r w:rsidRPr="006D4521">
        <w:rPr>
          <w:strike/>
          <w:lang w:val="fr-FR"/>
        </w:rPr>
        <w:t>2.12.4</w:t>
      </w:r>
      <w:r w:rsidRPr="00B1465D">
        <w:rPr>
          <w:b/>
          <w:lang w:val="fr-FR"/>
        </w:rPr>
        <w:t>2.9.4</w:t>
      </w:r>
      <w:r w:rsidRPr="00B1465D">
        <w:rPr>
          <w:lang w:val="fr-FR"/>
        </w:rPr>
        <w:tab/>
        <w:t>Des feux indicateurs de direction latéraux, des feux de gabarit, des feux de position avant et arrière, des feux de stationneme</w:t>
      </w:r>
      <w:r w:rsidR="006D4521">
        <w:rPr>
          <w:lang w:val="fr-FR"/>
        </w:rPr>
        <w:t>nt et des catadioptres latéraux ;</w:t>
      </w:r>
    </w:p>
    <w:p w:rsidR="00B1465D" w:rsidRPr="00B1465D" w:rsidRDefault="00B1465D" w:rsidP="00A43337">
      <w:pPr>
        <w:pStyle w:val="SingleTxtG"/>
        <w:ind w:left="2835" w:hanging="1701"/>
        <w:rPr>
          <w:lang w:val="fr-FR"/>
        </w:rPr>
      </w:pPr>
      <w:r w:rsidRPr="006D4521">
        <w:rPr>
          <w:strike/>
          <w:lang w:val="fr-FR"/>
        </w:rPr>
        <w:t>2.12.5</w:t>
      </w:r>
      <w:r w:rsidRPr="00B1465D">
        <w:rPr>
          <w:b/>
          <w:lang w:val="fr-FR"/>
        </w:rPr>
        <w:t>2.9.5</w:t>
      </w:r>
      <w:r w:rsidRPr="00B1465D">
        <w:rPr>
          <w:lang w:val="fr-FR"/>
        </w:rPr>
        <w:tab/>
        <w:t xml:space="preserve">Des scellés douaniers apposés sur le véhicule tracteur et des dispositifs de fixation </w:t>
      </w:r>
      <w:r w:rsidR="00177982">
        <w:rPr>
          <w:lang w:val="fr-FR"/>
        </w:rPr>
        <w:t>et de protection de ces scellés ;</w:t>
      </w:r>
    </w:p>
    <w:p w:rsidR="00B1465D" w:rsidRPr="00B1465D" w:rsidRDefault="00B1465D" w:rsidP="00E965F1">
      <w:pPr>
        <w:pStyle w:val="SingleTxtG"/>
        <w:keepNext/>
        <w:keepLines/>
        <w:ind w:left="2835" w:hanging="1701"/>
        <w:rPr>
          <w:lang w:val="fr-FR"/>
        </w:rPr>
      </w:pPr>
      <w:r w:rsidRPr="006D4521">
        <w:rPr>
          <w:strike/>
          <w:lang w:val="fr-FR"/>
        </w:rPr>
        <w:t>2.13</w:t>
      </w:r>
      <w:r w:rsidRPr="00B1465D">
        <w:rPr>
          <w:b/>
          <w:lang w:val="fr-FR"/>
        </w:rPr>
        <w:t>2.10</w:t>
      </w:r>
      <w:r w:rsidR="00E965F1">
        <w:rPr>
          <w:lang w:val="fr-FR"/>
        </w:rPr>
        <w:tab/>
        <w:t>Dimensions hors tout :</w:t>
      </w:r>
    </w:p>
    <w:p w:rsidR="00B1465D" w:rsidRPr="00B1465D" w:rsidRDefault="00B1465D" w:rsidP="00A43337">
      <w:pPr>
        <w:pStyle w:val="SingleTxtG"/>
        <w:ind w:left="2835" w:hanging="1701"/>
        <w:rPr>
          <w:lang w:val="fr-FR"/>
        </w:rPr>
      </w:pPr>
      <w:r w:rsidRPr="006D4521">
        <w:rPr>
          <w:strike/>
          <w:lang w:val="fr-FR"/>
        </w:rPr>
        <w:t>2.13.1</w:t>
      </w:r>
      <w:r w:rsidRPr="00B1465D">
        <w:rPr>
          <w:b/>
          <w:lang w:val="fr-FR"/>
        </w:rPr>
        <w:t>2.10.1</w:t>
      </w:r>
      <w:r w:rsidRPr="00B1465D">
        <w:rPr>
          <w:lang w:val="fr-FR"/>
        </w:rPr>
        <w:tab/>
      </w:r>
      <w:r w:rsidR="00F825BC" w:rsidRPr="00581236">
        <w:t>“</w:t>
      </w:r>
      <w:r w:rsidRPr="00B1465D">
        <w:rPr>
          <w:i/>
          <w:lang w:val="fr-FR"/>
        </w:rPr>
        <w:t>Largeur hors tout</w:t>
      </w:r>
      <w:r w:rsidR="00F825BC" w:rsidRPr="00581236">
        <w:t>”</w:t>
      </w:r>
      <w:r w:rsidRPr="00B1465D">
        <w:rPr>
          <w:lang w:val="fr-FR"/>
        </w:rPr>
        <w:t>, la distance entre les deux plans verticaux définis au paragraphe </w:t>
      </w:r>
      <w:r w:rsidRPr="005E108C">
        <w:rPr>
          <w:strike/>
          <w:lang w:val="fr-FR"/>
        </w:rPr>
        <w:t>2.12</w:t>
      </w:r>
      <w:r w:rsidRPr="00B1465D">
        <w:rPr>
          <w:b/>
          <w:lang w:val="fr-FR"/>
        </w:rPr>
        <w:t>2.9</w:t>
      </w:r>
      <w:r w:rsidR="00E965F1">
        <w:rPr>
          <w:lang w:val="fr-FR"/>
        </w:rPr>
        <w:t xml:space="preserve"> ci-dessus ;</w:t>
      </w:r>
    </w:p>
    <w:p w:rsidR="00B1465D" w:rsidRPr="00B1465D" w:rsidRDefault="00B1465D" w:rsidP="00A43337">
      <w:pPr>
        <w:pStyle w:val="SingleTxtG"/>
        <w:ind w:left="2835" w:hanging="1701"/>
        <w:rPr>
          <w:lang w:val="fr-FR"/>
        </w:rPr>
      </w:pPr>
      <w:r w:rsidRPr="006D4521">
        <w:rPr>
          <w:strike/>
          <w:lang w:val="fr-FR"/>
        </w:rPr>
        <w:t>2.13.2</w:t>
      </w:r>
      <w:r w:rsidRPr="00B1465D">
        <w:rPr>
          <w:b/>
          <w:lang w:val="fr-FR"/>
        </w:rPr>
        <w:t>2.10.2</w:t>
      </w:r>
      <w:r w:rsidRPr="00B1465D">
        <w:rPr>
          <w:lang w:val="fr-FR"/>
        </w:rPr>
        <w:tab/>
      </w:r>
      <w:r w:rsidR="00F825BC" w:rsidRPr="00581236">
        <w:t>“</w:t>
      </w:r>
      <w:r w:rsidRPr="00B1465D">
        <w:rPr>
          <w:i/>
          <w:lang w:val="fr-FR"/>
        </w:rPr>
        <w:t>Longueur hors tout</w:t>
      </w:r>
      <w:r w:rsidR="00F825BC" w:rsidRPr="00581236">
        <w:t>”</w:t>
      </w:r>
      <w:r w:rsidRPr="00B1465D">
        <w:rPr>
          <w:lang w:val="fr-FR"/>
        </w:rPr>
        <w:t>, la distance entre les deux plans verticaux perpendiculaires au plan longitudinal médian du véhicule et tangent à son bord extérieur avant et à son bord extérieur arrière, compte</w:t>
      </w:r>
      <w:r w:rsidR="006D4521">
        <w:rPr>
          <w:lang w:val="fr-FR"/>
        </w:rPr>
        <w:t xml:space="preserve"> non tenu de la ou des saillies :</w:t>
      </w:r>
    </w:p>
    <w:p w:rsidR="00B1465D" w:rsidRPr="00B1465D" w:rsidRDefault="00B1465D" w:rsidP="006D4521">
      <w:pPr>
        <w:pStyle w:val="SingleTxtG"/>
        <w:ind w:left="3402" w:hanging="567"/>
        <w:rPr>
          <w:lang w:val="fr-FR"/>
        </w:rPr>
      </w:pPr>
      <w:r w:rsidRPr="00B1465D">
        <w:rPr>
          <w:lang w:val="fr-FR"/>
        </w:rPr>
        <w:t>a)</w:t>
      </w:r>
      <w:r w:rsidRPr="00B1465D">
        <w:rPr>
          <w:lang w:val="fr-FR"/>
        </w:rPr>
        <w:tab/>
        <w:t xml:space="preserve">Des </w:t>
      </w:r>
      <w:r w:rsidR="006D4521">
        <w:rPr>
          <w:lang w:val="fr-FR"/>
        </w:rPr>
        <w:t>dispositifs de vision indirecte ;</w:t>
      </w:r>
    </w:p>
    <w:p w:rsidR="00B1465D" w:rsidRPr="00B1465D" w:rsidRDefault="006D4521" w:rsidP="006D4521">
      <w:pPr>
        <w:pStyle w:val="SingleTxtG"/>
        <w:ind w:left="3402" w:hanging="567"/>
        <w:rPr>
          <w:lang w:val="fr-FR"/>
        </w:rPr>
      </w:pPr>
      <w:r>
        <w:rPr>
          <w:lang w:val="fr-FR"/>
        </w:rPr>
        <w:t>b)</w:t>
      </w:r>
      <w:r>
        <w:rPr>
          <w:lang w:val="fr-FR"/>
        </w:rPr>
        <w:tab/>
        <w:t>Des feux de gabarit ;</w:t>
      </w:r>
    </w:p>
    <w:p w:rsidR="00B1465D" w:rsidRPr="00B1465D" w:rsidRDefault="00B1465D" w:rsidP="006D4521">
      <w:pPr>
        <w:pStyle w:val="SingleTxtG"/>
        <w:ind w:left="3402" w:hanging="567"/>
        <w:rPr>
          <w:lang w:val="fr-FR"/>
        </w:rPr>
      </w:pPr>
      <w:r w:rsidRPr="00B1465D">
        <w:rPr>
          <w:lang w:val="fr-FR"/>
        </w:rPr>
        <w:t>c)</w:t>
      </w:r>
      <w:r w:rsidRPr="00B1465D">
        <w:rPr>
          <w:lang w:val="fr-FR"/>
        </w:rPr>
        <w:tab/>
        <w:t>Des dispositifs d’attelage, dans le cas des véhicules automobiles.</w:t>
      </w:r>
    </w:p>
    <w:p w:rsidR="00B1465D" w:rsidRPr="00B1465D" w:rsidRDefault="00B1465D" w:rsidP="00DD348A">
      <w:pPr>
        <w:pStyle w:val="SingleTxtG"/>
        <w:keepNext/>
        <w:keepLines/>
        <w:ind w:left="2835" w:hanging="1701"/>
        <w:rPr>
          <w:lang w:val="fr-FR"/>
        </w:rPr>
      </w:pPr>
      <w:r w:rsidRPr="006D4521">
        <w:rPr>
          <w:strike/>
          <w:lang w:val="fr-FR"/>
        </w:rPr>
        <w:t>2.14</w:t>
      </w:r>
      <w:r w:rsidRPr="00B1465D">
        <w:rPr>
          <w:b/>
          <w:lang w:val="fr-FR"/>
        </w:rPr>
        <w:t>2.11</w:t>
      </w:r>
      <w:r w:rsidRPr="00B1465D">
        <w:rPr>
          <w:lang w:val="fr-FR"/>
        </w:rPr>
        <w:tab/>
      </w:r>
      <w:r w:rsidR="00F825BC" w:rsidRPr="00581236">
        <w:t>“</w:t>
      </w:r>
      <w:r w:rsidRPr="00B1465D">
        <w:rPr>
          <w:i/>
          <w:lang w:val="fr-FR"/>
        </w:rPr>
        <w:t>Feu simple et feu multiple</w:t>
      </w:r>
      <w:r w:rsidR="00F825BC" w:rsidRPr="00581236">
        <w:t>”</w:t>
      </w:r>
    </w:p>
    <w:p w:rsidR="00B1465D" w:rsidRPr="00B1465D" w:rsidRDefault="00B1465D" w:rsidP="00DD348A">
      <w:pPr>
        <w:pStyle w:val="SingleTxtG"/>
        <w:keepNext/>
        <w:keepLines/>
        <w:ind w:left="2835" w:hanging="1701"/>
        <w:rPr>
          <w:lang w:val="fr-FR"/>
        </w:rPr>
      </w:pPr>
      <w:r w:rsidRPr="006D4521">
        <w:rPr>
          <w:strike/>
          <w:lang w:val="fr-FR"/>
        </w:rPr>
        <w:t>2.14.1</w:t>
      </w:r>
      <w:r w:rsidRPr="00B1465D">
        <w:rPr>
          <w:b/>
          <w:lang w:val="fr-FR"/>
        </w:rPr>
        <w:t>2.11.1</w:t>
      </w:r>
      <w:r w:rsidRPr="00B1465D">
        <w:rPr>
          <w:lang w:val="fr-FR"/>
        </w:rPr>
        <w:tab/>
        <w:t xml:space="preserve">Par </w:t>
      </w:r>
      <w:r w:rsidR="00F825BC" w:rsidRPr="00581236">
        <w:t>“</w:t>
      </w:r>
      <w:r w:rsidRPr="00B1465D">
        <w:rPr>
          <w:i/>
          <w:lang w:val="fr-FR"/>
        </w:rPr>
        <w:t>feu simple</w:t>
      </w:r>
      <w:r w:rsidR="00EF54EF" w:rsidRPr="00581236">
        <w:t>”</w:t>
      </w:r>
      <w:r w:rsidR="00DD348A">
        <w:rPr>
          <w:lang w:val="fr-FR"/>
        </w:rPr>
        <w:t xml:space="preserve"> on entend :</w:t>
      </w:r>
    </w:p>
    <w:p w:rsidR="00B1465D" w:rsidRPr="00B1465D" w:rsidRDefault="00B1465D" w:rsidP="006D4521">
      <w:pPr>
        <w:pStyle w:val="SingleTxtG"/>
        <w:ind w:left="3402" w:hanging="567"/>
        <w:rPr>
          <w:lang w:val="fr-FR"/>
        </w:rPr>
      </w:pPr>
      <w:r w:rsidRPr="00B1465D">
        <w:rPr>
          <w:lang w:val="fr-FR"/>
        </w:rPr>
        <w:t>a)</w:t>
      </w:r>
      <w:r w:rsidRPr="00B1465D">
        <w:rPr>
          <w:lang w:val="fr-FR"/>
        </w:rPr>
        <w:tab/>
        <w:t xml:space="preserve">Un dispositif ou une partie de dispositif ne possédant qu’une fonction d’éclairage ou de signalisation lumineuse, une ou plusieurs sources lumineuses et une surface apparente dans la direction de l’axe de référence, qui peut être continue ou composée de </w:t>
      </w:r>
      <w:r w:rsidR="00EF54EF">
        <w:rPr>
          <w:lang w:val="fr-FR"/>
        </w:rPr>
        <w:t>deux parties distinctes ou plus ;</w:t>
      </w:r>
      <w:r w:rsidRPr="00B1465D">
        <w:rPr>
          <w:lang w:val="fr-FR"/>
        </w:rPr>
        <w:t xml:space="preserve"> ou</w:t>
      </w:r>
    </w:p>
    <w:p w:rsidR="00B1465D" w:rsidRPr="00B1465D" w:rsidRDefault="00B1465D" w:rsidP="006D4521">
      <w:pPr>
        <w:pStyle w:val="SingleTxtG"/>
        <w:ind w:left="3402" w:hanging="567"/>
        <w:rPr>
          <w:lang w:val="fr-FR"/>
        </w:rPr>
      </w:pPr>
      <w:r w:rsidRPr="00B1465D">
        <w:rPr>
          <w:lang w:val="fr-FR"/>
        </w:rPr>
        <w:t>b)</w:t>
      </w:r>
      <w:r w:rsidRPr="00B1465D">
        <w:rPr>
          <w:lang w:val="fr-FR"/>
        </w:rPr>
        <w:tab/>
        <w:t xml:space="preserve">Tout assemblage de deux feux indépendants, identiques ou non, ayant la même fonction et homologués en tant que feux </w:t>
      </w:r>
      <w:r w:rsidR="00EF54EF" w:rsidRPr="00581236">
        <w:t>“</w:t>
      </w:r>
      <w:r w:rsidRPr="00B1465D">
        <w:rPr>
          <w:lang w:val="fr-FR"/>
        </w:rPr>
        <w:t>D</w:t>
      </w:r>
      <w:r w:rsidR="00EF54EF" w:rsidRPr="00581236">
        <w:t>”</w:t>
      </w:r>
      <w:r w:rsidR="00EF54EF">
        <w:rPr>
          <w:lang w:val="fr-FR"/>
        </w:rPr>
        <w:t>, et installés de telle sorte :</w:t>
      </w:r>
    </w:p>
    <w:p w:rsidR="00B1465D" w:rsidRPr="00B1465D" w:rsidRDefault="00B1465D" w:rsidP="00DD348A">
      <w:pPr>
        <w:pStyle w:val="SingleTxtG"/>
        <w:ind w:left="3969" w:hanging="567"/>
        <w:rPr>
          <w:lang w:val="fr-FR"/>
        </w:rPr>
      </w:pPr>
      <w:r w:rsidRPr="00B1465D">
        <w:rPr>
          <w:lang w:val="fr-FR"/>
        </w:rPr>
        <w:t>i)</w:t>
      </w:r>
      <w:r w:rsidRPr="00B1465D">
        <w:rPr>
          <w:lang w:val="fr-FR"/>
        </w:rPr>
        <w:tab/>
        <w:t>Que la projection de leurs surfaces apparentes dans la direction de l’axe de référence occupe au moins 60 % du plus petit quadrilatère circonscrit à la projection de ces surfaces apparentes dans la direction de l’</w:t>
      </w:r>
      <w:r w:rsidR="00EF54EF">
        <w:rPr>
          <w:lang w:val="fr-FR"/>
        </w:rPr>
        <w:t>axe de référence ;</w:t>
      </w:r>
      <w:r w:rsidRPr="00B1465D">
        <w:rPr>
          <w:lang w:val="fr-FR"/>
        </w:rPr>
        <w:t xml:space="preserve"> ou</w:t>
      </w:r>
    </w:p>
    <w:p w:rsidR="00B1465D" w:rsidRPr="00B1465D" w:rsidRDefault="00B1465D" w:rsidP="00DD348A">
      <w:pPr>
        <w:pStyle w:val="SingleTxtG"/>
        <w:ind w:left="3969" w:hanging="567"/>
        <w:rPr>
          <w:lang w:val="fr-FR"/>
        </w:rPr>
      </w:pPr>
      <w:r w:rsidRPr="00B1465D">
        <w:rPr>
          <w:lang w:val="fr-FR"/>
        </w:rPr>
        <w:t>ii)</w:t>
      </w:r>
      <w:r w:rsidRPr="00B1465D">
        <w:rPr>
          <w:lang w:val="fr-FR"/>
        </w:rPr>
        <w:tab/>
        <w:t xml:space="preserve">Que la distance entre deux parties adjacentes/tangentes distinctes, lorsqu’elle est mesurée perpendiculairement à l’axe de </w:t>
      </w:r>
      <w:r w:rsidR="00EF54EF">
        <w:rPr>
          <w:lang w:val="fr-FR"/>
        </w:rPr>
        <w:t>référence, ne dépasse pas 15 mm ;</w:t>
      </w:r>
      <w:r w:rsidRPr="00B1465D">
        <w:rPr>
          <w:lang w:val="fr-FR"/>
        </w:rPr>
        <w:t xml:space="preserve"> ou</w:t>
      </w:r>
    </w:p>
    <w:p w:rsidR="00B1465D" w:rsidRPr="00B1465D" w:rsidRDefault="00B1465D" w:rsidP="00DD348A">
      <w:pPr>
        <w:pStyle w:val="SingleTxtG"/>
        <w:keepNext/>
        <w:keepLines/>
        <w:ind w:left="3402" w:hanging="567"/>
        <w:rPr>
          <w:lang w:val="fr-FR"/>
        </w:rPr>
      </w:pPr>
      <w:r w:rsidRPr="00B1465D">
        <w:rPr>
          <w:lang w:val="fr-FR"/>
        </w:rPr>
        <w:t>c)</w:t>
      </w:r>
      <w:r w:rsidRPr="00B1465D">
        <w:rPr>
          <w:lang w:val="fr-FR"/>
        </w:rPr>
        <w:tab/>
        <w:t>Tout assemblage de deux catadioptres indépendants, identiques ou non, qui ont été homologués séparément e</w:t>
      </w:r>
      <w:r w:rsidR="00EF54EF">
        <w:rPr>
          <w:lang w:val="fr-FR"/>
        </w:rPr>
        <w:t>t sont installés de telle sorte :</w:t>
      </w:r>
    </w:p>
    <w:p w:rsidR="00B1465D" w:rsidRPr="00B1465D" w:rsidRDefault="00B1465D" w:rsidP="006D4521">
      <w:pPr>
        <w:pStyle w:val="SingleTxtG"/>
        <w:ind w:left="3969" w:hanging="567"/>
        <w:rPr>
          <w:lang w:val="fr-FR"/>
        </w:rPr>
      </w:pPr>
      <w:r w:rsidRPr="00B1465D">
        <w:rPr>
          <w:lang w:val="fr-FR"/>
        </w:rPr>
        <w:t>i)</w:t>
      </w:r>
      <w:r w:rsidRPr="00B1465D">
        <w:rPr>
          <w:lang w:val="fr-FR"/>
        </w:rPr>
        <w:tab/>
        <w:t>Que la projection de leurs surfaces apparentes dans la direction de l’axe de référence occupe au moins 60 % du plus petit quadrilatère circonscrit à la projection de ces surfaces apparentes dans la direction de l’</w:t>
      </w:r>
      <w:r w:rsidR="00EF54EF">
        <w:rPr>
          <w:lang w:val="fr-FR"/>
        </w:rPr>
        <w:t xml:space="preserve">axe de référence ; </w:t>
      </w:r>
      <w:r w:rsidRPr="00B1465D">
        <w:rPr>
          <w:lang w:val="fr-FR"/>
        </w:rPr>
        <w:t>ou</w:t>
      </w:r>
    </w:p>
    <w:p w:rsidR="00B1465D" w:rsidRPr="00B1465D" w:rsidRDefault="00B1465D" w:rsidP="006D4521">
      <w:pPr>
        <w:pStyle w:val="SingleTxtG"/>
        <w:ind w:left="3969" w:hanging="567"/>
        <w:rPr>
          <w:lang w:val="fr-FR"/>
        </w:rPr>
      </w:pPr>
      <w:r w:rsidRPr="00B1465D">
        <w:rPr>
          <w:lang w:val="fr-FR"/>
        </w:rPr>
        <w:t>ii)</w:t>
      </w:r>
      <w:r w:rsidRPr="00B1465D">
        <w:rPr>
          <w:lang w:val="fr-FR"/>
        </w:rPr>
        <w:tab/>
        <w:t>Que la distance entre deux parties adjacentes/tangentes distinctes, lorsqu’elle est mesurée perpendiculairement à l’axe de référence, ne dépasse pas 15 mm.</w:t>
      </w:r>
    </w:p>
    <w:p w:rsidR="00B1465D" w:rsidRPr="00B1465D" w:rsidRDefault="00B1465D" w:rsidP="00A43337">
      <w:pPr>
        <w:pStyle w:val="SingleTxtG"/>
        <w:ind w:left="2835" w:hanging="1701"/>
        <w:rPr>
          <w:lang w:val="fr-FR"/>
        </w:rPr>
      </w:pPr>
      <w:r w:rsidRPr="00DD348A">
        <w:rPr>
          <w:strike/>
          <w:lang w:val="fr-FR"/>
        </w:rPr>
        <w:t>2.14.2</w:t>
      </w:r>
      <w:r w:rsidRPr="00B1465D">
        <w:rPr>
          <w:b/>
          <w:lang w:val="fr-FR"/>
        </w:rPr>
        <w:t>2.11.2</w:t>
      </w:r>
      <w:r w:rsidRPr="00B1465D">
        <w:rPr>
          <w:lang w:val="fr-FR"/>
        </w:rPr>
        <w:tab/>
      </w:r>
      <w:r w:rsidR="00F825BC" w:rsidRPr="00581236">
        <w:t>“</w:t>
      </w:r>
      <w:r w:rsidRPr="00B1465D">
        <w:rPr>
          <w:i/>
          <w:lang w:val="fr-FR"/>
        </w:rPr>
        <w:t>Deux feux</w:t>
      </w:r>
      <w:r w:rsidR="00F825BC" w:rsidRPr="00581236">
        <w:t>”</w:t>
      </w:r>
      <w:r w:rsidRPr="00B1465D">
        <w:rPr>
          <w:lang w:val="fr-FR"/>
        </w:rPr>
        <w:t xml:space="preserve"> ou </w:t>
      </w:r>
      <w:r w:rsidR="00F825BC" w:rsidRPr="00581236">
        <w:t>“</w:t>
      </w:r>
      <w:r w:rsidRPr="00B1465D">
        <w:rPr>
          <w:i/>
          <w:lang w:val="fr-FR"/>
        </w:rPr>
        <w:t>un nombre pair de feux</w:t>
      </w:r>
      <w:r w:rsidR="00F825BC" w:rsidRPr="00581236">
        <w:t>”</w:t>
      </w:r>
      <w:r w:rsidRPr="00B1465D">
        <w:rPr>
          <w:lang w:val="fr-FR"/>
        </w:rPr>
        <w:t>, une seule surface de sortie de la lumière ayant la forme d’une bande, lorsqu’elle est située symétriquement par rapport au plan longitudinal médian du véhicule et qu’elle s’étend au moins jusqu’à 0,4 m de l’extrémité de la largeur hors tout du véhicule, des deux côtés, en ayant</w:t>
      </w:r>
      <w:r w:rsidR="002F31E0">
        <w:rPr>
          <w:lang w:val="fr-FR"/>
        </w:rPr>
        <w:t xml:space="preserve"> une longueur minimale de 0,8 m ;</w:t>
      </w:r>
      <w:r w:rsidRPr="00B1465D">
        <w:rPr>
          <w:lang w:val="fr-FR"/>
        </w:rPr>
        <w:t xml:space="preserve"> l’éclairage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60 % de la surface du plus petit rectangle circonscrit aux projections desdites s</w:t>
      </w:r>
      <w:r w:rsidR="002F31E0">
        <w:rPr>
          <w:lang w:val="fr-FR"/>
        </w:rPr>
        <w:t>urfaces de sortie de la lumière ;</w:t>
      </w:r>
    </w:p>
    <w:p w:rsidR="00B1465D" w:rsidRPr="00DD348A" w:rsidRDefault="00B1465D" w:rsidP="00A43337">
      <w:pPr>
        <w:pStyle w:val="SingleTxtG"/>
        <w:ind w:left="2835" w:hanging="1701"/>
        <w:rPr>
          <w:strike/>
          <w:lang w:val="fr-FR"/>
        </w:rPr>
      </w:pPr>
      <w:r w:rsidRPr="00DD348A">
        <w:rPr>
          <w:strike/>
          <w:lang w:val="fr-FR"/>
        </w:rPr>
        <w:t>2.15</w:t>
      </w:r>
      <w:r w:rsidRPr="00DD348A">
        <w:rPr>
          <w:strike/>
          <w:lang w:val="fr-FR"/>
        </w:rPr>
        <w:tab/>
      </w:r>
      <w:r w:rsidR="00F825BC" w:rsidRPr="00DD348A">
        <w:rPr>
          <w:strike/>
        </w:rPr>
        <w:t>“</w:t>
      </w:r>
      <w:r w:rsidRPr="00DD348A">
        <w:rPr>
          <w:i/>
          <w:strike/>
          <w:lang w:val="fr-FR"/>
        </w:rPr>
        <w:t>Distance entre deux feux</w:t>
      </w:r>
      <w:r w:rsidR="00F825BC" w:rsidRPr="00DD348A">
        <w:rPr>
          <w:strike/>
        </w:rPr>
        <w:t>”</w:t>
      </w:r>
      <w:r w:rsidRPr="00DD348A">
        <w:rPr>
          <w:strike/>
          <w:lang w:val="fr-FR"/>
        </w:rPr>
        <w:t xml:space="preserve">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B1465D" w:rsidRPr="00DD348A" w:rsidRDefault="00B1465D" w:rsidP="00A43337">
      <w:pPr>
        <w:pStyle w:val="SingleTxtG"/>
        <w:ind w:left="2835" w:hanging="1701"/>
        <w:rPr>
          <w:strike/>
          <w:lang w:val="fr-FR"/>
        </w:rPr>
      </w:pPr>
      <w:r w:rsidRPr="00DD348A">
        <w:rPr>
          <w:strike/>
          <w:lang w:val="fr-FR"/>
        </w:rPr>
        <w:t>2.16</w:t>
      </w:r>
      <w:r w:rsidRPr="00DD348A">
        <w:rPr>
          <w:strike/>
          <w:lang w:val="fr-FR"/>
        </w:rPr>
        <w:tab/>
      </w:r>
      <w:r w:rsidR="00F825BC" w:rsidRPr="00DD348A">
        <w:rPr>
          <w:strike/>
        </w:rPr>
        <w:t>“</w:t>
      </w:r>
      <w:r w:rsidRPr="00DD348A">
        <w:rPr>
          <w:i/>
          <w:strike/>
          <w:lang w:val="fr-FR"/>
        </w:rPr>
        <w:t xml:space="preserve">Feu </w:t>
      </w:r>
      <w:r w:rsidRPr="00DD348A">
        <w:rPr>
          <w:strike/>
          <w:lang w:val="fr-FR"/>
        </w:rPr>
        <w:t>facultatif</w:t>
      </w:r>
      <w:r w:rsidR="00F825BC" w:rsidRPr="00DD348A">
        <w:rPr>
          <w:strike/>
        </w:rPr>
        <w:t>”</w:t>
      </w:r>
      <w:r w:rsidRPr="00DD348A">
        <w:rPr>
          <w:strike/>
          <w:lang w:val="fr-FR"/>
        </w:rPr>
        <w:t>, un feu dont l’installation est laissée à la discrétion du constructeur.</w:t>
      </w:r>
    </w:p>
    <w:p w:rsidR="00B1465D" w:rsidRPr="00B1465D" w:rsidRDefault="00B1465D" w:rsidP="00A43337">
      <w:pPr>
        <w:pStyle w:val="SingleTxtG"/>
        <w:ind w:left="2835" w:hanging="1701"/>
        <w:rPr>
          <w:lang w:val="fr-FR"/>
        </w:rPr>
      </w:pPr>
      <w:r w:rsidRPr="00DD348A">
        <w:rPr>
          <w:strike/>
          <w:lang w:val="fr-FR"/>
        </w:rPr>
        <w:t>2.17</w:t>
      </w:r>
      <w:r w:rsidRPr="00B1465D">
        <w:rPr>
          <w:b/>
          <w:lang w:val="fr-FR"/>
        </w:rPr>
        <w:t>2.12</w:t>
      </w:r>
      <w:r w:rsidRPr="00B1465D">
        <w:rPr>
          <w:lang w:val="fr-FR"/>
        </w:rPr>
        <w:tab/>
      </w:r>
      <w:r w:rsidR="00F825BC" w:rsidRPr="00581236">
        <w:t>“</w:t>
      </w:r>
      <w:r w:rsidRPr="00B1465D">
        <w:rPr>
          <w:i/>
          <w:lang w:val="fr-FR"/>
        </w:rPr>
        <w:t>Témoin de fonctionnement</w:t>
      </w:r>
      <w:r w:rsidR="00F825BC" w:rsidRPr="00581236">
        <w:t>”</w:t>
      </w:r>
      <w:r w:rsidRPr="00B1465D">
        <w:rPr>
          <w:lang w:val="fr-FR"/>
        </w:rPr>
        <w:t>, un signal lumineux ou sonore (ou tout autre signal équivalent) indiquant qu’un dispositif a été actionné et qu’il fonctionne, correctement ou non.</w:t>
      </w:r>
    </w:p>
    <w:p w:rsidR="00B1465D" w:rsidRPr="00B1465D" w:rsidRDefault="00B1465D" w:rsidP="00A43337">
      <w:pPr>
        <w:pStyle w:val="SingleTxtG"/>
        <w:ind w:left="2835" w:hanging="1701"/>
        <w:rPr>
          <w:lang w:val="fr-FR"/>
        </w:rPr>
      </w:pPr>
      <w:r w:rsidRPr="00D26A8F">
        <w:rPr>
          <w:strike/>
          <w:lang w:val="fr-FR"/>
        </w:rPr>
        <w:t>2.18</w:t>
      </w:r>
      <w:r w:rsidRPr="00B1465D">
        <w:rPr>
          <w:b/>
          <w:lang w:val="fr-FR"/>
        </w:rPr>
        <w:t>2.13</w:t>
      </w:r>
      <w:r w:rsidRPr="00B1465D">
        <w:rPr>
          <w:lang w:val="fr-FR"/>
        </w:rPr>
        <w:tab/>
      </w:r>
      <w:r w:rsidR="00F825BC" w:rsidRPr="00581236">
        <w:t>“</w:t>
      </w:r>
      <w:r w:rsidRPr="00B1465D">
        <w:rPr>
          <w:i/>
          <w:lang w:val="fr-FR"/>
        </w:rPr>
        <w:t>Témoin d’enclenchement</w:t>
      </w:r>
      <w:r w:rsidR="00F825BC" w:rsidRPr="00581236">
        <w:t>”</w:t>
      </w:r>
      <w:r w:rsidRPr="00B1465D">
        <w:rPr>
          <w:lang w:val="fr-FR"/>
        </w:rPr>
        <w:t>, un témoin signalant qu’un dispositif a été actionné sans indiquer s’il fonctionne correctement ou non.</w:t>
      </w:r>
    </w:p>
    <w:p w:rsidR="00B1465D" w:rsidRPr="00B1465D" w:rsidRDefault="00B1465D" w:rsidP="00A43337">
      <w:pPr>
        <w:pStyle w:val="SingleTxtG"/>
        <w:ind w:left="2835" w:hanging="1701"/>
        <w:rPr>
          <w:lang w:val="fr-FR"/>
        </w:rPr>
      </w:pPr>
      <w:r w:rsidRPr="005E108C">
        <w:rPr>
          <w:strike/>
          <w:lang w:val="fr-FR"/>
        </w:rPr>
        <w:t>2.19</w:t>
      </w:r>
      <w:r w:rsidRPr="00B1465D">
        <w:rPr>
          <w:b/>
          <w:lang w:val="fr-FR"/>
        </w:rPr>
        <w:t>2.14</w:t>
      </w:r>
      <w:r w:rsidRPr="00B1465D">
        <w:rPr>
          <w:lang w:val="fr-FR"/>
        </w:rPr>
        <w:tab/>
      </w:r>
      <w:r w:rsidR="00F825BC" w:rsidRPr="00581236">
        <w:t>“</w:t>
      </w:r>
      <w:r w:rsidRPr="00B1465D">
        <w:rPr>
          <w:i/>
          <w:lang w:val="fr-FR"/>
        </w:rPr>
        <w:t>Couleur de la lumière émise par un dispositif</w:t>
      </w:r>
      <w:r w:rsidR="00F825BC" w:rsidRPr="00581236">
        <w:t>”</w:t>
      </w:r>
      <w:r w:rsidR="00D26A8F">
        <w:rPr>
          <w:lang w:val="fr-FR"/>
        </w:rPr>
        <w:t xml:space="preserve"> − </w:t>
      </w:r>
      <w:r w:rsidRPr="00B1465D">
        <w:rPr>
          <w:lang w:val="fr-FR"/>
        </w:rPr>
        <w:t>Les définitions de la couleur de la lumière émise données dans le Règlement n</w:t>
      </w:r>
      <w:r w:rsidRPr="00B1465D">
        <w:rPr>
          <w:vertAlign w:val="superscript"/>
          <w:lang w:val="fr-FR"/>
        </w:rPr>
        <w:t>o</w:t>
      </w:r>
      <w:r w:rsidRPr="00B1465D">
        <w:rPr>
          <w:lang w:val="fr-FR"/>
        </w:rPr>
        <w:t> 48 et ses séries d’amendements en vigueur à la date de la demande d’homologation de type s’appliquent au présent Règlement.</w:t>
      </w:r>
    </w:p>
    <w:p w:rsidR="00B1465D" w:rsidRPr="00D26A8F" w:rsidRDefault="00B1465D" w:rsidP="00A43337">
      <w:pPr>
        <w:pStyle w:val="SingleTxtG"/>
        <w:ind w:left="2835" w:hanging="1701"/>
        <w:rPr>
          <w:strike/>
          <w:lang w:val="fr-FR"/>
        </w:rPr>
      </w:pPr>
      <w:r w:rsidRPr="00D26A8F">
        <w:rPr>
          <w:strike/>
          <w:lang w:val="fr-FR"/>
        </w:rPr>
        <w:t>2.20</w:t>
      </w:r>
      <w:r w:rsidRPr="00D26A8F">
        <w:rPr>
          <w:strike/>
          <w:lang w:val="fr-FR"/>
        </w:rPr>
        <w:tab/>
      </w:r>
      <w:r w:rsidR="00F825BC" w:rsidRPr="00D26A8F">
        <w:rPr>
          <w:strike/>
        </w:rPr>
        <w:t>“</w:t>
      </w:r>
      <w:r w:rsidRPr="00D26A8F">
        <w:rPr>
          <w:strike/>
          <w:lang w:val="fr-FR"/>
        </w:rPr>
        <w:t>Dispositifs</w:t>
      </w:r>
      <w:r w:rsidRPr="00D26A8F">
        <w:rPr>
          <w:i/>
          <w:strike/>
          <w:lang w:val="fr-FR"/>
        </w:rPr>
        <w:t xml:space="preserve"> de signalisation autres que des feux</w:t>
      </w:r>
      <w:r w:rsidR="00F825BC" w:rsidRPr="00D26A8F">
        <w:rPr>
          <w:strike/>
        </w:rPr>
        <w:t>”</w:t>
      </w:r>
    </w:p>
    <w:p w:rsidR="00B1465D" w:rsidRPr="00B1465D" w:rsidRDefault="00B1465D" w:rsidP="00A43337">
      <w:pPr>
        <w:pStyle w:val="SingleTxtG"/>
        <w:ind w:left="2835" w:hanging="1701"/>
        <w:rPr>
          <w:lang w:val="fr-FR"/>
        </w:rPr>
      </w:pPr>
      <w:r w:rsidRPr="00D26A8F">
        <w:rPr>
          <w:strike/>
          <w:lang w:val="fr-FR"/>
        </w:rPr>
        <w:t>2.20.1</w:t>
      </w:r>
      <w:r w:rsidRPr="00B1465D">
        <w:rPr>
          <w:b/>
          <w:lang w:val="fr-FR"/>
        </w:rPr>
        <w:t>2.15</w:t>
      </w:r>
      <w:r w:rsidRPr="00B1465D">
        <w:rPr>
          <w:lang w:val="fr-FR"/>
        </w:rPr>
        <w:tab/>
      </w:r>
      <w:r w:rsidR="00F825BC" w:rsidRPr="00581236">
        <w:t>“</w:t>
      </w:r>
      <w:r w:rsidRPr="00B1465D">
        <w:rPr>
          <w:i/>
          <w:lang w:val="fr-FR"/>
        </w:rPr>
        <w:t>Plaque de signalisation arrière pour véhicules lents</w:t>
      </w:r>
      <w:r w:rsidR="00F825BC" w:rsidRPr="00581236">
        <w:t>”</w:t>
      </w:r>
      <w:r w:rsidR="00F825BC">
        <w:t>,</w:t>
      </w:r>
      <w:r w:rsidRPr="00B1465D">
        <w:rPr>
          <w:lang w:val="fr-FR"/>
        </w:rPr>
        <w:t xml:space="preserve"> une plaque triangulaire aux sommets tronqués ayant un dessin caractéristique et recouverte de matériaux ou dispositifs rétroréfléchissants et fluorescents (classe 1), ou de matériaux ou dispositifs rétroréfléchissants seulement (classe 2) (voir, par exemple, le Règlement n</w:t>
      </w:r>
      <w:r w:rsidRPr="00B1465D">
        <w:rPr>
          <w:vertAlign w:val="superscript"/>
          <w:lang w:val="fr-FR"/>
        </w:rPr>
        <w:t>o</w:t>
      </w:r>
      <w:r w:rsidRPr="00B1465D">
        <w:rPr>
          <w:lang w:val="fr-FR"/>
        </w:rPr>
        <w:t> </w:t>
      </w:r>
      <w:r w:rsidR="00D26A8F">
        <w:rPr>
          <w:lang w:val="fr-FR"/>
        </w:rPr>
        <w:t>69) ;</w:t>
      </w:r>
    </w:p>
    <w:p w:rsidR="00B1465D" w:rsidRPr="00D26A8F" w:rsidRDefault="00B1465D" w:rsidP="00A43337">
      <w:pPr>
        <w:pStyle w:val="SingleTxtG"/>
        <w:ind w:left="2835" w:hanging="1701"/>
        <w:rPr>
          <w:strike/>
          <w:lang w:val="fr-FR"/>
        </w:rPr>
      </w:pPr>
      <w:r w:rsidRPr="00D26A8F">
        <w:rPr>
          <w:strike/>
          <w:lang w:val="fr-FR"/>
        </w:rPr>
        <w:t>2.20.2</w:t>
      </w:r>
      <w:r w:rsidRPr="00D26A8F">
        <w:rPr>
          <w:strike/>
          <w:lang w:val="fr-FR"/>
        </w:rPr>
        <w:tab/>
      </w:r>
      <w:r w:rsidR="00F825BC" w:rsidRPr="00D26A8F">
        <w:rPr>
          <w:strike/>
        </w:rPr>
        <w:t>“</w:t>
      </w:r>
      <w:r w:rsidRPr="00D26A8F">
        <w:rPr>
          <w:i/>
          <w:strike/>
          <w:lang w:val="fr-FR"/>
        </w:rPr>
        <w:t>Marquage à grande visibilité</w:t>
      </w:r>
      <w:r w:rsidR="00F825BC" w:rsidRPr="00D26A8F">
        <w:rPr>
          <w:strike/>
        </w:rPr>
        <w:t>”</w:t>
      </w:r>
      <w:r w:rsidRPr="00D26A8F">
        <w:rPr>
          <w:strike/>
          <w:lang w:val="fr-FR"/>
        </w:rPr>
        <w:t>, un dispositif destiné à accroître la visibilité d’un véhicule vu de côté ou de l’arrière (ou dans le cas d’une remorque, de l’avant également), grâce à la réflexion de la lumière émanant d’une source lumineuse non reliée à ce véhicule, pour un observa</w:t>
      </w:r>
      <w:r w:rsidR="00D26A8F">
        <w:rPr>
          <w:strike/>
          <w:lang w:val="fr-FR"/>
        </w:rPr>
        <w:t>teur placé près de cette source ;</w:t>
      </w:r>
    </w:p>
    <w:p w:rsidR="00B1465D" w:rsidRPr="00D26A8F" w:rsidRDefault="00B1465D" w:rsidP="00A43337">
      <w:pPr>
        <w:pStyle w:val="SingleTxtG"/>
        <w:ind w:left="2835" w:hanging="1701"/>
        <w:rPr>
          <w:strike/>
          <w:lang w:val="fr-FR"/>
        </w:rPr>
      </w:pPr>
      <w:r w:rsidRPr="00D26A8F">
        <w:rPr>
          <w:strike/>
          <w:lang w:val="fr-FR"/>
        </w:rPr>
        <w:t>2.20.2.1</w:t>
      </w:r>
      <w:r w:rsidRPr="00D26A8F">
        <w:rPr>
          <w:strike/>
          <w:lang w:val="fr-FR"/>
        </w:rPr>
        <w:tab/>
      </w:r>
      <w:r w:rsidR="00F825BC" w:rsidRPr="00D26A8F">
        <w:rPr>
          <w:strike/>
        </w:rPr>
        <w:t>“</w:t>
      </w:r>
      <w:r w:rsidRPr="00D26A8F">
        <w:rPr>
          <w:strike/>
          <w:lang w:val="fr-FR"/>
        </w:rPr>
        <w:t>Marquage</w:t>
      </w:r>
      <w:r w:rsidRPr="00D26A8F">
        <w:rPr>
          <w:i/>
          <w:strike/>
          <w:lang w:val="fr-FR"/>
        </w:rPr>
        <w:t xml:space="preserve"> de gabarit</w:t>
      </w:r>
      <w:r w:rsidR="00F825BC" w:rsidRPr="00D26A8F">
        <w:rPr>
          <w:strike/>
        </w:rPr>
        <w:t>”</w:t>
      </w:r>
      <w:r w:rsidRPr="00D26A8F">
        <w:rPr>
          <w:strike/>
          <w:lang w:val="fr-FR"/>
        </w:rPr>
        <w:t>, un marquage à grande visibilité destiné à indiquer les dimensions horizontale et verticale (longueur, largeur et hauteur) d’un véh</w:t>
      </w:r>
      <w:r w:rsidR="00D26A8F">
        <w:rPr>
          <w:strike/>
          <w:lang w:val="fr-FR"/>
        </w:rPr>
        <w:t>icule ;</w:t>
      </w:r>
    </w:p>
    <w:p w:rsidR="00B1465D" w:rsidRPr="00D26A8F" w:rsidRDefault="00B1465D" w:rsidP="00A43337">
      <w:pPr>
        <w:pStyle w:val="SingleTxtG"/>
        <w:ind w:left="2835" w:hanging="1701"/>
        <w:rPr>
          <w:strike/>
          <w:lang w:val="fr-FR"/>
        </w:rPr>
      </w:pPr>
      <w:r w:rsidRPr="00D26A8F">
        <w:rPr>
          <w:strike/>
          <w:lang w:val="fr-FR"/>
        </w:rPr>
        <w:t>2.20.2.1.1</w:t>
      </w:r>
      <w:r w:rsidRPr="00D26A8F">
        <w:rPr>
          <w:strike/>
          <w:lang w:val="fr-FR"/>
        </w:rPr>
        <w:tab/>
      </w:r>
      <w:r w:rsidR="00F825BC" w:rsidRPr="00D26A8F">
        <w:rPr>
          <w:strike/>
        </w:rPr>
        <w:t>“</w:t>
      </w:r>
      <w:r w:rsidRPr="00D26A8F">
        <w:rPr>
          <w:i/>
          <w:strike/>
          <w:lang w:val="fr-FR"/>
        </w:rPr>
        <w:t>Marquage de gabarit intégral</w:t>
      </w:r>
      <w:r w:rsidR="00F825BC" w:rsidRPr="00D26A8F">
        <w:rPr>
          <w:strike/>
        </w:rPr>
        <w:t>”</w:t>
      </w:r>
      <w:r w:rsidRPr="00D26A8F">
        <w:rPr>
          <w:strike/>
          <w:lang w:val="fr-FR"/>
        </w:rPr>
        <w:t>, un marquage de gabarit qui indique la silhouette du véhicul</w:t>
      </w:r>
      <w:r w:rsidR="00D26A8F">
        <w:rPr>
          <w:strike/>
          <w:lang w:val="fr-FR"/>
        </w:rPr>
        <w:t>e au moyen d’une ligne continue ;</w:t>
      </w:r>
    </w:p>
    <w:p w:rsidR="00B1465D" w:rsidRPr="00D26A8F" w:rsidRDefault="00B1465D" w:rsidP="00A43337">
      <w:pPr>
        <w:pStyle w:val="SingleTxtG"/>
        <w:ind w:left="2835" w:hanging="1701"/>
        <w:rPr>
          <w:strike/>
          <w:lang w:val="fr-FR"/>
        </w:rPr>
      </w:pPr>
      <w:r w:rsidRPr="00D26A8F">
        <w:rPr>
          <w:strike/>
          <w:lang w:val="fr-FR"/>
        </w:rPr>
        <w:t>2.20.2.1.2</w:t>
      </w:r>
      <w:r w:rsidRPr="00D26A8F">
        <w:rPr>
          <w:strike/>
          <w:lang w:val="fr-FR"/>
        </w:rPr>
        <w:tab/>
      </w:r>
      <w:r w:rsidR="00F825BC" w:rsidRPr="00D26A8F">
        <w:rPr>
          <w:strike/>
        </w:rPr>
        <w:t>“</w:t>
      </w:r>
      <w:r w:rsidRPr="00D26A8F">
        <w:rPr>
          <w:i/>
          <w:strike/>
          <w:lang w:val="fr-FR"/>
        </w:rPr>
        <w:t>Marquage de gabarit partiel</w:t>
      </w:r>
      <w:r w:rsidR="00F825BC" w:rsidRPr="00D26A8F">
        <w:rPr>
          <w:strike/>
        </w:rPr>
        <w:t>”</w:t>
      </w:r>
      <w:r w:rsidRPr="00D26A8F">
        <w:rPr>
          <w:strike/>
          <w:lang w:val="fr-FR"/>
        </w:rPr>
        <w:t>, un marquage de gabarit qui indique la dimension horizontale du véhicule au moyen d’une ligne continue et la dimension verticale au moyen d’u</w:t>
      </w:r>
      <w:r w:rsidR="00D26A8F">
        <w:rPr>
          <w:strike/>
          <w:lang w:val="fr-FR"/>
        </w:rPr>
        <w:t>n marquage des coins supérieurs ;</w:t>
      </w:r>
    </w:p>
    <w:p w:rsidR="00B1465D" w:rsidRPr="00D26A8F" w:rsidRDefault="00B1465D" w:rsidP="00A43337">
      <w:pPr>
        <w:pStyle w:val="SingleTxtG"/>
        <w:ind w:left="2835" w:hanging="1701"/>
        <w:rPr>
          <w:i/>
          <w:strike/>
          <w:lang w:val="fr-FR"/>
        </w:rPr>
      </w:pPr>
      <w:r w:rsidRPr="00D26A8F">
        <w:rPr>
          <w:strike/>
          <w:lang w:val="fr-FR"/>
        </w:rPr>
        <w:t>2.20.2.2</w:t>
      </w:r>
      <w:r w:rsidRPr="00D26A8F">
        <w:rPr>
          <w:strike/>
          <w:lang w:val="fr-FR"/>
        </w:rPr>
        <w:tab/>
      </w:r>
      <w:r w:rsidR="00F825BC" w:rsidRPr="00D26A8F">
        <w:rPr>
          <w:strike/>
        </w:rPr>
        <w:t>“</w:t>
      </w:r>
      <w:r w:rsidRPr="00D26A8F">
        <w:rPr>
          <w:i/>
          <w:strike/>
          <w:lang w:val="fr-FR"/>
        </w:rPr>
        <w:t>Marquage linéaire</w:t>
      </w:r>
      <w:r w:rsidR="00F825BC" w:rsidRPr="00D26A8F">
        <w:rPr>
          <w:strike/>
        </w:rPr>
        <w:t>”</w:t>
      </w:r>
      <w:r w:rsidRPr="00D26A8F">
        <w:rPr>
          <w:i/>
          <w:strike/>
          <w:lang w:val="fr-FR"/>
        </w:rPr>
        <w:t xml:space="preserve">, </w:t>
      </w:r>
      <w:r w:rsidRPr="00D26A8F">
        <w:rPr>
          <w:strike/>
          <w:lang w:val="fr-FR"/>
        </w:rPr>
        <w:t>un marquage à grande visibilité destiné à indiquer les dimensions horizontales (longueur et largeur) d’un véhicule au moyen d’une ligne continue</w:t>
      </w:r>
      <w:r w:rsidR="00D26A8F">
        <w:rPr>
          <w:strike/>
          <w:lang w:val="fr-FR"/>
        </w:rPr>
        <w:t> ;</w:t>
      </w:r>
    </w:p>
    <w:p w:rsidR="00B1465D" w:rsidRPr="00B1465D" w:rsidRDefault="00B1465D" w:rsidP="00A43337">
      <w:pPr>
        <w:pStyle w:val="SingleTxtG"/>
        <w:ind w:left="2835" w:hanging="1701"/>
        <w:rPr>
          <w:lang w:val="fr-FR"/>
        </w:rPr>
      </w:pPr>
      <w:r w:rsidRPr="00D26A8F">
        <w:rPr>
          <w:strike/>
          <w:lang w:val="fr-FR"/>
        </w:rPr>
        <w:t>2.20.3</w:t>
      </w:r>
      <w:r w:rsidRPr="00B1465D">
        <w:rPr>
          <w:b/>
          <w:lang w:val="fr-FR"/>
        </w:rPr>
        <w:t>2.16</w:t>
      </w:r>
      <w:r w:rsidRPr="00B1465D">
        <w:rPr>
          <w:lang w:val="fr-FR"/>
        </w:rPr>
        <w:tab/>
        <w:t>“</w:t>
      </w:r>
      <w:r w:rsidRPr="00B1465D">
        <w:rPr>
          <w:i/>
          <w:iCs/>
          <w:lang w:val="fr-FR"/>
        </w:rPr>
        <w:t>Bandeau de signalisation</w:t>
      </w:r>
      <w:r w:rsidR="00F825BC" w:rsidRPr="00581236">
        <w:t>”</w:t>
      </w:r>
      <w:r w:rsidRPr="00B1465D">
        <w:rPr>
          <w:lang w:val="fr-FR"/>
        </w:rPr>
        <w:t>, dispositif servant à indiquer aux autres usagers de la route, la présence d’un véhicule exceptionnellement large ou long, qui est apposé à l’avant, à l’arrière ou sur les côtés.</w:t>
      </w:r>
    </w:p>
    <w:p w:rsidR="00B1465D" w:rsidRPr="00D26A8F" w:rsidRDefault="00B1465D" w:rsidP="00A43337">
      <w:pPr>
        <w:pStyle w:val="SingleTxtG"/>
        <w:ind w:left="2835" w:hanging="1701"/>
        <w:rPr>
          <w:strike/>
          <w:lang w:val="fr-FR"/>
        </w:rPr>
      </w:pPr>
      <w:bookmarkStart w:id="1" w:name="_Toc418079223"/>
      <w:r w:rsidRPr="00D26A8F">
        <w:rPr>
          <w:strike/>
          <w:lang w:val="fr-FR"/>
        </w:rPr>
        <w:t>2.21</w:t>
      </w:r>
      <w:r w:rsidRPr="00D26A8F">
        <w:rPr>
          <w:strike/>
          <w:lang w:val="fr-FR"/>
        </w:rPr>
        <w:tab/>
      </w:r>
      <w:r w:rsidR="00F825BC" w:rsidRPr="00D26A8F">
        <w:rPr>
          <w:strike/>
          <w:lang w:val="fr-FR"/>
        </w:rPr>
        <w:t>“</w:t>
      </w:r>
      <w:r w:rsidRPr="00D26A8F">
        <w:rPr>
          <w:i/>
          <w:strike/>
          <w:lang w:val="fr-FR"/>
        </w:rPr>
        <w:t>Plan H</w:t>
      </w:r>
      <w:r w:rsidR="00F825BC" w:rsidRPr="00D26A8F">
        <w:rPr>
          <w:strike/>
        </w:rPr>
        <w:t>”</w:t>
      </w:r>
      <w:r w:rsidRPr="00D26A8F">
        <w:rPr>
          <w:strike/>
          <w:lang w:val="fr-FR"/>
        </w:rPr>
        <w:t>, le plan horizontal contenan</w:t>
      </w:r>
      <w:r w:rsidR="002F31E0">
        <w:rPr>
          <w:strike/>
          <w:lang w:val="fr-FR"/>
        </w:rPr>
        <w:t>t le centre de référence du feu ;</w:t>
      </w:r>
    </w:p>
    <w:p w:rsidR="00B1465D" w:rsidRPr="00B1465D" w:rsidRDefault="00B1465D" w:rsidP="00A43337">
      <w:pPr>
        <w:pStyle w:val="SingleTxtG"/>
        <w:ind w:left="2835" w:hanging="1701"/>
        <w:rPr>
          <w:lang w:val="fr-FR"/>
        </w:rPr>
      </w:pPr>
      <w:r w:rsidRPr="00D26A8F">
        <w:rPr>
          <w:strike/>
          <w:lang w:val="fr-FR"/>
        </w:rPr>
        <w:t>2.22</w:t>
      </w:r>
      <w:r w:rsidRPr="00D26A8F">
        <w:rPr>
          <w:strike/>
          <w:lang w:val="fr-FR"/>
        </w:rPr>
        <w:tab/>
      </w:r>
      <w:r w:rsidR="00F825BC" w:rsidRPr="00D26A8F">
        <w:rPr>
          <w:strike/>
          <w:lang w:val="fr-FR"/>
        </w:rPr>
        <w:t>“</w:t>
      </w:r>
      <w:r w:rsidRPr="00D26A8F">
        <w:rPr>
          <w:i/>
          <w:strike/>
          <w:lang w:val="fr-FR"/>
        </w:rPr>
        <w:t>Paire</w:t>
      </w:r>
      <w:r w:rsidR="00F825BC" w:rsidRPr="00D26A8F">
        <w:rPr>
          <w:strike/>
        </w:rPr>
        <w:t>”</w:t>
      </w:r>
      <w:r w:rsidRPr="00D26A8F">
        <w:rPr>
          <w:strike/>
          <w:lang w:val="fr-FR"/>
        </w:rPr>
        <w:t>, un jeu de feux ayant la même fonction sur le côté droit et sur le côté gauche du véhicule.</w:t>
      </w:r>
      <w:r w:rsidR="00AE4AB6">
        <w:rPr>
          <w:lang w:val="fr-FR"/>
        </w:rPr>
        <w:t> »</w:t>
      </w:r>
    </w:p>
    <w:bookmarkEnd w:id="1"/>
    <w:p w:rsidR="00B1465D" w:rsidRPr="00B1465D" w:rsidRDefault="00B1465D" w:rsidP="00D26A8F">
      <w:pPr>
        <w:pStyle w:val="SingleTxtG"/>
        <w:keepNext/>
        <w:keepLines/>
        <w:ind w:left="2835" w:hanging="1701"/>
      </w:pPr>
      <w:r w:rsidRPr="00B1465D">
        <w:rPr>
          <w:i/>
        </w:rPr>
        <w:t>Paragraphe</w:t>
      </w:r>
      <w:r w:rsidR="00D26A8F">
        <w:rPr>
          <w:i/>
        </w:rPr>
        <w:t> </w:t>
      </w:r>
      <w:r w:rsidRPr="00B1465D">
        <w:rPr>
          <w:i/>
        </w:rPr>
        <w:t>5.2</w:t>
      </w:r>
      <w:r w:rsidRPr="00D26A8F">
        <w:t>,</w:t>
      </w:r>
      <w:r w:rsidRPr="00B1465D">
        <w:rPr>
          <w:i/>
        </w:rPr>
        <w:t xml:space="preserve"> </w:t>
      </w:r>
      <w:r w:rsidRPr="00B1465D">
        <w:t>modifier comme suit</w:t>
      </w:r>
      <w:r w:rsidR="00D26A8F">
        <w:t> :</w:t>
      </w:r>
    </w:p>
    <w:p w:rsidR="00B1465D" w:rsidRPr="00B1465D" w:rsidRDefault="00AE4AB6" w:rsidP="00A43337">
      <w:pPr>
        <w:pStyle w:val="SingleTxtG"/>
        <w:ind w:left="2835" w:hanging="1701"/>
        <w:rPr>
          <w:lang w:val="fr-FR"/>
        </w:rPr>
      </w:pPr>
      <w:r>
        <w:rPr>
          <w:lang w:val="fr-FR"/>
        </w:rPr>
        <w:t>« </w:t>
      </w:r>
      <w:r w:rsidR="00B1465D" w:rsidRPr="00B1465D">
        <w:rPr>
          <w:lang w:val="fr-FR"/>
        </w:rPr>
        <w:t>5.2</w:t>
      </w:r>
      <w:r w:rsidR="00B1465D" w:rsidRPr="00B1465D">
        <w:rPr>
          <w:lang w:val="fr-FR"/>
        </w:rPr>
        <w:tab/>
        <w:t xml:space="preserve">Les feux d’éclairage </w:t>
      </w:r>
      <w:r w:rsidR="00B1465D" w:rsidRPr="00B1465D">
        <w:rPr>
          <w:b/>
          <w:lang w:val="fr-FR"/>
        </w:rPr>
        <w:t>(feu de route, feu de croisement et feu de brouillard avant)</w:t>
      </w:r>
      <w:r w:rsidR="00B1465D" w:rsidRPr="00B1465D">
        <w:rPr>
          <w:lang w:val="fr-FR"/>
        </w:rPr>
        <w:t xml:space="preserve"> </w:t>
      </w:r>
      <w:r w:rsidR="00B1465D" w:rsidRPr="00D26A8F">
        <w:rPr>
          <w:strike/>
          <w:lang w:val="fr-FR"/>
        </w:rPr>
        <w:t xml:space="preserve">décrits aux paragraphes 2.6.8, 2.6.9 et 2.6.10 </w:t>
      </w:r>
      <w:r w:rsidR="00B1465D" w:rsidRPr="00B1465D">
        <w:rPr>
          <w:lang w:val="fr-FR"/>
        </w:rPr>
        <w:t>doivent être installés de façon que leur orientation puisse être correctement réglée sans difficultés.</w:t>
      </w:r>
      <w:r>
        <w:rPr>
          <w:lang w:val="fr-FR"/>
        </w:rPr>
        <w:t> »</w:t>
      </w:r>
    </w:p>
    <w:p w:rsidR="00B1465D" w:rsidRPr="00B1465D" w:rsidRDefault="00B1465D" w:rsidP="00D26A8F">
      <w:pPr>
        <w:pStyle w:val="SingleTxtG"/>
        <w:keepNext/>
        <w:keepLines/>
        <w:ind w:left="2835" w:hanging="1701"/>
        <w:rPr>
          <w:lang w:val="fr-FR"/>
        </w:rPr>
      </w:pPr>
      <w:r w:rsidRPr="00B1465D">
        <w:rPr>
          <w:i/>
          <w:lang w:val="fr-FR"/>
        </w:rPr>
        <w:t>Paragraphe</w:t>
      </w:r>
      <w:r w:rsidR="00D26A8F">
        <w:rPr>
          <w:i/>
          <w:lang w:val="fr-FR"/>
        </w:rPr>
        <w:t> </w:t>
      </w:r>
      <w:r w:rsidRPr="00B1465D">
        <w:rPr>
          <w:i/>
          <w:lang w:val="fr-FR"/>
        </w:rPr>
        <w:t>5.10</w:t>
      </w:r>
      <w:r w:rsidRPr="00D26A8F">
        <w:rPr>
          <w:lang w:val="fr-FR"/>
        </w:rPr>
        <w:t>,</w:t>
      </w:r>
      <w:r w:rsidRPr="00B1465D">
        <w:rPr>
          <w:i/>
          <w:lang w:val="fr-FR"/>
        </w:rPr>
        <w:t xml:space="preserve"> </w:t>
      </w:r>
      <w:r w:rsidRPr="00B1465D">
        <w:rPr>
          <w:lang w:val="fr-FR"/>
        </w:rPr>
        <w:t>modifier comme suit</w:t>
      </w:r>
      <w:r w:rsidR="00D26A8F">
        <w:rPr>
          <w:lang w:val="fr-FR"/>
        </w:rPr>
        <w:t> :</w:t>
      </w:r>
    </w:p>
    <w:p w:rsidR="00B1465D" w:rsidRPr="00B1465D" w:rsidRDefault="00AE4AB6" w:rsidP="00A43337">
      <w:pPr>
        <w:pStyle w:val="SingleTxtG"/>
        <w:ind w:left="2835" w:hanging="1701"/>
        <w:rPr>
          <w:lang w:val="fr-FR"/>
        </w:rPr>
      </w:pPr>
      <w:r>
        <w:rPr>
          <w:lang w:val="fr-FR"/>
        </w:rPr>
        <w:t>« </w:t>
      </w:r>
      <w:r w:rsidR="00B1465D" w:rsidRPr="00B1465D">
        <w:rPr>
          <w:lang w:val="fr-FR"/>
        </w:rPr>
        <w:t>5.10</w:t>
      </w:r>
      <w:r w:rsidR="00B1465D" w:rsidRPr="00B1465D">
        <w:rPr>
          <w:lang w:val="fr-FR"/>
        </w:rPr>
        <w:tab/>
        <w:t>Aucune lumière rouge pouvant prêter à confusion ne doit être émise vers l’avant par un feu tel que défini au paragraphe </w:t>
      </w:r>
      <w:r w:rsidR="00B1465D" w:rsidRPr="00D26A8F">
        <w:rPr>
          <w:strike/>
          <w:lang w:val="fr-FR"/>
        </w:rPr>
        <w:t>2.6</w:t>
      </w:r>
      <w:r w:rsidR="00B1465D" w:rsidRPr="00B1465D">
        <w:rPr>
          <w:b/>
          <w:lang w:val="fr-FR"/>
        </w:rPr>
        <w:t>2.3</w:t>
      </w:r>
      <w:r w:rsidR="00B1465D" w:rsidRPr="00B1465D">
        <w:rPr>
          <w:lang w:val="fr-FR"/>
        </w:rPr>
        <w:t xml:space="preserve"> et aucune lumière blanche pouvant prêter à confusion ne doit être émise vers l’arrière par un feu tel que défini au paragraphe </w:t>
      </w:r>
      <w:r w:rsidR="00B1465D" w:rsidRPr="00D26A8F">
        <w:rPr>
          <w:strike/>
          <w:lang w:val="fr-FR"/>
        </w:rPr>
        <w:t>2.6</w:t>
      </w:r>
      <w:r w:rsidR="00B1465D" w:rsidRPr="00B1465D">
        <w:rPr>
          <w:b/>
          <w:lang w:val="fr-FR"/>
        </w:rPr>
        <w:t>2.3</w:t>
      </w:r>
      <w:r w:rsidR="00B1465D" w:rsidRPr="00B1465D">
        <w:rPr>
          <w:lang w:val="fr-FR"/>
        </w:rPr>
        <w:t>. Il ne doit pas être tenu compte des dispositifs d’éclairage installés à l’intérieur du véhicule. En cas de doute, la conformité doit être vérifiée comme suit</w:t>
      </w:r>
      <w:r w:rsidR="00D26A8F">
        <w:rPr>
          <w:lang w:val="fr-FR"/>
        </w:rPr>
        <w:t> :</w:t>
      </w:r>
    </w:p>
    <w:p w:rsidR="00B1465D" w:rsidRPr="00B1465D" w:rsidRDefault="00B1465D" w:rsidP="00581236">
      <w:pPr>
        <w:pStyle w:val="SingleTxtG"/>
        <w:ind w:left="2268" w:hanging="1134"/>
      </w:pPr>
      <w:r w:rsidRPr="00B1465D">
        <w:rPr>
          <w:lang w:val="fr-FR"/>
        </w:rPr>
        <w:tab/>
      </w:r>
      <w:r w:rsidR="00D26A8F">
        <w:rPr>
          <w:lang w:val="fr-FR"/>
        </w:rPr>
        <w:tab/>
      </w:r>
      <w:r w:rsidR="00D26A8F">
        <w:rPr>
          <w:lang w:val="fr-FR"/>
        </w:rPr>
        <w:tab/>
      </w:r>
      <w:r w:rsidRPr="00B1465D">
        <w:t>…</w:t>
      </w:r>
      <w:r w:rsidR="00AE4AB6">
        <w:t> »</w:t>
      </w:r>
    </w:p>
    <w:p w:rsidR="00B1465D" w:rsidRPr="00B1465D" w:rsidRDefault="00B1465D" w:rsidP="00D26A8F">
      <w:pPr>
        <w:pStyle w:val="SingleTxtG"/>
        <w:keepNext/>
        <w:keepLines/>
        <w:ind w:left="2835" w:hanging="1701"/>
      </w:pPr>
      <w:r w:rsidRPr="00B1465D">
        <w:rPr>
          <w:i/>
        </w:rPr>
        <w:t>Paragraphe 6.2.5</w:t>
      </w:r>
      <w:r w:rsidRPr="00D26A8F">
        <w:t>,</w:t>
      </w:r>
      <w:r w:rsidRPr="00B1465D">
        <w:rPr>
          <w:i/>
        </w:rPr>
        <w:t xml:space="preserve"> </w:t>
      </w:r>
      <w:r w:rsidRPr="00B1465D">
        <w:t>modifier comme suit</w:t>
      </w:r>
      <w:r w:rsidR="00D26A8F">
        <w:t> :</w:t>
      </w:r>
    </w:p>
    <w:p w:rsidR="00B1465D" w:rsidRPr="00B1465D" w:rsidRDefault="00D26A8F" w:rsidP="00A43337">
      <w:pPr>
        <w:pStyle w:val="SingleTxtG"/>
        <w:ind w:left="2835" w:hanging="1701"/>
        <w:rPr>
          <w:lang w:val="fr-FR"/>
        </w:rPr>
      </w:pPr>
      <w:r>
        <w:rPr>
          <w:lang w:val="fr-FR"/>
        </w:rPr>
        <w:t>« </w:t>
      </w:r>
      <w:r w:rsidR="00B1465D" w:rsidRPr="00B1465D">
        <w:rPr>
          <w:lang w:val="fr-FR"/>
        </w:rPr>
        <w:t>6.2.5</w:t>
      </w:r>
      <w:r w:rsidR="00B1465D" w:rsidRPr="00B1465D">
        <w:rPr>
          <w:lang w:val="fr-FR"/>
        </w:rPr>
        <w:tab/>
      </w:r>
      <w:r>
        <w:rPr>
          <w:lang w:val="fr-FR"/>
        </w:rPr>
        <w:t xml:space="preserve">Visibilité géométrique : </w:t>
      </w:r>
      <w:r w:rsidR="00B1465D" w:rsidRPr="00B1465D">
        <w:rPr>
          <w:lang w:val="fr-FR"/>
        </w:rPr>
        <w:t>Ell</w:t>
      </w:r>
      <w:r w:rsidR="002F31E0">
        <w:rPr>
          <w:lang w:val="fr-FR"/>
        </w:rPr>
        <w:t>e est déterminée par les angles </w:t>
      </w:r>
      <w:r w:rsidR="00B1465D" w:rsidRPr="00B1465D">
        <w:rPr>
          <w:lang w:val="fr-FR"/>
        </w:rPr>
        <w:t>α</w:t>
      </w:r>
      <w:r w:rsidR="002F31E0">
        <w:rPr>
          <w:lang w:val="fr-FR"/>
        </w:rPr>
        <w:t xml:space="preserve"> et </w:t>
      </w:r>
      <w:r w:rsidR="00B1465D" w:rsidRPr="00B1465D">
        <w:rPr>
          <w:lang w:val="fr-FR"/>
        </w:rPr>
        <w:t xml:space="preserve">β </w:t>
      </w:r>
      <w:r w:rsidR="00B1465D" w:rsidRPr="005E108C">
        <w:rPr>
          <w:strike/>
          <w:lang w:val="fr-FR"/>
        </w:rPr>
        <w:t>tels qu’ils sont définis au paragraphe 2.11</w:t>
      </w:r>
      <w:r w:rsidR="00B1465D" w:rsidRPr="00B1465D">
        <w:rPr>
          <w:lang w:val="fr-FR"/>
        </w:rPr>
        <w:t>.</w:t>
      </w:r>
    </w:p>
    <w:p w:rsidR="00B1465D" w:rsidRPr="00B1465D" w:rsidRDefault="00D26A8F" w:rsidP="005E108C">
      <w:pPr>
        <w:pStyle w:val="SingleTxtG"/>
        <w:ind w:left="3402"/>
        <w:rPr>
          <w:lang w:val="fr-FR"/>
        </w:rPr>
      </w:pPr>
      <w:r>
        <w:rPr>
          <w:lang w:val="fr-FR"/>
        </w:rPr>
        <w:tab/>
      </w:r>
      <w:r w:rsidR="00B1465D" w:rsidRPr="00B1465D">
        <w:rPr>
          <w:lang w:val="en-GB"/>
        </w:rPr>
        <w:t>α</w:t>
      </w:r>
      <w:r w:rsidR="00B1465D" w:rsidRPr="00B1465D">
        <w:rPr>
          <w:lang w:val="fr-FR"/>
        </w:rPr>
        <w:t xml:space="preserve"> = 15° vers le haut et 10° vers le bas,</w:t>
      </w:r>
    </w:p>
    <w:p w:rsidR="00B1465D" w:rsidRPr="00B1465D" w:rsidRDefault="00D26A8F" w:rsidP="005E108C">
      <w:pPr>
        <w:pStyle w:val="SingleTxtG"/>
        <w:ind w:left="3402"/>
        <w:rPr>
          <w:lang w:val="fr-FR"/>
        </w:rPr>
      </w:pPr>
      <w:r>
        <w:rPr>
          <w:lang w:val="fr-FR"/>
        </w:rPr>
        <w:tab/>
      </w:r>
      <w:r w:rsidR="00B1465D" w:rsidRPr="00B1465D">
        <w:rPr>
          <w:lang w:val="en-GB"/>
        </w:rPr>
        <w:t>β</w:t>
      </w:r>
      <w:r w:rsidR="00B1465D" w:rsidRPr="00B1465D">
        <w:rPr>
          <w:lang w:val="fr-FR"/>
        </w:rPr>
        <w:t xml:space="preserve"> = 45° vers l’extérieur et 5° vers l’intérieur.</w:t>
      </w:r>
    </w:p>
    <w:p w:rsidR="00B1465D" w:rsidRPr="00B1465D" w:rsidRDefault="00D26A8F" w:rsidP="00D26A8F">
      <w:pPr>
        <w:pStyle w:val="SingleTxtG"/>
        <w:ind w:left="2835"/>
        <w:rPr>
          <w:lang w:val="fr-FR"/>
        </w:rPr>
      </w:pPr>
      <w:r>
        <w:rPr>
          <w:lang w:val="fr-FR"/>
        </w:rPr>
        <w:tab/>
      </w:r>
      <w:r w:rsidR="00B1465D" w:rsidRPr="00B1465D">
        <w:rPr>
          <w:lang w:val="fr-FR"/>
        </w:rPr>
        <w:t>À l’intérieur de ce champ, pratiquement toute la surface apparente du feu doit être visible.</w:t>
      </w:r>
    </w:p>
    <w:p w:rsidR="00B1465D" w:rsidRPr="00B1465D" w:rsidRDefault="00D26A8F" w:rsidP="00D26A8F">
      <w:pPr>
        <w:pStyle w:val="SingleTxtG"/>
        <w:ind w:left="2835"/>
        <w:rPr>
          <w:lang w:val="fr-FR"/>
        </w:rPr>
      </w:pPr>
      <w:r>
        <w:rPr>
          <w:lang w:val="fr-FR"/>
        </w:rPr>
        <w:tab/>
      </w:r>
      <w:r w:rsidR="00B1465D" w:rsidRPr="00B1465D">
        <w:rPr>
          <w:lang w:val="fr-FR"/>
        </w:rPr>
        <w:t>La présence de parois ou d’autres éléments au voisinage du projecteur ne doit pas causer d’effets secondaires gênants pour les autres usagers de la route.</w:t>
      </w:r>
      <w:r>
        <w:rPr>
          <w:lang w:val="fr-FR"/>
        </w:rPr>
        <w:t> »</w:t>
      </w:r>
    </w:p>
    <w:p w:rsidR="00B1465D" w:rsidRPr="00B1465D" w:rsidRDefault="00B1465D" w:rsidP="00D26A8F">
      <w:pPr>
        <w:pStyle w:val="SingleTxtG"/>
        <w:keepNext/>
        <w:keepLines/>
        <w:ind w:left="2835" w:hanging="1701"/>
        <w:rPr>
          <w:lang w:val="fr-FR"/>
        </w:rPr>
      </w:pPr>
      <w:r w:rsidRPr="00B1465D">
        <w:rPr>
          <w:i/>
          <w:lang w:val="fr-FR"/>
        </w:rPr>
        <w:t>Paragraphe 6.3.5</w:t>
      </w:r>
      <w:r w:rsidRPr="00D26A8F">
        <w:rPr>
          <w:lang w:val="fr-FR"/>
        </w:rPr>
        <w:t>,</w:t>
      </w:r>
      <w:r w:rsidRPr="00B1465D">
        <w:rPr>
          <w:i/>
          <w:lang w:val="fr-FR"/>
        </w:rPr>
        <w:t xml:space="preserve"> </w:t>
      </w:r>
      <w:r w:rsidRPr="00B1465D">
        <w:rPr>
          <w:lang w:val="fr-FR"/>
        </w:rPr>
        <w:t>modifier comme suit</w:t>
      </w:r>
      <w:r w:rsidR="00D26A8F">
        <w:rPr>
          <w:lang w:val="fr-FR"/>
        </w:rPr>
        <w:t> :</w:t>
      </w:r>
    </w:p>
    <w:p w:rsidR="00B1465D" w:rsidRPr="00B1465D" w:rsidRDefault="00D26A8F" w:rsidP="00A43337">
      <w:pPr>
        <w:pStyle w:val="SingleTxtG"/>
        <w:ind w:left="2835" w:hanging="1701"/>
        <w:rPr>
          <w:lang w:val="fr-FR"/>
        </w:rPr>
      </w:pPr>
      <w:r>
        <w:rPr>
          <w:lang w:val="fr-FR"/>
        </w:rPr>
        <w:t>« </w:t>
      </w:r>
      <w:r w:rsidR="00B1465D" w:rsidRPr="00B1465D">
        <w:rPr>
          <w:lang w:val="fr-FR"/>
        </w:rPr>
        <w:t>6.3.5</w:t>
      </w:r>
      <w:r w:rsidR="00B1465D" w:rsidRPr="00B1465D">
        <w:rPr>
          <w:lang w:val="fr-FR"/>
        </w:rPr>
        <w:tab/>
      </w:r>
      <w:r>
        <w:rPr>
          <w:lang w:val="fr-FR"/>
        </w:rPr>
        <w:t>Visibilité géométrique :</w:t>
      </w:r>
      <w:r w:rsidR="00B1465D" w:rsidRPr="00B1465D">
        <w:rPr>
          <w:lang w:val="fr-FR"/>
        </w:rPr>
        <w:tab/>
        <w:t>Elle est déterminée par les an</w:t>
      </w:r>
      <w:r w:rsidR="005E108C">
        <w:rPr>
          <w:lang w:val="fr-FR"/>
        </w:rPr>
        <w:t>gles α et </w:t>
      </w:r>
      <w:r w:rsidR="00B1465D" w:rsidRPr="00B1465D">
        <w:rPr>
          <w:lang w:val="fr-FR"/>
        </w:rPr>
        <w:t xml:space="preserve">β </w:t>
      </w:r>
      <w:r w:rsidR="00B1465D" w:rsidRPr="005E108C">
        <w:rPr>
          <w:strike/>
          <w:lang w:val="fr-FR"/>
        </w:rPr>
        <w:t>tels qu’ils sont définis au paragraphe 2.11</w:t>
      </w:r>
      <w:r w:rsidR="00B1465D" w:rsidRPr="00B1465D">
        <w:rPr>
          <w:lang w:val="fr-FR"/>
        </w:rPr>
        <w:t>.</w:t>
      </w:r>
    </w:p>
    <w:p w:rsidR="00B1465D" w:rsidRPr="00B1465D" w:rsidRDefault="00D26A8F" w:rsidP="005E108C">
      <w:pPr>
        <w:pStyle w:val="SingleTxtG"/>
        <w:ind w:left="3402"/>
        <w:rPr>
          <w:lang w:val="fr-FR"/>
        </w:rPr>
      </w:pPr>
      <w:r>
        <w:rPr>
          <w:lang w:val="fr-FR"/>
        </w:rPr>
        <w:tab/>
      </w:r>
      <w:r w:rsidR="00B1465D" w:rsidRPr="00B1465D">
        <w:rPr>
          <w:lang w:val="fr-FR"/>
        </w:rPr>
        <w:t>α =</w:t>
      </w:r>
      <w:r>
        <w:rPr>
          <w:lang w:val="fr-FR"/>
        </w:rPr>
        <w:t xml:space="preserve"> 5° vers le haut et vers le bas ;</w:t>
      </w:r>
    </w:p>
    <w:p w:rsidR="00B1465D" w:rsidRPr="00B1465D" w:rsidRDefault="00B1465D" w:rsidP="005E108C">
      <w:pPr>
        <w:pStyle w:val="SingleTxtG"/>
        <w:ind w:left="3402"/>
        <w:rPr>
          <w:lang w:val="fr-FR"/>
        </w:rPr>
      </w:pPr>
      <w:r w:rsidRPr="00B1465D">
        <w:rPr>
          <w:lang w:val="fr-FR"/>
        </w:rPr>
        <w:t>β = 45° vers l’extérieur et 5° vers l’intérieur.</w:t>
      </w:r>
      <w:r w:rsidR="00D26A8F">
        <w:rPr>
          <w:lang w:val="fr-FR"/>
        </w:rPr>
        <w:t> »</w:t>
      </w:r>
    </w:p>
    <w:p w:rsidR="00B1465D" w:rsidRPr="00B1465D" w:rsidRDefault="00B1465D" w:rsidP="00D26A8F">
      <w:pPr>
        <w:pStyle w:val="SingleTxtG"/>
        <w:keepNext/>
        <w:keepLines/>
        <w:ind w:left="2835" w:hanging="1701"/>
        <w:rPr>
          <w:lang w:val="fr-FR"/>
        </w:rPr>
      </w:pPr>
      <w:r w:rsidRPr="00B1465D">
        <w:rPr>
          <w:i/>
          <w:lang w:val="fr-FR"/>
        </w:rPr>
        <w:t>Paragraphe 6.4.5</w:t>
      </w:r>
      <w:r w:rsidRPr="00075EE8">
        <w:rPr>
          <w:lang w:val="fr-FR"/>
        </w:rPr>
        <w:t>,</w:t>
      </w:r>
      <w:r w:rsidRPr="00B1465D">
        <w:rPr>
          <w:i/>
          <w:lang w:val="fr-FR"/>
        </w:rPr>
        <w:t xml:space="preserve"> </w:t>
      </w:r>
      <w:r w:rsidRPr="00B1465D">
        <w:rPr>
          <w:lang w:val="fr-FR"/>
        </w:rPr>
        <w:t>modifier comme suit</w:t>
      </w:r>
      <w:r w:rsidR="00D26A8F">
        <w:rPr>
          <w:lang w:val="fr-FR"/>
        </w:rPr>
        <w:t> :</w:t>
      </w:r>
    </w:p>
    <w:p w:rsidR="00B1465D" w:rsidRPr="00B1465D" w:rsidRDefault="00D26A8F" w:rsidP="00A43337">
      <w:pPr>
        <w:pStyle w:val="SingleTxtG"/>
        <w:ind w:left="2835" w:hanging="1701"/>
        <w:rPr>
          <w:lang w:val="fr-FR"/>
        </w:rPr>
      </w:pPr>
      <w:r>
        <w:rPr>
          <w:lang w:val="fr-FR"/>
        </w:rPr>
        <w:t>« </w:t>
      </w:r>
      <w:r w:rsidR="00B1465D" w:rsidRPr="00B1465D">
        <w:rPr>
          <w:lang w:val="fr-FR"/>
        </w:rPr>
        <w:t>6.4.5</w:t>
      </w:r>
      <w:r w:rsidR="00B1465D" w:rsidRPr="00B1465D">
        <w:rPr>
          <w:lang w:val="fr-FR"/>
        </w:rPr>
        <w:tab/>
      </w:r>
      <w:r w:rsidR="00075EE8">
        <w:rPr>
          <w:lang w:val="fr-FR"/>
        </w:rPr>
        <w:t>Visibilité géométrique :</w:t>
      </w:r>
      <w:r w:rsidR="00B1465D" w:rsidRPr="00B1465D">
        <w:rPr>
          <w:lang w:val="fr-FR"/>
        </w:rPr>
        <w:tab/>
        <w:t>Ell</w:t>
      </w:r>
      <w:r w:rsidR="00075EE8">
        <w:rPr>
          <w:lang w:val="fr-FR"/>
        </w:rPr>
        <w:t>e est déterminée par les angles </w:t>
      </w:r>
      <w:r w:rsidR="00B1465D" w:rsidRPr="00B1465D">
        <w:rPr>
          <w:lang w:val="en-GB"/>
        </w:rPr>
        <w:t>α</w:t>
      </w:r>
      <w:r w:rsidR="00B1465D" w:rsidRPr="00B1465D">
        <w:rPr>
          <w:lang w:val="fr-FR"/>
        </w:rPr>
        <w:t xml:space="preserve"> et</w:t>
      </w:r>
      <w:r w:rsidR="00075EE8">
        <w:rPr>
          <w:lang w:val="fr-FR"/>
        </w:rPr>
        <w:t> </w:t>
      </w:r>
      <w:r w:rsidR="00B1465D" w:rsidRPr="00B1465D">
        <w:rPr>
          <w:lang w:val="en-GB"/>
        </w:rPr>
        <w:t>β</w:t>
      </w:r>
      <w:r w:rsidR="00B1465D" w:rsidRPr="00B1465D">
        <w:rPr>
          <w:lang w:val="fr-FR"/>
        </w:rPr>
        <w:t xml:space="preserve"> </w:t>
      </w:r>
      <w:r w:rsidR="00B1465D" w:rsidRPr="005E108C">
        <w:rPr>
          <w:strike/>
          <w:lang w:val="fr-FR"/>
        </w:rPr>
        <w:t>tels qu’ils sont définis au paragraphe 2.11</w:t>
      </w:r>
      <w:r w:rsidR="00B1465D" w:rsidRPr="00B1465D">
        <w:rPr>
          <w:lang w:val="fr-FR"/>
        </w:rPr>
        <w:t>.</w:t>
      </w:r>
    </w:p>
    <w:p w:rsidR="00B1465D" w:rsidRPr="00B1465D" w:rsidRDefault="00D26A8F" w:rsidP="005E108C">
      <w:pPr>
        <w:pStyle w:val="SingleTxtG"/>
        <w:ind w:left="3402"/>
        <w:rPr>
          <w:lang w:val="fr-FR"/>
        </w:rPr>
      </w:pPr>
      <w:r>
        <w:rPr>
          <w:lang w:val="fr-FR"/>
        </w:rPr>
        <w:tab/>
      </w:r>
      <w:r w:rsidR="00B1465D" w:rsidRPr="00B1465D">
        <w:rPr>
          <w:lang w:val="en-GB"/>
        </w:rPr>
        <w:t>α</w:t>
      </w:r>
      <w:r w:rsidR="00B1465D" w:rsidRPr="00B1465D">
        <w:rPr>
          <w:lang w:val="fr-FR"/>
        </w:rPr>
        <w:t xml:space="preserve"> = 15° </w:t>
      </w:r>
      <w:r>
        <w:rPr>
          <w:lang w:val="fr-FR"/>
        </w:rPr>
        <w:t>vers le haut et 5° vers le bas ;</w:t>
      </w:r>
    </w:p>
    <w:p w:rsidR="00B1465D" w:rsidRPr="00B1465D" w:rsidRDefault="00D26A8F" w:rsidP="005E108C">
      <w:pPr>
        <w:pStyle w:val="SingleTxtG"/>
        <w:ind w:left="3402"/>
        <w:rPr>
          <w:lang w:val="fr-FR"/>
        </w:rPr>
      </w:pPr>
      <w:r>
        <w:rPr>
          <w:lang w:val="fr-FR"/>
        </w:rPr>
        <w:tab/>
      </w:r>
      <w:r w:rsidR="00B1465D" w:rsidRPr="00B1465D">
        <w:rPr>
          <w:lang w:val="en-GB"/>
        </w:rPr>
        <w:t>β</w:t>
      </w:r>
      <w:r w:rsidR="00B1465D" w:rsidRPr="00B1465D">
        <w:rPr>
          <w:lang w:val="fr-FR"/>
        </w:rPr>
        <w:t xml:space="preserve"> = 45° à droite et à ga</w:t>
      </w:r>
      <w:r>
        <w:rPr>
          <w:lang w:val="fr-FR"/>
        </w:rPr>
        <w:t>uche s’il n’y a qu’un seul feu ;</w:t>
      </w:r>
    </w:p>
    <w:p w:rsidR="00B1465D" w:rsidRPr="00B1465D" w:rsidRDefault="00D26A8F" w:rsidP="005E108C">
      <w:pPr>
        <w:pStyle w:val="SingleTxtG"/>
        <w:ind w:left="3402"/>
        <w:rPr>
          <w:lang w:val="fr-FR"/>
        </w:rPr>
      </w:pPr>
      <w:r>
        <w:rPr>
          <w:lang w:val="fr-FR"/>
        </w:rPr>
        <w:tab/>
      </w:r>
      <w:r w:rsidR="00B1465D" w:rsidRPr="00B1465D">
        <w:rPr>
          <w:lang w:val="en-GB"/>
        </w:rPr>
        <w:t>β</w:t>
      </w:r>
      <w:r w:rsidR="00B1465D" w:rsidRPr="00B1465D">
        <w:rPr>
          <w:lang w:val="fr-FR"/>
        </w:rPr>
        <w:t xml:space="preserve"> = 45° vers l’extérieur et 30° vers l’intérieur s’il y a deux feux.</w:t>
      </w:r>
      <w:r>
        <w:rPr>
          <w:lang w:val="fr-FR"/>
        </w:rPr>
        <w:t> »</w:t>
      </w:r>
    </w:p>
    <w:p w:rsidR="00B1465D" w:rsidRPr="00B1465D" w:rsidRDefault="00B1465D" w:rsidP="00075EE8">
      <w:pPr>
        <w:pStyle w:val="SingleTxtG"/>
        <w:keepNext/>
        <w:keepLines/>
        <w:ind w:left="2835" w:hanging="1701"/>
        <w:rPr>
          <w:lang w:val="fr-FR"/>
        </w:rPr>
      </w:pPr>
      <w:r w:rsidRPr="00B1465D">
        <w:rPr>
          <w:i/>
          <w:lang w:val="fr-FR"/>
        </w:rPr>
        <w:t>Annexe</w:t>
      </w:r>
      <w:r w:rsidR="00075EE8">
        <w:rPr>
          <w:i/>
          <w:lang w:val="fr-FR"/>
        </w:rPr>
        <w:t> </w:t>
      </w:r>
      <w:r w:rsidRPr="00B1465D">
        <w:rPr>
          <w:i/>
          <w:lang w:val="fr-FR"/>
        </w:rPr>
        <w:t>1, point</w:t>
      </w:r>
      <w:r w:rsidR="00075EE8">
        <w:rPr>
          <w:i/>
          <w:lang w:val="fr-FR"/>
        </w:rPr>
        <w:t> </w:t>
      </w:r>
      <w:r w:rsidRPr="00B1465D">
        <w:rPr>
          <w:i/>
          <w:lang w:val="fr-FR"/>
        </w:rPr>
        <w:t>6</w:t>
      </w:r>
      <w:r w:rsidRPr="00B1465D">
        <w:rPr>
          <w:lang w:val="fr-FR"/>
        </w:rPr>
        <w:t>, modifier comme suit</w:t>
      </w:r>
      <w:r w:rsidR="00075EE8">
        <w:rPr>
          <w:lang w:val="fr-FR"/>
        </w:rPr>
        <w:t> :</w:t>
      </w:r>
    </w:p>
    <w:p w:rsidR="00B1465D" w:rsidRPr="00B1465D" w:rsidRDefault="00075EE8" w:rsidP="00A43337">
      <w:pPr>
        <w:pStyle w:val="SingleTxtG"/>
        <w:ind w:left="2835" w:hanging="1701"/>
        <w:rPr>
          <w:lang w:val="fr-FR"/>
        </w:rPr>
      </w:pPr>
      <w:r>
        <w:t>« </w:t>
      </w:r>
      <w:r w:rsidR="00B1465D" w:rsidRPr="00B1465D">
        <w:t xml:space="preserve">6. </w:t>
      </w:r>
      <w:r w:rsidR="00B1465D" w:rsidRPr="00B1465D">
        <w:tab/>
      </w:r>
      <w:r w:rsidR="002F31E0">
        <w:rPr>
          <w:lang w:val="fr-FR"/>
        </w:rPr>
        <w:t>Feux équivalents :</w:t>
      </w:r>
      <w:r w:rsidR="00B1465D" w:rsidRPr="00B1465D">
        <w:rPr>
          <w:lang w:val="fr-FR"/>
        </w:rPr>
        <w:t xml:space="preserve"> oui/non</w:t>
      </w:r>
      <w:r w:rsidR="00B1465D" w:rsidRPr="00B1465D">
        <w:rPr>
          <w:vertAlign w:val="superscript"/>
          <w:lang w:val="fr-FR"/>
        </w:rPr>
        <w:t>2</w:t>
      </w:r>
      <w:r w:rsidR="00B1465D" w:rsidRPr="00B1465D">
        <w:rPr>
          <w:lang w:val="fr-FR"/>
        </w:rPr>
        <w:t xml:space="preserve"> (voir paragraphe </w:t>
      </w:r>
      <w:r w:rsidR="00B1465D" w:rsidRPr="00075EE8">
        <w:rPr>
          <w:strike/>
          <w:lang w:val="fr-FR"/>
        </w:rPr>
        <w:t>2.6.1</w:t>
      </w:r>
      <w:r w:rsidR="00B1465D" w:rsidRPr="00B1465D">
        <w:rPr>
          <w:b/>
          <w:lang w:val="fr-FR"/>
        </w:rPr>
        <w:t>2.3.1</w:t>
      </w:r>
      <w:r w:rsidR="00B1465D" w:rsidRPr="00B1465D">
        <w:rPr>
          <w:lang w:val="fr-FR"/>
        </w:rPr>
        <w:t>)</w:t>
      </w:r>
      <w:r w:rsidR="00B77F84">
        <w:rPr>
          <w:lang w:val="fr-FR"/>
        </w:rPr>
        <w:t>.</w:t>
      </w:r>
      <w:r>
        <w:rPr>
          <w:lang w:val="fr-FR"/>
        </w:rPr>
        <w:t> »</w:t>
      </w:r>
    </w:p>
    <w:p w:rsidR="00B1465D" w:rsidRPr="00075EE8" w:rsidRDefault="00B1465D" w:rsidP="00075EE8">
      <w:pPr>
        <w:pStyle w:val="HChG"/>
      </w:pPr>
      <w:r w:rsidRPr="00B1465D">
        <w:rPr>
          <w:lang w:val="fr-FR"/>
        </w:rPr>
        <w:tab/>
      </w:r>
      <w:r w:rsidRPr="00075EE8">
        <w:t>II.</w:t>
      </w:r>
      <w:r w:rsidRPr="00075EE8">
        <w:tab/>
        <w:t>Justification</w:t>
      </w:r>
    </w:p>
    <w:p w:rsidR="00B1465D" w:rsidRPr="00B1465D" w:rsidRDefault="00075EE8" w:rsidP="00075EE8">
      <w:pPr>
        <w:pStyle w:val="SingleTxtG"/>
        <w:rPr>
          <w:lang w:val="fr-FR"/>
        </w:rPr>
      </w:pPr>
      <w:r w:rsidRPr="00075EE8">
        <w:t>1.</w:t>
      </w:r>
      <w:r w:rsidRPr="00075EE8">
        <w:tab/>
      </w:r>
      <w:r w:rsidR="00B1465D" w:rsidRPr="00B1465D">
        <w:rPr>
          <w:lang w:val="fr-FR"/>
        </w:rPr>
        <w:t xml:space="preserve">La présente proposition fait partie de la première série de propositions d’amendements visant à simplifier les Règlements relatifs à l’éclairage et à la signalisation lumineuse. Dans le cadre des nouveaux Règlements simplifiés élaborés par le groupe de travail informel SLR, il est nécessaire de revoir les définitions figurant dans plusieurs Règlements relatifs à l’installation des dispositifs. À sa soixante-dix-huitième session, </w:t>
      </w:r>
      <w:r>
        <w:rPr>
          <w:lang w:val="fr-FR"/>
        </w:rPr>
        <w:t>le </w:t>
      </w:r>
      <w:r w:rsidR="00B1465D" w:rsidRPr="00B1465D">
        <w:rPr>
          <w:lang w:val="fr-FR"/>
        </w:rPr>
        <w:t xml:space="preserve">GRE a estimé que toutes les définitions identiques devraient être regroupées en un seul endroit et que le Règlement </w:t>
      </w:r>
      <w:r w:rsidRPr="00075EE8">
        <w:rPr>
          <w:rFonts w:eastAsia="MS Mincho"/>
          <w:szCs w:val="22"/>
          <w:lang w:val="fr-FR"/>
        </w:rPr>
        <w:t>n</w:t>
      </w:r>
      <w:r w:rsidRPr="00075EE8">
        <w:rPr>
          <w:rFonts w:eastAsia="MS Mincho"/>
          <w:szCs w:val="22"/>
          <w:vertAlign w:val="superscript"/>
          <w:lang w:val="fr-FR"/>
        </w:rPr>
        <w:t>o</w:t>
      </w:r>
      <w:r>
        <w:rPr>
          <w:lang w:val="fr-FR"/>
        </w:rPr>
        <w:t> </w:t>
      </w:r>
      <w:r w:rsidR="00B1465D" w:rsidRPr="00B1465D">
        <w:rPr>
          <w:lang w:val="fr-FR"/>
        </w:rPr>
        <w:t>48 serait le meilleur choix à cette fin.</w:t>
      </w:r>
    </w:p>
    <w:p w:rsidR="00B1465D" w:rsidRPr="00B1465D" w:rsidRDefault="00075EE8" w:rsidP="00075EE8">
      <w:pPr>
        <w:pStyle w:val="SingleTxtG"/>
        <w:rPr>
          <w:lang w:val="fr-FR"/>
        </w:rPr>
      </w:pPr>
      <w:r>
        <w:rPr>
          <w:lang w:val="fr-FR"/>
        </w:rPr>
        <w:t>2.</w:t>
      </w:r>
      <w:r>
        <w:rPr>
          <w:lang w:val="fr-FR"/>
        </w:rPr>
        <w:tab/>
      </w:r>
      <w:r w:rsidR="00B1465D" w:rsidRPr="00B1465D">
        <w:rPr>
          <w:lang w:val="fr-FR"/>
        </w:rPr>
        <w:t xml:space="preserve">Le groupe de travail informel SLR a décidé que, du moins pour la première phase du processus de simplification, les définitions qui n’étaient pas tout à fait identiques à celles du Règlement </w:t>
      </w:r>
      <w:r w:rsidRPr="00075EE8">
        <w:rPr>
          <w:rFonts w:eastAsia="MS Mincho"/>
          <w:szCs w:val="22"/>
          <w:lang w:val="fr-FR"/>
        </w:rPr>
        <w:t>n</w:t>
      </w:r>
      <w:r w:rsidRPr="00075EE8">
        <w:rPr>
          <w:rFonts w:eastAsia="MS Mincho"/>
          <w:szCs w:val="22"/>
          <w:vertAlign w:val="superscript"/>
          <w:lang w:val="fr-FR"/>
        </w:rPr>
        <w:t>o</w:t>
      </w:r>
      <w:r>
        <w:rPr>
          <w:lang w:val="fr-FR"/>
        </w:rPr>
        <w:t> </w:t>
      </w:r>
      <w:r w:rsidR="00B1465D" w:rsidRPr="00B1465D">
        <w:rPr>
          <w:lang w:val="fr-FR"/>
        </w:rPr>
        <w:t xml:space="preserve">48 devraient rester dans le Règlement </w:t>
      </w:r>
      <w:r w:rsidRPr="00075EE8">
        <w:rPr>
          <w:rFonts w:eastAsia="MS Mincho"/>
          <w:szCs w:val="22"/>
          <w:lang w:val="fr-FR"/>
        </w:rPr>
        <w:t>n</w:t>
      </w:r>
      <w:r w:rsidRPr="00075EE8">
        <w:rPr>
          <w:rFonts w:eastAsia="MS Mincho"/>
          <w:szCs w:val="22"/>
          <w:vertAlign w:val="superscript"/>
          <w:lang w:val="fr-FR"/>
        </w:rPr>
        <w:t>o</w:t>
      </w:r>
      <w:r>
        <w:rPr>
          <w:lang w:val="fr-FR"/>
        </w:rPr>
        <w:t> </w:t>
      </w:r>
      <w:r w:rsidR="00B1465D" w:rsidRPr="00B1465D">
        <w:rPr>
          <w:lang w:val="fr-FR"/>
        </w:rPr>
        <w:t xml:space="preserve">86, même si elles avaient la même signification. </w:t>
      </w:r>
    </w:p>
    <w:p w:rsidR="00B1465D" w:rsidRPr="00B1465D" w:rsidRDefault="00075EE8" w:rsidP="00075EE8">
      <w:pPr>
        <w:pStyle w:val="SingleTxtG"/>
        <w:rPr>
          <w:lang w:val="fr-FR"/>
        </w:rPr>
      </w:pPr>
      <w:r>
        <w:rPr>
          <w:lang w:val="fr-FR"/>
        </w:rPr>
        <w:t>3.</w:t>
      </w:r>
      <w:r>
        <w:rPr>
          <w:lang w:val="fr-FR"/>
        </w:rPr>
        <w:tab/>
      </w:r>
      <w:r w:rsidR="00B1465D" w:rsidRPr="00B1465D">
        <w:rPr>
          <w:lang w:val="fr-FR"/>
        </w:rPr>
        <w:t xml:space="preserve">La présente proposition vise à apporter les modifications nécessaires au </w:t>
      </w:r>
      <w:r>
        <w:rPr>
          <w:lang w:val="fr-FR"/>
        </w:rPr>
        <w:t>Règlement </w:t>
      </w:r>
      <w:r w:rsidRPr="00075EE8">
        <w:rPr>
          <w:rFonts w:eastAsia="MS Mincho"/>
          <w:szCs w:val="22"/>
          <w:lang w:val="fr-FR"/>
        </w:rPr>
        <w:t>n</w:t>
      </w:r>
      <w:r w:rsidRPr="00075EE8">
        <w:rPr>
          <w:rFonts w:eastAsia="MS Mincho"/>
          <w:szCs w:val="22"/>
          <w:vertAlign w:val="superscript"/>
          <w:lang w:val="fr-FR"/>
        </w:rPr>
        <w:t>o</w:t>
      </w:r>
      <w:r>
        <w:rPr>
          <w:lang w:val="fr-FR"/>
        </w:rPr>
        <w:t> </w:t>
      </w:r>
      <w:r w:rsidR="00B1465D" w:rsidRPr="00B1465D">
        <w:rPr>
          <w:lang w:val="fr-FR"/>
        </w:rPr>
        <w:t>86.</w:t>
      </w:r>
    </w:p>
    <w:p w:rsidR="00B1465D" w:rsidRPr="00075EE8" w:rsidRDefault="00075EE8" w:rsidP="00075EE8">
      <w:pPr>
        <w:pStyle w:val="SingleTxtG"/>
        <w:spacing w:before="240" w:after="0"/>
        <w:jc w:val="center"/>
        <w:rPr>
          <w:u w:val="single"/>
        </w:rPr>
      </w:pPr>
      <w:r>
        <w:rPr>
          <w:u w:val="single"/>
        </w:rPr>
        <w:tab/>
      </w:r>
      <w:r>
        <w:rPr>
          <w:u w:val="single"/>
        </w:rPr>
        <w:tab/>
      </w:r>
      <w:r>
        <w:rPr>
          <w:u w:val="single"/>
        </w:rPr>
        <w:tab/>
      </w:r>
    </w:p>
    <w:sectPr w:rsidR="00B1465D" w:rsidRPr="00075EE8" w:rsidSect="00B1465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B0" w:rsidRDefault="003B1AB0" w:rsidP="00F95C08">
      <w:pPr>
        <w:spacing w:line="240" w:lineRule="auto"/>
      </w:pPr>
    </w:p>
  </w:endnote>
  <w:endnote w:type="continuationSeparator" w:id="0">
    <w:p w:rsidR="003B1AB0" w:rsidRPr="00AC3823" w:rsidRDefault="003B1AB0" w:rsidP="00AC3823">
      <w:pPr>
        <w:pStyle w:val="Footer"/>
      </w:pPr>
    </w:p>
  </w:endnote>
  <w:endnote w:type="continuationNotice" w:id="1">
    <w:p w:rsidR="003B1AB0" w:rsidRDefault="003B1A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D" w:rsidRPr="00B1465D" w:rsidRDefault="00B1465D" w:rsidP="00B1465D">
    <w:pPr>
      <w:pStyle w:val="Footer"/>
      <w:tabs>
        <w:tab w:val="right" w:pos="9638"/>
      </w:tabs>
    </w:pPr>
    <w:r w:rsidRPr="00B1465D">
      <w:rPr>
        <w:b/>
        <w:sz w:val="18"/>
      </w:rPr>
      <w:fldChar w:fldCharType="begin"/>
    </w:r>
    <w:r w:rsidRPr="00B1465D">
      <w:rPr>
        <w:b/>
        <w:sz w:val="18"/>
      </w:rPr>
      <w:instrText xml:space="preserve"> PAGE  \* MERGEFORMAT </w:instrText>
    </w:r>
    <w:r w:rsidRPr="00B1465D">
      <w:rPr>
        <w:b/>
        <w:sz w:val="18"/>
      </w:rPr>
      <w:fldChar w:fldCharType="separate"/>
    </w:r>
    <w:r w:rsidR="004B1691">
      <w:rPr>
        <w:b/>
        <w:noProof/>
        <w:sz w:val="18"/>
      </w:rPr>
      <w:t>4</w:t>
    </w:r>
    <w:r w:rsidRPr="00B1465D">
      <w:rPr>
        <w:b/>
        <w:sz w:val="18"/>
      </w:rPr>
      <w:fldChar w:fldCharType="end"/>
    </w:r>
    <w:r>
      <w:rPr>
        <w:b/>
        <w:sz w:val="18"/>
      </w:rPr>
      <w:tab/>
    </w:r>
    <w:r>
      <w:t>GE.18-01745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D" w:rsidRPr="00B1465D" w:rsidRDefault="00B1465D" w:rsidP="00B1465D">
    <w:pPr>
      <w:pStyle w:val="Footer"/>
      <w:tabs>
        <w:tab w:val="right" w:pos="9638"/>
      </w:tabs>
      <w:rPr>
        <w:b/>
        <w:sz w:val="18"/>
      </w:rPr>
    </w:pPr>
    <w:r>
      <w:t>GE.18-01745</w:t>
    </w:r>
    <w:r>
      <w:tab/>
    </w:r>
    <w:r w:rsidRPr="00B1465D">
      <w:rPr>
        <w:b/>
        <w:sz w:val="18"/>
      </w:rPr>
      <w:fldChar w:fldCharType="begin"/>
    </w:r>
    <w:r w:rsidRPr="00B1465D">
      <w:rPr>
        <w:b/>
        <w:sz w:val="18"/>
      </w:rPr>
      <w:instrText xml:space="preserve"> PAGE  \* MERGEFORMAT </w:instrText>
    </w:r>
    <w:r w:rsidRPr="00B1465D">
      <w:rPr>
        <w:b/>
        <w:sz w:val="18"/>
      </w:rPr>
      <w:fldChar w:fldCharType="separate"/>
    </w:r>
    <w:r w:rsidR="004B1691">
      <w:rPr>
        <w:b/>
        <w:noProof/>
        <w:sz w:val="18"/>
      </w:rPr>
      <w:t>5</w:t>
    </w:r>
    <w:r w:rsidRPr="00B146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1465D" w:rsidRDefault="00B1465D" w:rsidP="00B1465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18-01745  (F)    150218    150218</w:t>
    </w:r>
    <w:r>
      <w:rPr>
        <w:sz w:val="20"/>
      </w:rPr>
      <w:br/>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sidRPr="00B1465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B0" w:rsidRPr="00AC3823" w:rsidRDefault="003B1AB0" w:rsidP="00AC3823">
      <w:pPr>
        <w:pStyle w:val="Footer"/>
        <w:tabs>
          <w:tab w:val="right" w:pos="2155"/>
        </w:tabs>
        <w:spacing w:after="80" w:line="240" w:lineRule="atLeast"/>
        <w:ind w:left="680"/>
        <w:rPr>
          <w:u w:val="single"/>
        </w:rPr>
      </w:pPr>
      <w:r>
        <w:rPr>
          <w:u w:val="single"/>
        </w:rPr>
        <w:tab/>
      </w:r>
    </w:p>
  </w:footnote>
  <w:footnote w:type="continuationSeparator" w:id="0">
    <w:p w:rsidR="003B1AB0" w:rsidRPr="00AC3823" w:rsidRDefault="003B1AB0" w:rsidP="00AC3823">
      <w:pPr>
        <w:pStyle w:val="Footer"/>
        <w:tabs>
          <w:tab w:val="right" w:pos="2155"/>
        </w:tabs>
        <w:spacing w:after="80" w:line="240" w:lineRule="atLeast"/>
        <w:ind w:left="680"/>
        <w:rPr>
          <w:u w:val="single"/>
        </w:rPr>
      </w:pPr>
      <w:r>
        <w:rPr>
          <w:u w:val="single"/>
        </w:rPr>
        <w:tab/>
      </w:r>
    </w:p>
  </w:footnote>
  <w:footnote w:type="continuationNotice" w:id="1">
    <w:p w:rsidR="003B1AB0" w:rsidRPr="00AC3823" w:rsidRDefault="003B1AB0">
      <w:pPr>
        <w:spacing w:line="240" w:lineRule="auto"/>
        <w:rPr>
          <w:sz w:val="2"/>
          <w:szCs w:val="2"/>
        </w:rPr>
      </w:pPr>
    </w:p>
  </w:footnote>
  <w:footnote w:id="2">
    <w:p w:rsidR="00B1465D" w:rsidRPr="00B1465D" w:rsidRDefault="00B1465D" w:rsidP="00B1465D">
      <w:pPr>
        <w:pStyle w:val="FootnoteText"/>
      </w:pPr>
      <w:r w:rsidRPr="00A90EA8">
        <w:tab/>
      </w:r>
      <w:r w:rsidRPr="00D7465F">
        <w:rPr>
          <w:rStyle w:val="FootnoteReference"/>
          <w:sz w:val="20"/>
          <w:lang w:val="fr-FR"/>
        </w:rPr>
        <w:t>*</w:t>
      </w:r>
      <w:r w:rsidRPr="00D7465F">
        <w:rPr>
          <w:sz w:val="20"/>
          <w:lang w:val="fr-FR"/>
        </w:rPr>
        <w:tab/>
      </w:r>
      <w:r w:rsidRPr="00D7465F">
        <w:rPr>
          <w:lang w:val="fr-FR"/>
        </w:rPr>
        <w:t>Conformément au programme de travail du Comité des transports intérieurs pour la période 2014</w:t>
      </w:r>
      <w:r>
        <w:rPr>
          <w:lang w:val="fr-FR"/>
        </w:rPr>
        <w:noBreakHyphen/>
      </w:r>
      <w:r w:rsidRPr="00D7465F">
        <w:rPr>
          <w:lang w:val="fr-FR"/>
        </w:rPr>
        <w:t xml:space="preserve">2018 (ECE/TRANS/240, par. 105, et ECE/TRANS/2014/26, </w:t>
      </w:r>
      <w:r>
        <w:rPr>
          <w:lang w:val="fr-FR"/>
        </w:rPr>
        <w:t>module</w:t>
      </w:r>
      <w:r w:rsidRPr="00D7465F">
        <w:rPr>
          <w:lang w:val="fr-FR"/>
        </w:rPr>
        <w:t xml:space="preserve">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D" w:rsidRPr="00B1465D" w:rsidRDefault="003538CC">
    <w:pPr>
      <w:pStyle w:val="Header"/>
    </w:pPr>
    <w:fldSimple w:instr=" TITLE  \* MERGEFORMAT ">
      <w:r>
        <w:t>ECE/TRANS/WP.29/GRE/2018/12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5D" w:rsidRPr="00B1465D" w:rsidRDefault="003538CC" w:rsidP="00B1465D">
    <w:pPr>
      <w:pStyle w:val="Header"/>
      <w:jc w:val="right"/>
    </w:pPr>
    <w:fldSimple w:instr=" TITLE  \* MERGEFORMAT ">
      <w:r>
        <w:t>ECE/TRANS/WP.29/GRE/2018/12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0"/>
    <w:rsid w:val="00017F94"/>
    <w:rsid w:val="00023842"/>
    <w:rsid w:val="000334F9"/>
    <w:rsid w:val="00045FEB"/>
    <w:rsid w:val="00075EE8"/>
    <w:rsid w:val="0007796D"/>
    <w:rsid w:val="000B7790"/>
    <w:rsid w:val="00111F2F"/>
    <w:rsid w:val="00134D3C"/>
    <w:rsid w:val="0014365E"/>
    <w:rsid w:val="00143C66"/>
    <w:rsid w:val="00176178"/>
    <w:rsid w:val="00177982"/>
    <w:rsid w:val="001F525A"/>
    <w:rsid w:val="001F7F57"/>
    <w:rsid w:val="00223272"/>
    <w:rsid w:val="0024779E"/>
    <w:rsid w:val="00257168"/>
    <w:rsid w:val="002744B8"/>
    <w:rsid w:val="002832AC"/>
    <w:rsid w:val="0028616D"/>
    <w:rsid w:val="002D7C93"/>
    <w:rsid w:val="002F31E0"/>
    <w:rsid w:val="00305801"/>
    <w:rsid w:val="003538CC"/>
    <w:rsid w:val="003916DE"/>
    <w:rsid w:val="003B1AB0"/>
    <w:rsid w:val="003F125C"/>
    <w:rsid w:val="00441C3B"/>
    <w:rsid w:val="00446FE5"/>
    <w:rsid w:val="00452396"/>
    <w:rsid w:val="004837D8"/>
    <w:rsid w:val="004A7EB9"/>
    <w:rsid w:val="004B1691"/>
    <w:rsid w:val="004E468C"/>
    <w:rsid w:val="004F1948"/>
    <w:rsid w:val="004F4E56"/>
    <w:rsid w:val="005505B7"/>
    <w:rsid w:val="00573BE5"/>
    <w:rsid w:val="00574938"/>
    <w:rsid w:val="00581236"/>
    <w:rsid w:val="00586ED3"/>
    <w:rsid w:val="00596AA9"/>
    <w:rsid w:val="005E108C"/>
    <w:rsid w:val="0067769C"/>
    <w:rsid w:val="006D4521"/>
    <w:rsid w:val="0071601D"/>
    <w:rsid w:val="007A62E6"/>
    <w:rsid w:val="007F20FA"/>
    <w:rsid w:val="0080684C"/>
    <w:rsid w:val="00871C75"/>
    <w:rsid w:val="008776DC"/>
    <w:rsid w:val="008A5BA4"/>
    <w:rsid w:val="008F6811"/>
    <w:rsid w:val="009446C0"/>
    <w:rsid w:val="00957B17"/>
    <w:rsid w:val="009705C8"/>
    <w:rsid w:val="009C1CF4"/>
    <w:rsid w:val="009F6B74"/>
    <w:rsid w:val="00A1295F"/>
    <w:rsid w:val="00A30353"/>
    <w:rsid w:val="00A43337"/>
    <w:rsid w:val="00AC3823"/>
    <w:rsid w:val="00AE323C"/>
    <w:rsid w:val="00AE4AB6"/>
    <w:rsid w:val="00AF0CB5"/>
    <w:rsid w:val="00B00181"/>
    <w:rsid w:val="00B00B0D"/>
    <w:rsid w:val="00B1465D"/>
    <w:rsid w:val="00B55BA0"/>
    <w:rsid w:val="00B765F7"/>
    <w:rsid w:val="00B77F84"/>
    <w:rsid w:val="00BA0CA9"/>
    <w:rsid w:val="00BC6BD4"/>
    <w:rsid w:val="00C02897"/>
    <w:rsid w:val="00C24EE4"/>
    <w:rsid w:val="00C97039"/>
    <w:rsid w:val="00D26A8F"/>
    <w:rsid w:val="00D3439C"/>
    <w:rsid w:val="00D635D3"/>
    <w:rsid w:val="00DB1831"/>
    <w:rsid w:val="00DD348A"/>
    <w:rsid w:val="00DD3BFD"/>
    <w:rsid w:val="00DF6678"/>
    <w:rsid w:val="00E0299A"/>
    <w:rsid w:val="00E2794C"/>
    <w:rsid w:val="00E85C74"/>
    <w:rsid w:val="00E965F1"/>
    <w:rsid w:val="00EA6547"/>
    <w:rsid w:val="00EF2E22"/>
    <w:rsid w:val="00EF54EF"/>
    <w:rsid w:val="00F35BAF"/>
    <w:rsid w:val="00F660DF"/>
    <w:rsid w:val="00F825BC"/>
    <w:rsid w:val="00F94664"/>
    <w:rsid w:val="00F9573C"/>
    <w:rsid w:val="00F95C08"/>
    <w:rsid w:val="00FF2C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5A708A-D399-4F10-98D4-1AE002C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3658</Words>
  <Characters>20856</Characters>
  <Application>Microsoft Office Word</Application>
  <DocSecurity>0</DocSecurity>
  <Lines>173</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ECE/TRANS/WP.29/GRE/2018/12</vt:lpstr>
      <vt:lpstr>ECE/TRANS/WP.29/GRE/2018/12</vt:lpstr>
    </vt:vector>
  </TitlesOfParts>
  <Company>DCM</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ECE/TRANS/WP.29/GRE/2018/12</dc:title>
  <dc:subject/>
  <dc:creator>Edith BOURION</dc:creator>
  <cp:keywords/>
  <cp:lastModifiedBy>Benedicte Boudol</cp:lastModifiedBy>
  <cp:revision>2</cp:revision>
  <cp:lastPrinted>2018-02-15T12:32:00Z</cp:lastPrinted>
  <dcterms:created xsi:type="dcterms:W3CDTF">2018-02-26T09:29:00Z</dcterms:created>
  <dcterms:modified xsi:type="dcterms:W3CDTF">2018-02-26T09:29:00Z</dcterms:modified>
</cp:coreProperties>
</file>