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32C19" w:rsidTr="002D4325">
        <w:trPr>
          <w:cantSplit/>
          <w:trHeight w:hRule="exact" w:val="851"/>
        </w:trPr>
        <w:tc>
          <w:tcPr>
            <w:tcW w:w="1276" w:type="dxa"/>
            <w:tcBorders>
              <w:bottom w:val="single" w:sz="4" w:space="0" w:color="auto"/>
            </w:tcBorders>
            <w:shd w:val="clear" w:color="auto" w:fill="auto"/>
            <w:vAlign w:val="bottom"/>
          </w:tcPr>
          <w:p w:rsidR="00B56E9C" w:rsidRPr="00B32C19" w:rsidRDefault="00B56E9C" w:rsidP="00C30A89">
            <w:pPr>
              <w:pStyle w:val="Heading1"/>
            </w:pPr>
            <w:bookmarkStart w:id="0" w:name="_GoBack"/>
            <w:bookmarkEnd w:id="0"/>
          </w:p>
        </w:tc>
        <w:tc>
          <w:tcPr>
            <w:tcW w:w="2268" w:type="dxa"/>
            <w:tcBorders>
              <w:bottom w:val="single" w:sz="4" w:space="0" w:color="auto"/>
            </w:tcBorders>
            <w:shd w:val="clear" w:color="auto" w:fill="auto"/>
            <w:vAlign w:val="bottom"/>
          </w:tcPr>
          <w:p w:rsidR="00B56E9C" w:rsidRPr="00B32C19" w:rsidRDefault="00B56E9C" w:rsidP="002D4325">
            <w:pPr>
              <w:spacing w:after="80" w:line="300" w:lineRule="exact"/>
              <w:rPr>
                <w:b/>
                <w:sz w:val="24"/>
                <w:szCs w:val="24"/>
              </w:rPr>
            </w:pPr>
            <w:r w:rsidRPr="00B32C19">
              <w:rPr>
                <w:sz w:val="28"/>
                <w:szCs w:val="28"/>
              </w:rPr>
              <w:t>United Nations</w:t>
            </w:r>
          </w:p>
        </w:tc>
        <w:tc>
          <w:tcPr>
            <w:tcW w:w="6095" w:type="dxa"/>
            <w:gridSpan w:val="2"/>
            <w:tcBorders>
              <w:bottom w:val="single" w:sz="4" w:space="0" w:color="auto"/>
            </w:tcBorders>
            <w:shd w:val="clear" w:color="auto" w:fill="auto"/>
            <w:vAlign w:val="bottom"/>
          </w:tcPr>
          <w:p w:rsidR="00B56E9C" w:rsidRPr="00B32C19" w:rsidRDefault="00BE1AFD" w:rsidP="00F5344A">
            <w:pPr>
              <w:jc w:val="right"/>
            </w:pPr>
            <w:r w:rsidRPr="00B32C19">
              <w:rPr>
                <w:sz w:val="40"/>
              </w:rPr>
              <w:t>ECE</w:t>
            </w:r>
            <w:r w:rsidRPr="00B32C19">
              <w:t>/TRANS/WP.29/GRB/</w:t>
            </w:r>
            <w:r w:rsidR="006C4614" w:rsidRPr="00B32C19">
              <w:t>6</w:t>
            </w:r>
            <w:r w:rsidR="00F5344A" w:rsidRPr="00B32C19">
              <w:t>5</w:t>
            </w:r>
          </w:p>
        </w:tc>
      </w:tr>
      <w:tr w:rsidR="00B56E9C" w:rsidRPr="00B32C19" w:rsidTr="002D4325">
        <w:trPr>
          <w:cantSplit/>
          <w:trHeight w:hRule="exact" w:val="2835"/>
        </w:trPr>
        <w:tc>
          <w:tcPr>
            <w:tcW w:w="1276" w:type="dxa"/>
            <w:tcBorders>
              <w:top w:val="single" w:sz="4" w:space="0" w:color="auto"/>
              <w:bottom w:val="single" w:sz="12" w:space="0" w:color="auto"/>
            </w:tcBorders>
            <w:shd w:val="clear" w:color="auto" w:fill="auto"/>
          </w:tcPr>
          <w:p w:rsidR="00B56E9C" w:rsidRPr="00B32C19" w:rsidRDefault="007C4324" w:rsidP="002D4325">
            <w:pPr>
              <w:spacing w:before="120"/>
            </w:pPr>
            <w:r w:rsidRPr="00B32C19">
              <w:rPr>
                <w:noProof/>
                <w:lang w:eastAsia="zh-CN"/>
              </w:rPr>
              <w:drawing>
                <wp:inline distT="0" distB="0" distL="0" distR="0" wp14:anchorId="63C5BAEF" wp14:editId="33A13C71">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32C19" w:rsidRDefault="00D773DF" w:rsidP="002D4325">
            <w:pPr>
              <w:spacing w:before="120" w:line="420" w:lineRule="exact"/>
              <w:rPr>
                <w:sz w:val="40"/>
                <w:szCs w:val="40"/>
              </w:rPr>
            </w:pPr>
            <w:r w:rsidRPr="00B32C19">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B32C19" w:rsidRDefault="00BE1AFD" w:rsidP="002D4325">
            <w:pPr>
              <w:spacing w:before="240" w:line="240" w:lineRule="exact"/>
            </w:pPr>
            <w:r w:rsidRPr="00B32C19">
              <w:t>Distr.: General</w:t>
            </w:r>
          </w:p>
          <w:p w:rsidR="002C00F5" w:rsidRPr="00B32C19" w:rsidRDefault="00AD1B1B" w:rsidP="002D4325">
            <w:pPr>
              <w:spacing w:line="240" w:lineRule="exact"/>
            </w:pPr>
            <w:r>
              <w:t>7</w:t>
            </w:r>
            <w:r w:rsidR="00B06703" w:rsidRPr="00B32C19">
              <w:t xml:space="preserve"> </w:t>
            </w:r>
            <w:r>
              <w:t xml:space="preserve">March </w:t>
            </w:r>
            <w:r w:rsidR="0041302F" w:rsidRPr="00B32C19">
              <w:t>201</w:t>
            </w:r>
            <w:r w:rsidR="00B06703" w:rsidRPr="00B32C19">
              <w:t>8</w:t>
            </w:r>
          </w:p>
          <w:p w:rsidR="00FE260A" w:rsidRPr="00B32C19" w:rsidRDefault="00FE260A" w:rsidP="002D4325">
            <w:pPr>
              <w:spacing w:line="240" w:lineRule="exact"/>
            </w:pPr>
          </w:p>
          <w:p w:rsidR="00EA2A77" w:rsidRPr="00B32C19" w:rsidRDefault="00BE1AFD" w:rsidP="002D4325">
            <w:pPr>
              <w:spacing w:line="240" w:lineRule="exact"/>
            </w:pPr>
            <w:r w:rsidRPr="00B32C19">
              <w:t>Original: English</w:t>
            </w:r>
          </w:p>
        </w:tc>
      </w:tr>
    </w:tbl>
    <w:p w:rsidR="00442A83" w:rsidRPr="00B32C19" w:rsidRDefault="00C96DF2" w:rsidP="00C96DF2">
      <w:pPr>
        <w:spacing w:before="120"/>
        <w:rPr>
          <w:b/>
          <w:sz w:val="28"/>
          <w:szCs w:val="28"/>
        </w:rPr>
      </w:pPr>
      <w:r w:rsidRPr="00B32C19">
        <w:rPr>
          <w:b/>
          <w:sz w:val="28"/>
          <w:szCs w:val="28"/>
        </w:rPr>
        <w:t>Economic Commission for Europe</w:t>
      </w:r>
    </w:p>
    <w:p w:rsidR="00C96DF2" w:rsidRPr="00B32C19" w:rsidRDefault="008F31D2" w:rsidP="00C96DF2">
      <w:pPr>
        <w:spacing w:before="120"/>
        <w:rPr>
          <w:sz w:val="28"/>
          <w:szCs w:val="28"/>
        </w:rPr>
      </w:pPr>
      <w:r w:rsidRPr="00B32C19">
        <w:rPr>
          <w:sz w:val="28"/>
          <w:szCs w:val="28"/>
        </w:rPr>
        <w:t>Inland Transport Committee</w:t>
      </w:r>
    </w:p>
    <w:p w:rsidR="00EA2A77" w:rsidRPr="00B32C19" w:rsidRDefault="00EA2A77" w:rsidP="00EA2A77">
      <w:pPr>
        <w:spacing w:before="120"/>
        <w:rPr>
          <w:b/>
          <w:sz w:val="24"/>
          <w:szCs w:val="24"/>
        </w:rPr>
      </w:pPr>
      <w:r w:rsidRPr="00B32C19">
        <w:rPr>
          <w:b/>
          <w:sz w:val="24"/>
          <w:szCs w:val="24"/>
        </w:rPr>
        <w:t xml:space="preserve">World Forum for Harmonization of Vehicle </w:t>
      </w:r>
      <w:r w:rsidR="00D26E07" w:rsidRPr="00B32C19">
        <w:rPr>
          <w:b/>
          <w:sz w:val="24"/>
          <w:szCs w:val="24"/>
        </w:rPr>
        <w:t>Regulation</w:t>
      </w:r>
      <w:r w:rsidRPr="00B32C19">
        <w:rPr>
          <w:b/>
          <w:sz w:val="24"/>
          <w:szCs w:val="24"/>
        </w:rPr>
        <w:t>s</w:t>
      </w:r>
    </w:p>
    <w:p w:rsidR="00993BA4" w:rsidRPr="00B32C19" w:rsidRDefault="00993BA4" w:rsidP="00EA2A77">
      <w:pPr>
        <w:spacing w:before="120"/>
        <w:rPr>
          <w:b/>
          <w:sz w:val="24"/>
          <w:szCs w:val="24"/>
        </w:rPr>
      </w:pPr>
      <w:r w:rsidRPr="00B32C19">
        <w:rPr>
          <w:b/>
          <w:sz w:val="24"/>
          <w:szCs w:val="24"/>
        </w:rPr>
        <w:t>Working Party on Noise</w:t>
      </w:r>
    </w:p>
    <w:p w:rsidR="00C96DF2" w:rsidRPr="00B32C19" w:rsidRDefault="001C3BF1" w:rsidP="00C96DF2">
      <w:pPr>
        <w:spacing w:before="120"/>
        <w:rPr>
          <w:b/>
        </w:rPr>
      </w:pPr>
      <w:r w:rsidRPr="00B32C19">
        <w:rPr>
          <w:b/>
        </w:rPr>
        <w:t>Sixty-</w:t>
      </w:r>
      <w:r w:rsidR="00C434A8" w:rsidRPr="00B32C19">
        <w:rPr>
          <w:b/>
        </w:rPr>
        <w:t>s</w:t>
      </w:r>
      <w:r w:rsidR="00493CCF" w:rsidRPr="00B32C19">
        <w:rPr>
          <w:b/>
        </w:rPr>
        <w:t>eventh</w:t>
      </w:r>
      <w:r w:rsidR="00C434A8" w:rsidRPr="00B32C19">
        <w:rPr>
          <w:b/>
        </w:rPr>
        <w:t xml:space="preserve"> </w:t>
      </w:r>
      <w:r w:rsidR="00182290" w:rsidRPr="00B32C19">
        <w:rPr>
          <w:b/>
        </w:rPr>
        <w:t>session</w:t>
      </w:r>
    </w:p>
    <w:p w:rsidR="0067362F" w:rsidRPr="00B32C19" w:rsidRDefault="00915EF6" w:rsidP="00C96DF2">
      <w:r w:rsidRPr="00B32C19">
        <w:t>Gen</w:t>
      </w:r>
      <w:r w:rsidR="00993BA4" w:rsidRPr="00B32C19">
        <w:t>e</w:t>
      </w:r>
      <w:r w:rsidRPr="00B32C19">
        <w:t>v</w:t>
      </w:r>
      <w:r w:rsidR="00993BA4" w:rsidRPr="00B32C19">
        <w:t>a</w:t>
      </w:r>
      <w:r w:rsidRPr="00B32C19">
        <w:t xml:space="preserve">, </w:t>
      </w:r>
      <w:r w:rsidR="00B06703" w:rsidRPr="00B32C19">
        <w:t>2</w:t>
      </w:r>
      <w:r w:rsidR="00E75797" w:rsidRPr="00B32C19">
        <w:t>4-</w:t>
      </w:r>
      <w:r w:rsidR="00B06703" w:rsidRPr="00B32C19">
        <w:t>2</w:t>
      </w:r>
      <w:r w:rsidR="00E75797" w:rsidRPr="00B32C19">
        <w:t xml:space="preserve">6 </w:t>
      </w:r>
      <w:r w:rsidR="00B06703" w:rsidRPr="00B32C19">
        <w:t xml:space="preserve">January </w:t>
      </w:r>
      <w:r w:rsidR="0041302F" w:rsidRPr="00B32C19">
        <w:t>201</w:t>
      </w:r>
      <w:r w:rsidR="00B06703" w:rsidRPr="00B32C19">
        <w:t>8</w:t>
      </w:r>
    </w:p>
    <w:p w:rsidR="002C00F5" w:rsidRPr="00B32C19" w:rsidRDefault="002C00F5" w:rsidP="002C00F5">
      <w:pPr>
        <w:pStyle w:val="HChG"/>
      </w:pPr>
      <w:r w:rsidRPr="00B32C19">
        <w:tab/>
      </w:r>
      <w:r w:rsidRPr="00B32C19">
        <w:tab/>
        <w:t>Report of the Working Party on Noise</w:t>
      </w:r>
      <w:r w:rsidRPr="00B32C19">
        <w:br/>
        <w:t xml:space="preserve">on its </w:t>
      </w:r>
      <w:r w:rsidR="001C3BF1" w:rsidRPr="00B32C19">
        <w:t>sixty-</w:t>
      </w:r>
      <w:r w:rsidR="00493CCF" w:rsidRPr="00B32C19">
        <w:t xml:space="preserve">seventh </w:t>
      </w:r>
      <w:r w:rsidR="002375D5" w:rsidRPr="00B32C19">
        <w:t>session</w:t>
      </w:r>
    </w:p>
    <w:p w:rsidR="00732CF3" w:rsidRPr="006B44AC" w:rsidRDefault="00732CF3" w:rsidP="00732CF3">
      <w:pPr>
        <w:spacing w:after="120"/>
        <w:rPr>
          <w:sz w:val="28"/>
          <w:lang w:val="fr-FR"/>
        </w:rPr>
      </w:pPr>
      <w:r w:rsidRPr="006B44AC">
        <w:rPr>
          <w:sz w:val="28"/>
          <w:lang w:val="fr-FR"/>
        </w:rPr>
        <w:t>Contents</w:t>
      </w:r>
    </w:p>
    <w:p w:rsidR="00732CF3" w:rsidRPr="006B44AC" w:rsidRDefault="00732CF3" w:rsidP="00732CF3">
      <w:pPr>
        <w:tabs>
          <w:tab w:val="right" w:pos="8929"/>
          <w:tab w:val="right" w:pos="9638"/>
        </w:tabs>
        <w:spacing w:after="120"/>
        <w:ind w:left="283"/>
        <w:rPr>
          <w:lang w:val="fr-FR"/>
        </w:rPr>
      </w:pPr>
      <w:r w:rsidRPr="006B44AC">
        <w:rPr>
          <w:i/>
          <w:sz w:val="18"/>
          <w:lang w:val="fr-FR"/>
        </w:rPr>
        <w:tab/>
        <w:t>Paragraphs</w:t>
      </w:r>
      <w:r w:rsidRPr="006B44AC">
        <w:rPr>
          <w:i/>
          <w:sz w:val="18"/>
          <w:lang w:val="fr-FR"/>
        </w:rPr>
        <w:tab/>
        <w:t>Page</w:t>
      </w:r>
    </w:p>
    <w:p w:rsidR="00732CF3" w:rsidRPr="006B44AC" w:rsidRDefault="00732CF3" w:rsidP="006F4E58">
      <w:pPr>
        <w:tabs>
          <w:tab w:val="right" w:pos="850"/>
          <w:tab w:val="left" w:pos="1134"/>
          <w:tab w:val="left" w:pos="1559"/>
          <w:tab w:val="left" w:pos="1984"/>
          <w:tab w:val="left" w:leader="dot" w:pos="7654"/>
          <w:tab w:val="right" w:pos="8929"/>
          <w:tab w:val="right" w:pos="9638"/>
        </w:tabs>
        <w:spacing w:after="120"/>
        <w:rPr>
          <w:lang w:val="fr-FR"/>
        </w:rPr>
      </w:pPr>
      <w:r w:rsidRPr="006B44AC">
        <w:rPr>
          <w:lang w:val="fr-FR"/>
        </w:rPr>
        <w:tab/>
        <w:t>I.</w:t>
      </w:r>
      <w:r w:rsidRPr="006B44AC">
        <w:rPr>
          <w:lang w:val="fr-FR"/>
        </w:rPr>
        <w:tab/>
        <w:t>A</w:t>
      </w:r>
      <w:r w:rsidR="00C07F5A" w:rsidRPr="006B44AC">
        <w:rPr>
          <w:lang w:val="fr-FR"/>
        </w:rPr>
        <w:t>ttendance</w:t>
      </w:r>
      <w:r w:rsidRPr="006B44AC">
        <w:rPr>
          <w:lang w:val="fr-FR"/>
        </w:rPr>
        <w:tab/>
      </w:r>
      <w:r w:rsidRPr="006B44AC">
        <w:rPr>
          <w:lang w:val="fr-FR"/>
        </w:rPr>
        <w:tab/>
        <w:t>1</w:t>
      </w:r>
      <w:r w:rsidRPr="006B44AC">
        <w:rPr>
          <w:lang w:val="fr-FR"/>
        </w:rPr>
        <w:tab/>
        <w:t>3</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pPr>
      <w:r w:rsidRPr="006B44AC">
        <w:rPr>
          <w:lang w:val="fr-FR"/>
        </w:rPr>
        <w:tab/>
      </w:r>
      <w:r w:rsidRPr="00B32C19">
        <w:t>II.</w:t>
      </w:r>
      <w:r w:rsidRPr="00B32C19">
        <w:tab/>
      </w:r>
      <w:r w:rsidR="00886A9B" w:rsidRPr="00B32C19">
        <w:t xml:space="preserve">Adoption of the agenda </w:t>
      </w:r>
      <w:r w:rsidRPr="00B32C19">
        <w:t>(agenda item 1)</w:t>
      </w:r>
      <w:r w:rsidRPr="00B32C19">
        <w:tab/>
      </w:r>
      <w:r w:rsidRPr="00B32C19">
        <w:tab/>
      </w:r>
      <w:r w:rsidR="00ED611C" w:rsidRPr="00B32C19">
        <w:t>2</w:t>
      </w:r>
      <w:r w:rsidRPr="00B32C19">
        <w:tab/>
        <w:t>3</w:t>
      </w:r>
    </w:p>
    <w:p w:rsidR="00457BFF" w:rsidRPr="00B32C19" w:rsidRDefault="00457BFF" w:rsidP="006F4E58">
      <w:pPr>
        <w:tabs>
          <w:tab w:val="right" w:pos="850"/>
          <w:tab w:val="left" w:pos="1134"/>
          <w:tab w:val="left" w:pos="1559"/>
          <w:tab w:val="left" w:pos="1984"/>
          <w:tab w:val="left" w:leader="dot" w:pos="7654"/>
          <w:tab w:val="right" w:pos="8929"/>
          <w:tab w:val="right" w:pos="9638"/>
        </w:tabs>
        <w:spacing w:after="120"/>
      </w:pPr>
      <w:r w:rsidRPr="00B32C19">
        <w:tab/>
        <w:t>I</w:t>
      </w:r>
      <w:r w:rsidR="00960383" w:rsidRPr="00B32C19">
        <w:t>I</w:t>
      </w:r>
      <w:r w:rsidRPr="00B32C19">
        <w:t>I.</w:t>
      </w:r>
      <w:r w:rsidRPr="00B32C19">
        <w:tab/>
        <w:t>Regulation No. 28 (Audible warning devices) (agenda item 2)</w:t>
      </w:r>
      <w:r w:rsidRPr="00B32C19">
        <w:tab/>
      </w:r>
      <w:r w:rsidRPr="00B32C19">
        <w:tab/>
      </w:r>
      <w:r w:rsidR="00ED611C" w:rsidRPr="00B32C19">
        <w:t>3</w:t>
      </w:r>
      <w:r w:rsidRPr="00B32C19">
        <w:tab/>
        <w:t>3</w:t>
      </w:r>
    </w:p>
    <w:p w:rsidR="00732CF3" w:rsidRPr="00B32C19" w:rsidRDefault="00457BFF" w:rsidP="006F4E58">
      <w:pPr>
        <w:tabs>
          <w:tab w:val="right" w:pos="850"/>
          <w:tab w:val="left" w:pos="1134"/>
          <w:tab w:val="left" w:pos="1559"/>
          <w:tab w:val="left" w:pos="1984"/>
          <w:tab w:val="left" w:leader="dot" w:pos="7654"/>
          <w:tab w:val="right" w:pos="8929"/>
          <w:tab w:val="right" w:pos="9638"/>
        </w:tabs>
        <w:spacing w:after="120"/>
      </w:pPr>
      <w:r w:rsidRPr="00B32C19">
        <w:tab/>
      </w:r>
      <w:r w:rsidR="00732CF3" w:rsidRPr="00B32C19">
        <w:t>I</w:t>
      </w:r>
      <w:r w:rsidR="00960383" w:rsidRPr="00B32C19">
        <w:t>V</w:t>
      </w:r>
      <w:r w:rsidR="00732CF3" w:rsidRPr="00B32C19">
        <w:t>.</w:t>
      </w:r>
      <w:r w:rsidRPr="00B32C19">
        <w:tab/>
      </w:r>
      <w:r w:rsidR="00886A9B" w:rsidRPr="00B32C19">
        <w:t xml:space="preserve">Regulation </w:t>
      </w:r>
      <w:r w:rsidR="00D5394A" w:rsidRPr="00B32C19">
        <w:t>N</w:t>
      </w:r>
      <w:r w:rsidR="00886A9B" w:rsidRPr="00B32C19">
        <w:t xml:space="preserve">o. 41 (Noise </w:t>
      </w:r>
      <w:r w:rsidR="00173794" w:rsidRPr="00B32C19">
        <w:t xml:space="preserve">emissions </w:t>
      </w:r>
      <w:r w:rsidR="00886A9B" w:rsidRPr="00B32C19">
        <w:t>of motorcycles)</w:t>
      </w:r>
      <w:r w:rsidR="00221FDC" w:rsidRPr="00B32C19">
        <w:t xml:space="preserve">: Development </w:t>
      </w:r>
      <w:r w:rsidR="00F9626D" w:rsidRPr="00B32C19">
        <w:t xml:space="preserve">(agenda item </w:t>
      </w:r>
      <w:r w:rsidRPr="00B32C19">
        <w:t>3</w:t>
      </w:r>
      <w:r w:rsidR="00732CF3" w:rsidRPr="00B32C19">
        <w:t>)</w:t>
      </w:r>
      <w:r w:rsidR="00732CF3" w:rsidRPr="00B32C19">
        <w:tab/>
      </w:r>
      <w:r w:rsidR="00AD1838" w:rsidRPr="00B32C19">
        <w:t>4</w:t>
      </w:r>
      <w:r w:rsidR="00815549" w:rsidRPr="00B32C19">
        <w:t>-</w:t>
      </w:r>
      <w:r w:rsidR="00AD1838" w:rsidRPr="00B32C19">
        <w:t>7</w:t>
      </w:r>
      <w:r w:rsidR="00732CF3" w:rsidRPr="00B32C19">
        <w:tab/>
      </w:r>
      <w:r w:rsidR="002D20A8" w:rsidRPr="00B32C19">
        <w:t>3</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B32C19">
        <w:tab/>
        <w:t>V.</w:t>
      </w:r>
      <w:r w:rsidRPr="00B32C19">
        <w:tab/>
      </w:r>
      <w:r w:rsidR="00886A9B" w:rsidRPr="00B32C19">
        <w:t xml:space="preserve">Regulation No. 51 (Noise of </w:t>
      </w:r>
      <w:r w:rsidR="00F9626D" w:rsidRPr="00B32C19">
        <w:t>M</w:t>
      </w:r>
      <w:r w:rsidR="00886A9B" w:rsidRPr="00B32C19">
        <w:t xml:space="preserve"> and </w:t>
      </w:r>
      <w:r w:rsidR="00F9626D" w:rsidRPr="00B32C19">
        <w:t>N</w:t>
      </w:r>
      <w:r w:rsidR="00886A9B" w:rsidRPr="00B32C19">
        <w:t xml:space="preserve"> categories of vehicles) </w:t>
      </w:r>
      <w:r w:rsidRPr="00B32C19">
        <w:t xml:space="preserve">(agenda item </w:t>
      </w:r>
      <w:r w:rsidR="00960383" w:rsidRPr="00B32C19">
        <w:t>4</w:t>
      </w:r>
      <w:r w:rsidRPr="00B32C19">
        <w:t>)</w:t>
      </w:r>
      <w:r w:rsidR="000E18D2" w:rsidRPr="00B32C19">
        <w:tab/>
      </w:r>
      <w:r w:rsidR="000E18D2" w:rsidRPr="00B32C19">
        <w:tab/>
      </w:r>
      <w:r w:rsidR="00AD1838" w:rsidRPr="00B32C19">
        <w:t>8</w:t>
      </w:r>
      <w:r w:rsidR="00601D81" w:rsidRPr="00B32C19">
        <w:t>-</w:t>
      </w:r>
      <w:r w:rsidR="00BE06F3" w:rsidRPr="00B32C19">
        <w:t>1</w:t>
      </w:r>
      <w:r w:rsidR="00AD1838" w:rsidRPr="00B32C19">
        <w:t>3</w:t>
      </w:r>
      <w:r w:rsidR="00A57625" w:rsidRPr="00B32C19">
        <w:tab/>
      </w:r>
      <w:r w:rsidR="00760528" w:rsidRPr="00B32C19">
        <w:t>4</w:t>
      </w:r>
    </w:p>
    <w:p w:rsidR="00732CF3" w:rsidRPr="00B32C19" w:rsidRDefault="00F9626D" w:rsidP="006F4E58">
      <w:pPr>
        <w:tabs>
          <w:tab w:val="right" w:pos="850"/>
          <w:tab w:val="left" w:pos="1134"/>
          <w:tab w:val="left" w:pos="1559"/>
          <w:tab w:val="left" w:pos="1984"/>
          <w:tab w:val="left" w:leader="dot" w:pos="7654"/>
          <w:tab w:val="right" w:pos="8929"/>
          <w:tab w:val="right" w:pos="9638"/>
        </w:tabs>
        <w:spacing w:after="120"/>
      </w:pPr>
      <w:r w:rsidRPr="00B32C19">
        <w:tab/>
      </w:r>
      <w:r w:rsidRPr="00B32C19">
        <w:tab/>
        <w:t>A.</w:t>
      </w:r>
      <w:r w:rsidRPr="00B32C19">
        <w:tab/>
        <w:t>Development</w:t>
      </w:r>
      <w:r w:rsidR="00732CF3" w:rsidRPr="00B32C19">
        <w:tab/>
      </w:r>
      <w:r w:rsidR="00886A9B" w:rsidRPr="00B32C19">
        <w:tab/>
      </w:r>
      <w:r w:rsidR="00AD1838" w:rsidRPr="00B32C19">
        <w:t>8</w:t>
      </w:r>
      <w:r w:rsidR="00BE06F3" w:rsidRPr="00B32C19">
        <w:t>-1</w:t>
      </w:r>
      <w:r w:rsidR="00AD1838" w:rsidRPr="00B32C19">
        <w:t>2</w:t>
      </w:r>
      <w:r w:rsidR="000E18D2" w:rsidRPr="00B32C19">
        <w:tab/>
      </w:r>
      <w:r w:rsidR="00760528" w:rsidRPr="00B32C19">
        <w:t>4</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pPr>
      <w:r w:rsidRPr="00B32C19">
        <w:tab/>
      </w:r>
      <w:r w:rsidRPr="00B32C19">
        <w:tab/>
      </w:r>
      <w:r w:rsidR="00457BFF" w:rsidRPr="00B32C19">
        <w:t>B</w:t>
      </w:r>
      <w:r w:rsidRPr="00B32C19">
        <w:t>.</w:t>
      </w:r>
      <w:r w:rsidRPr="00B32C19">
        <w:tab/>
        <w:t>Additional sound emission provisions</w:t>
      </w:r>
      <w:r w:rsidRPr="00B32C19">
        <w:tab/>
      </w:r>
      <w:r w:rsidR="00886A9B" w:rsidRPr="00B32C19">
        <w:tab/>
      </w:r>
      <w:r w:rsidR="00BE06F3" w:rsidRPr="00B32C19">
        <w:t>1</w:t>
      </w:r>
      <w:r w:rsidR="00AD1838" w:rsidRPr="00B32C19">
        <w:t>3</w:t>
      </w:r>
      <w:r w:rsidR="00D57B50" w:rsidRPr="00B32C19">
        <w:tab/>
      </w:r>
      <w:r w:rsidR="00B32C19">
        <w:t>4</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pPr>
      <w:r w:rsidRPr="00B32C19">
        <w:tab/>
        <w:t>V</w:t>
      </w:r>
      <w:r w:rsidR="0062564E" w:rsidRPr="00B32C19">
        <w:t>I</w:t>
      </w:r>
      <w:r w:rsidRPr="00B32C19">
        <w:t>.</w:t>
      </w:r>
      <w:r w:rsidRPr="00B32C19">
        <w:tab/>
      </w:r>
      <w:r w:rsidR="00886A9B" w:rsidRPr="00B32C19">
        <w:t xml:space="preserve">Regulation No. </w:t>
      </w:r>
      <w:r w:rsidR="00DF538A" w:rsidRPr="00B32C19">
        <w:t>63</w:t>
      </w:r>
      <w:r w:rsidR="00886A9B" w:rsidRPr="00B32C19">
        <w:t xml:space="preserve"> (</w:t>
      </w:r>
      <w:r w:rsidR="00DF538A" w:rsidRPr="00B32C19">
        <w:t>Noise emissions of mopeds</w:t>
      </w:r>
      <w:r w:rsidR="00886A9B" w:rsidRPr="00B32C19">
        <w:t>)</w:t>
      </w:r>
      <w:r w:rsidR="00ED2291" w:rsidRPr="00B32C19">
        <w:t xml:space="preserve"> (agenda item </w:t>
      </w:r>
      <w:r w:rsidR="0062564E" w:rsidRPr="00B32C19">
        <w:t>5</w:t>
      </w:r>
      <w:r w:rsidR="00ED2291" w:rsidRPr="00B32C19">
        <w:t>)</w:t>
      </w:r>
      <w:r w:rsidRPr="00B32C19">
        <w:tab/>
      </w:r>
      <w:r w:rsidR="00886A9B" w:rsidRPr="00B32C19">
        <w:tab/>
      </w:r>
      <w:r w:rsidR="00D55F32" w:rsidRPr="00B32C19">
        <w:t>1</w:t>
      </w:r>
      <w:r w:rsidR="00BE06F3" w:rsidRPr="00B32C19">
        <w:t>4</w:t>
      </w:r>
      <w:r w:rsidR="00B54342" w:rsidRPr="00B32C19">
        <w:tab/>
      </w:r>
      <w:r w:rsidR="00BE06F3" w:rsidRPr="00B32C19">
        <w:t>5</w:t>
      </w:r>
    </w:p>
    <w:p w:rsidR="00732CF3" w:rsidRPr="00B32C19" w:rsidRDefault="00F9626D" w:rsidP="006F4E58">
      <w:pPr>
        <w:tabs>
          <w:tab w:val="right" w:pos="850"/>
          <w:tab w:val="left" w:pos="1134"/>
          <w:tab w:val="left" w:pos="1559"/>
          <w:tab w:val="left" w:pos="1984"/>
          <w:tab w:val="left" w:leader="dot" w:pos="7654"/>
          <w:tab w:val="right" w:pos="8929"/>
          <w:tab w:val="right" w:pos="9638"/>
        </w:tabs>
        <w:spacing w:after="120"/>
        <w:ind w:left="1134" w:hanging="1134"/>
      </w:pPr>
      <w:r w:rsidRPr="00B32C19">
        <w:tab/>
        <w:t>V</w:t>
      </w:r>
      <w:r w:rsidR="00264122" w:rsidRPr="00B32C19">
        <w:t>I</w:t>
      </w:r>
      <w:r w:rsidRPr="00B32C19">
        <w:t>I</w:t>
      </w:r>
      <w:r w:rsidR="00732CF3" w:rsidRPr="00B32C19">
        <w:t>.</w:t>
      </w:r>
      <w:r w:rsidR="00732CF3" w:rsidRPr="00B32C19">
        <w:tab/>
      </w:r>
      <w:r w:rsidR="00886A9B" w:rsidRPr="00B32C19">
        <w:t xml:space="preserve">Regulation No. 117 (Tyre rolling </w:t>
      </w:r>
      <w:r w:rsidR="00267598" w:rsidRPr="00B32C19">
        <w:t xml:space="preserve">resistance, rolling </w:t>
      </w:r>
      <w:r w:rsidR="00886A9B" w:rsidRPr="00B32C19">
        <w:t>noise and wet grip</w:t>
      </w:r>
      <w:r w:rsidR="00524956" w:rsidRPr="00B32C19">
        <w:t>)</w:t>
      </w:r>
      <w:r w:rsidR="00732CF3" w:rsidRPr="00B32C19">
        <w:t xml:space="preserve"> </w:t>
      </w:r>
      <w:r w:rsidR="00E86C77" w:rsidRPr="00B32C19">
        <w:br/>
      </w:r>
      <w:r w:rsidR="00732CF3" w:rsidRPr="00B32C19">
        <w:t xml:space="preserve">(agenda item </w:t>
      </w:r>
      <w:r w:rsidR="00173794" w:rsidRPr="00B32C19">
        <w:t>6</w:t>
      </w:r>
      <w:r w:rsidR="00732CF3" w:rsidRPr="00B32C19">
        <w:t>)</w:t>
      </w:r>
      <w:r w:rsidR="0012784D" w:rsidRPr="00B32C19">
        <w:tab/>
      </w:r>
      <w:r w:rsidR="00E86C77" w:rsidRPr="00B32C19">
        <w:tab/>
      </w:r>
      <w:r w:rsidR="00BB4704" w:rsidRPr="00B32C19">
        <w:t>1</w:t>
      </w:r>
      <w:r w:rsidR="00AD1838" w:rsidRPr="00B32C19">
        <w:t>5-17</w:t>
      </w:r>
      <w:r w:rsidR="00AD28F9" w:rsidRPr="00B32C19">
        <w:tab/>
      </w:r>
      <w:r w:rsidR="00D55F32" w:rsidRPr="00B32C19">
        <w:t>5</w:t>
      </w:r>
    </w:p>
    <w:p w:rsidR="00DF538A" w:rsidRPr="00B32C19" w:rsidRDefault="00DF538A" w:rsidP="00DF538A">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r>
      <w:r w:rsidR="00173794" w:rsidRPr="00B32C19">
        <w:t>VIII</w:t>
      </w:r>
      <w:r w:rsidRPr="00B32C19">
        <w:t>.</w:t>
      </w:r>
      <w:r w:rsidRPr="00B32C19">
        <w:tab/>
        <w:t xml:space="preserve">Regulation No. 138 (Quiet road transport vehicles) (agenda item </w:t>
      </w:r>
      <w:r w:rsidR="00173794" w:rsidRPr="00B32C19">
        <w:t>7</w:t>
      </w:r>
      <w:r w:rsidRPr="00B32C19">
        <w:t>)</w:t>
      </w:r>
      <w:r w:rsidRPr="00B32C19">
        <w:tab/>
      </w:r>
      <w:r w:rsidRPr="00B32C19">
        <w:tab/>
        <w:t>1</w:t>
      </w:r>
      <w:r w:rsidR="00AD1838" w:rsidRPr="00B32C19">
        <w:t>8</w:t>
      </w:r>
      <w:r w:rsidRPr="00B32C19">
        <w:tab/>
      </w:r>
      <w:r w:rsidR="00FA500D" w:rsidRPr="00B32C19">
        <w:t>5</w:t>
      </w:r>
    </w:p>
    <w:p w:rsidR="00173794" w:rsidRPr="00B32C19"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t>IX.</w:t>
      </w:r>
      <w:r w:rsidRPr="00B32C19">
        <w:tab/>
        <w:t>Draft Regulation on reversing alarm (agenda item 8)</w:t>
      </w:r>
      <w:r w:rsidRPr="00B32C19">
        <w:tab/>
      </w:r>
      <w:r w:rsidRPr="00B32C19">
        <w:tab/>
      </w:r>
      <w:r w:rsidR="00FA500D" w:rsidRPr="00B32C19">
        <w:t>19</w:t>
      </w:r>
      <w:r w:rsidRPr="00B32C19">
        <w:tab/>
      </w:r>
      <w:r w:rsidR="00AD1838" w:rsidRPr="00B32C19">
        <w:t>6</w:t>
      </w:r>
    </w:p>
    <w:p w:rsidR="00431ED8" w:rsidRPr="00B32C19" w:rsidRDefault="00173794"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r>
      <w:r w:rsidR="00264122" w:rsidRPr="00B32C19">
        <w:t>X.</w:t>
      </w:r>
      <w:r w:rsidR="00264122" w:rsidRPr="00B32C19">
        <w:tab/>
      </w:r>
      <w:r w:rsidR="0012784D" w:rsidRPr="00B32C19">
        <w:t>Collective amendments</w:t>
      </w:r>
      <w:r w:rsidR="00113FBE" w:rsidRPr="00B32C19">
        <w:t xml:space="preserve"> </w:t>
      </w:r>
      <w:r w:rsidR="00A57625" w:rsidRPr="00B32C19">
        <w:t>(</w:t>
      </w:r>
      <w:r w:rsidR="00984F9C" w:rsidRPr="00B32C19">
        <w:t>ag</w:t>
      </w:r>
      <w:r w:rsidR="00B54342" w:rsidRPr="00B32C19">
        <w:t xml:space="preserve">enda item </w:t>
      </w:r>
      <w:r w:rsidR="00DF538A" w:rsidRPr="00B32C19">
        <w:t>9</w:t>
      </w:r>
      <w:r w:rsidR="00B54342" w:rsidRPr="00B32C19">
        <w:t>)</w:t>
      </w:r>
      <w:r w:rsidR="00B54342" w:rsidRPr="00B32C19">
        <w:tab/>
      </w:r>
      <w:r w:rsidR="00B54342" w:rsidRPr="00B32C19">
        <w:tab/>
      </w:r>
      <w:r w:rsidR="00BE06F3" w:rsidRPr="00B32C19">
        <w:t>2</w:t>
      </w:r>
      <w:r w:rsidR="00FA500D" w:rsidRPr="00B32C19">
        <w:t>0</w:t>
      </w:r>
      <w:r w:rsidR="006F4E58" w:rsidRPr="00B32C19">
        <w:tab/>
      </w:r>
      <w:r w:rsidR="00FA500D" w:rsidRPr="00B32C19">
        <w:t>6</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t>X</w:t>
      </w:r>
      <w:r w:rsidR="00DF538A" w:rsidRPr="00B32C19">
        <w:t>I</w:t>
      </w:r>
      <w:r w:rsidRPr="00B32C19">
        <w:t>.</w:t>
      </w:r>
      <w:r w:rsidRPr="00B32C19">
        <w:tab/>
      </w:r>
      <w:r w:rsidR="0012784D" w:rsidRPr="00B32C19">
        <w:t xml:space="preserve">Exchange of information on national and international requirements on noise levels </w:t>
      </w:r>
      <w:r w:rsidR="00F9626D" w:rsidRPr="00B32C19">
        <w:t xml:space="preserve">(agenda item </w:t>
      </w:r>
      <w:r w:rsidR="00DF538A" w:rsidRPr="00B32C19">
        <w:t>10</w:t>
      </w:r>
      <w:r w:rsidRPr="00B32C19">
        <w:t>)</w:t>
      </w:r>
      <w:r w:rsidRPr="00B32C19">
        <w:tab/>
      </w:r>
      <w:r w:rsidR="00886A9B" w:rsidRPr="00B32C19">
        <w:tab/>
      </w:r>
      <w:r w:rsidR="00BE06F3" w:rsidRPr="00B32C19">
        <w:t>2</w:t>
      </w:r>
      <w:r w:rsidR="00FA500D" w:rsidRPr="00B32C19">
        <w:t>1</w:t>
      </w:r>
      <w:r w:rsidR="00984F9C" w:rsidRPr="00B32C19">
        <w:tab/>
      </w:r>
      <w:r w:rsidR="00FA500D" w:rsidRPr="00B32C19">
        <w:t>6</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B32C19">
        <w:tab/>
        <w:t>X</w:t>
      </w:r>
      <w:r w:rsidR="00264122" w:rsidRPr="00B32C19">
        <w:t>I</w:t>
      </w:r>
      <w:r w:rsidR="00DF538A" w:rsidRPr="00B32C19">
        <w:t>I</w:t>
      </w:r>
      <w:r w:rsidRPr="00B32C19">
        <w:t>.</w:t>
      </w:r>
      <w:r w:rsidRPr="00B32C19">
        <w:tab/>
      </w:r>
      <w:r w:rsidR="0012784D" w:rsidRPr="00B32C19">
        <w:t xml:space="preserve">Influence of road surface on tyre rolling sound emissions </w:t>
      </w:r>
      <w:r w:rsidRPr="00B32C19">
        <w:t>(a</w:t>
      </w:r>
      <w:r w:rsidR="0012784D" w:rsidRPr="00B32C19">
        <w:t xml:space="preserve">genda item </w:t>
      </w:r>
      <w:r w:rsidR="0062564E" w:rsidRPr="00B32C19">
        <w:t>1</w:t>
      </w:r>
      <w:r w:rsidR="00DF538A" w:rsidRPr="00B32C19">
        <w:t>1</w:t>
      </w:r>
      <w:r w:rsidR="0012784D" w:rsidRPr="00B32C19">
        <w:t>)</w:t>
      </w:r>
      <w:r w:rsidRPr="00B32C19">
        <w:tab/>
      </w:r>
      <w:r w:rsidR="0012784D" w:rsidRPr="00B32C19">
        <w:tab/>
      </w:r>
      <w:r w:rsidR="00BE06F3" w:rsidRPr="00B32C19">
        <w:t>2</w:t>
      </w:r>
      <w:r w:rsidR="00AD1838" w:rsidRPr="00B32C19">
        <w:t>2</w:t>
      </w:r>
      <w:r w:rsidR="00984F9C" w:rsidRPr="00B32C19">
        <w:tab/>
      </w:r>
      <w:r w:rsidR="00FA500D" w:rsidRPr="00B32C19">
        <w:t>6</w:t>
      </w:r>
    </w:p>
    <w:p w:rsidR="00994860" w:rsidRPr="00B32C19" w:rsidRDefault="00994860"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B32C19">
        <w:lastRenderedPageBreak/>
        <w:tab/>
        <w:t>X</w:t>
      </w:r>
      <w:r w:rsidR="00264122" w:rsidRPr="00B32C19">
        <w:t>I</w:t>
      </w:r>
      <w:r w:rsidRPr="00B32C19">
        <w:t>II.</w:t>
      </w:r>
      <w:r w:rsidRPr="00B32C19">
        <w:tab/>
      </w:r>
      <w:r w:rsidR="00524956" w:rsidRPr="00B32C19">
        <w:t>A</w:t>
      </w:r>
      <w:r w:rsidRPr="00B32C19">
        <w:t>cronyms</w:t>
      </w:r>
      <w:r w:rsidR="00524956" w:rsidRPr="00B32C19">
        <w:t xml:space="preserve"> and abbreviations</w:t>
      </w:r>
      <w:r w:rsidRPr="00B32C19">
        <w:t xml:space="preserve"> in Regulations under </w:t>
      </w:r>
      <w:r w:rsidR="00221FDC" w:rsidRPr="00B32C19">
        <w:t>the responsibility of</w:t>
      </w:r>
      <w:r w:rsidR="00524956" w:rsidRPr="00B32C19">
        <w:t xml:space="preserve"> the Working Party on Noise </w:t>
      </w:r>
      <w:r w:rsidRPr="00B32C19">
        <w:t>(agenda item 1</w:t>
      </w:r>
      <w:r w:rsidR="0062564E" w:rsidRPr="00B32C19">
        <w:t>2</w:t>
      </w:r>
      <w:r w:rsidRPr="00B32C19">
        <w:t>)</w:t>
      </w:r>
      <w:r w:rsidRPr="00B32C19">
        <w:tab/>
      </w:r>
      <w:r w:rsidRPr="00B32C19">
        <w:tab/>
      </w:r>
      <w:r w:rsidR="00B54342" w:rsidRPr="00B32C19">
        <w:t>2</w:t>
      </w:r>
      <w:r w:rsidR="00FA500D" w:rsidRPr="00B32C19">
        <w:t>3</w:t>
      </w:r>
      <w:r w:rsidR="006F4E58" w:rsidRPr="00B32C19">
        <w:t xml:space="preserve"> </w:t>
      </w:r>
      <w:r w:rsidR="006F4E58" w:rsidRPr="00B32C19">
        <w:tab/>
      </w:r>
      <w:r w:rsidR="00FA500D" w:rsidRPr="00B32C19">
        <w:t>6</w:t>
      </w:r>
    </w:p>
    <w:p w:rsidR="0003662D" w:rsidRPr="00B32C19"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B32C19">
        <w:tab/>
        <w:t>XI</w:t>
      </w:r>
      <w:r w:rsidR="00264122" w:rsidRPr="00B32C19">
        <w:t>V</w:t>
      </w:r>
      <w:r w:rsidRPr="00B32C19">
        <w:t>.</w:t>
      </w:r>
      <w:r w:rsidRPr="00B32C19">
        <w:tab/>
      </w:r>
      <w:r w:rsidR="0003662D" w:rsidRPr="00B32C19">
        <w:t>Proposal for amendments to the Consolidated Resolution on the Construction of Vehicles</w:t>
      </w:r>
      <w:r w:rsidR="00D17D8F" w:rsidRPr="00B32C19">
        <w:t xml:space="preserve"> </w:t>
      </w:r>
      <w:r w:rsidR="0003662D" w:rsidRPr="00B32C19">
        <w:t>(agenda item 1</w:t>
      </w:r>
      <w:r w:rsidR="0062564E" w:rsidRPr="00B32C19">
        <w:t>3</w:t>
      </w:r>
      <w:r w:rsidR="0003662D" w:rsidRPr="00B32C19">
        <w:t>)</w:t>
      </w:r>
      <w:r w:rsidR="0003662D" w:rsidRPr="00B32C19">
        <w:tab/>
      </w:r>
      <w:r w:rsidR="00B54342" w:rsidRPr="00B32C19">
        <w:tab/>
      </w:r>
      <w:r w:rsidR="00D55F32" w:rsidRPr="00B32C19">
        <w:t>2</w:t>
      </w:r>
      <w:r w:rsidR="00FA500D" w:rsidRPr="00B32C19">
        <w:t>4</w:t>
      </w:r>
      <w:r w:rsidR="00984F9C" w:rsidRPr="00B32C19">
        <w:tab/>
      </w:r>
      <w:r w:rsidR="00FA500D" w:rsidRPr="00B32C19">
        <w:t>7</w:t>
      </w:r>
    </w:p>
    <w:p w:rsidR="00395FB3" w:rsidRPr="00B32C19"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B32C19">
        <w:tab/>
        <w:t>XV.</w:t>
      </w:r>
      <w:r w:rsidR="00980569" w:rsidRPr="00B32C19">
        <w:tab/>
        <w:t>Development of the International Whole Vehicle Type Approval system and involvement of the Working Parties in it (agenda item 1</w:t>
      </w:r>
      <w:r w:rsidR="00264122" w:rsidRPr="00B32C19">
        <w:t>4</w:t>
      </w:r>
      <w:r w:rsidR="00980569" w:rsidRPr="00B32C19">
        <w:t>)</w:t>
      </w:r>
      <w:r w:rsidR="00980569" w:rsidRPr="00B32C19">
        <w:tab/>
      </w:r>
      <w:r w:rsidR="00B54342" w:rsidRPr="00B32C19">
        <w:tab/>
      </w:r>
      <w:r w:rsidR="00601D81" w:rsidRPr="00B32C19">
        <w:t>2</w:t>
      </w:r>
      <w:r w:rsidR="00FA500D" w:rsidRPr="00B32C19">
        <w:t>5</w:t>
      </w:r>
      <w:r w:rsidR="00113FBE" w:rsidRPr="00B32C19">
        <w:tab/>
      </w:r>
      <w:r w:rsidR="00FA500D" w:rsidRPr="00B32C19">
        <w:t>7</w:t>
      </w:r>
    </w:p>
    <w:p w:rsidR="001B2C09" w:rsidRPr="00B32C19"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B32C19">
        <w:tab/>
        <w:t>XVI.</w:t>
      </w:r>
      <w:r w:rsidRPr="00B32C19">
        <w:tab/>
      </w:r>
      <w:r w:rsidR="00835A45" w:rsidRPr="00B32C19">
        <w:t xml:space="preserve">Highlights of the </w:t>
      </w:r>
      <w:r w:rsidR="00B06703" w:rsidRPr="00B32C19">
        <w:t xml:space="preserve">November </w:t>
      </w:r>
      <w:r w:rsidR="00524956" w:rsidRPr="00B32C19">
        <w:t>201</w:t>
      </w:r>
      <w:r w:rsidR="00EE2369" w:rsidRPr="00B32C19">
        <w:t>7</w:t>
      </w:r>
      <w:r w:rsidR="00524956" w:rsidRPr="00B32C19">
        <w:t xml:space="preserve"> </w:t>
      </w:r>
      <w:r w:rsidR="00835A45" w:rsidRPr="00B32C19">
        <w:t>session of WP.29</w:t>
      </w:r>
      <w:r w:rsidR="00431ED8" w:rsidRPr="00B32C19">
        <w:t xml:space="preserve"> (agenda item 1</w:t>
      </w:r>
      <w:r w:rsidR="00221FDC" w:rsidRPr="00B32C19">
        <w:t>5</w:t>
      </w:r>
      <w:r w:rsidR="00B54342" w:rsidRPr="00B32C19">
        <w:t>)</w:t>
      </w:r>
      <w:r w:rsidR="00B54342" w:rsidRPr="00B32C19">
        <w:tab/>
      </w:r>
      <w:r w:rsidR="00B54342" w:rsidRPr="00B32C19">
        <w:tab/>
      </w:r>
      <w:r w:rsidR="00FA500D" w:rsidRPr="00B32C19">
        <w:t>26</w:t>
      </w:r>
      <w:r w:rsidRPr="00B32C19">
        <w:tab/>
      </w:r>
      <w:r w:rsidR="00FA500D" w:rsidRPr="00B32C19">
        <w:t>7</w:t>
      </w:r>
    </w:p>
    <w:p w:rsidR="00264122" w:rsidRPr="00B32C19" w:rsidRDefault="00264122" w:rsidP="006F4E58">
      <w:pPr>
        <w:tabs>
          <w:tab w:val="right" w:pos="850"/>
          <w:tab w:val="left" w:pos="1134"/>
          <w:tab w:val="left" w:pos="1559"/>
          <w:tab w:val="left" w:pos="1984"/>
          <w:tab w:val="left" w:leader="dot" w:pos="7654"/>
          <w:tab w:val="right" w:pos="8929"/>
          <w:tab w:val="right" w:pos="9638"/>
        </w:tabs>
        <w:spacing w:after="120"/>
      </w:pPr>
      <w:r w:rsidRPr="00B32C19">
        <w:tab/>
        <w:t>XVII.</w:t>
      </w:r>
      <w:r w:rsidRPr="00B32C19">
        <w:tab/>
        <w:t xml:space="preserve">Exchange of views </w:t>
      </w:r>
      <w:r w:rsidR="00EE2369" w:rsidRPr="00B32C19">
        <w:t xml:space="preserve">on </w:t>
      </w:r>
      <w:r w:rsidRPr="00B32C19">
        <w:t>the future work of GRB (agenda item 16)</w:t>
      </w:r>
      <w:r w:rsidRPr="00B32C19">
        <w:tab/>
      </w:r>
      <w:r w:rsidRPr="00B32C19">
        <w:tab/>
      </w:r>
      <w:r w:rsidR="00FA500D" w:rsidRPr="00B32C19">
        <w:t>27</w:t>
      </w:r>
      <w:r w:rsidRPr="00B32C19">
        <w:tab/>
      </w:r>
      <w:r w:rsidR="00FA500D" w:rsidRPr="00B32C19">
        <w:t>7</w:t>
      </w:r>
    </w:p>
    <w:p w:rsidR="00FE3112" w:rsidRPr="00B32C19" w:rsidRDefault="00FE3112" w:rsidP="006F4E58">
      <w:pPr>
        <w:tabs>
          <w:tab w:val="right" w:pos="850"/>
          <w:tab w:val="left" w:pos="1134"/>
          <w:tab w:val="left" w:pos="1559"/>
          <w:tab w:val="left" w:pos="1984"/>
          <w:tab w:val="left" w:leader="dot" w:pos="7654"/>
          <w:tab w:val="right" w:pos="8929"/>
          <w:tab w:val="right" w:pos="9638"/>
        </w:tabs>
        <w:spacing w:after="120"/>
      </w:pPr>
      <w:r w:rsidRPr="00B32C19">
        <w:tab/>
        <w:t>XV</w:t>
      </w:r>
      <w:r w:rsidR="00264122" w:rsidRPr="00B32C19">
        <w:t>I</w:t>
      </w:r>
      <w:r w:rsidRPr="00B32C19">
        <w:t>II.</w:t>
      </w:r>
      <w:r w:rsidRPr="00B32C19">
        <w:tab/>
        <w:t>Other business (agenda item 1</w:t>
      </w:r>
      <w:r w:rsidR="00264122" w:rsidRPr="00B32C19">
        <w:t>7</w:t>
      </w:r>
      <w:r w:rsidRPr="00B32C19">
        <w:t>)</w:t>
      </w:r>
      <w:r w:rsidRPr="00B32C19">
        <w:tab/>
      </w:r>
      <w:r w:rsidR="00B54342" w:rsidRPr="00B32C19">
        <w:tab/>
      </w:r>
      <w:r w:rsidR="00FA500D" w:rsidRPr="00B32C19">
        <w:t>28</w:t>
      </w:r>
      <w:r w:rsidR="00AD1838" w:rsidRPr="00B32C19">
        <w:t>-3</w:t>
      </w:r>
      <w:r w:rsidR="00FA500D" w:rsidRPr="00B32C19">
        <w:t>0</w:t>
      </w:r>
      <w:r w:rsidR="00B54342" w:rsidRPr="00B32C19">
        <w:tab/>
      </w:r>
      <w:r w:rsidR="00FA500D" w:rsidRPr="00B32C19">
        <w:t>7</w:t>
      </w:r>
    </w:p>
    <w:p w:rsidR="0062564E" w:rsidRPr="00B32C19" w:rsidRDefault="0062564E" w:rsidP="006F4E58">
      <w:pPr>
        <w:tabs>
          <w:tab w:val="right" w:pos="850"/>
          <w:tab w:val="left" w:pos="1134"/>
          <w:tab w:val="left" w:pos="1559"/>
          <w:tab w:val="left" w:pos="1984"/>
          <w:tab w:val="left" w:leader="dot" w:pos="7654"/>
          <w:tab w:val="right" w:pos="8929"/>
          <w:tab w:val="right" w:pos="9638"/>
        </w:tabs>
        <w:spacing w:after="120"/>
      </w:pPr>
      <w:r w:rsidRPr="00B32C19">
        <w:tab/>
        <w:t>XI</w:t>
      </w:r>
      <w:r w:rsidR="00264122" w:rsidRPr="00B32C19">
        <w:t>X</w:t>
      </w:r>
      <w:r w:rsidRPr="00B32C19">
        <w:t>.</w:t>
      </w:r>
      <w:r w:rsidRPr="00B32C19">
        <w:tab/>
        <w:t>Provisional agenda for the sixty-</w:t>
      </w:r>
      <w:r w:rsidR="00B06703" w:rsidRPr="00B32C19">
        <w:t xml:space="preserve">eighth </w:t>
      </w:r>
      <w:r w:rsidR="00524956" w:rsidRPr="00B32C19">
        <w:t>s</w:t>
      </w:r>
      <w:r w:rsidRPr="00B32C19">
        <w:t>ession (agenda item 18)</w:t>
      </w:r>
      <w:r w:rsidRPr="00B32C19">
        <w:tab/>
      </w:r>
      <w:r w:rsidRPr="00B32C19">
        <w:tab/>
      </w:r>
      <w:r w:rsidR="00D55F32" w:rsidRPr="00B32C19">
        <w:t>3</w:t>
      </w:r>
      <w:r w:rsidR="00FA500D" w:rsidRPr="00B32C19">
        <w:t>1</w:t>
      </w:r>
      <w:r w:rsidRPr="00B32C19">
        <w:tab/>
      </w:r>
      <w:r w:rsidR="00B32C19">
        <w:t>8</w:t>
      </w:r>
    </w:p>
    <w:p w:rsidR="00732CF3" w:rsidRPr="00B32C19" w:rsidRDefault="00732CF3" w:rsidP="006F4E58">
      <w:pPr>
        <w:tabs>
          <w:tab w:val="right" w:pos="850"/>
          <w:tab w:val="left" w:pos="1134"/>
          <w:tab w:val="left" w:pos="1559"/>
          <w:tab w:val="left" w:pos="1984"/>
          <w:tab w:val="left" w:leader="dot" w:pos="7654"/>
          <w:tab w:val="right" w:pos="8929"/>
          <w:tab w:val="right" w:pos="9638"/>
        </w:tabs>
        <w:spacing w:after="120"/>
      </w:pPr>
      <w:r w:rsidRPr="00B32C19">
        <w:t>Annexes</w:t>
      </w:r>
    </w:p>
    <w:p w:rsidR="00732CF3" w:rsidRPr="00B32C19"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B32C19">
        <w:tab/>
        <w:t>I.</w:t>
      </w:r>
      <w:r w:rsidRPr="00B32C19">
        <w:tab/>
        <w:t>List of informal documents</w:t>
      </w:r>
      <w:r w:rsidR="00FC5F8A" w:rsidRPr="00B32C19">
        <w:t xml:space="preserve"> (</w:t>
      </w:r>
      <w:r w:rsidR="005E5B0D" w:rsidRPr="00B32C19">
        <w:t>GRB-</w:t>
      </w:r>
      <w:r w:rsidR="00C454E2" w:rsidRPr="00B32C19">
        <w:t>6</w:t>
      </w:r>
      <w:r w:rsidR="00B06703" w:rsidRPr="00B32C19">
        <w:t>7</w:t>
      </w:r>
      <w:r w:rsidR="00655ECA" w:rsidRPr="00B32C19">
        <w:t>-</w:t>
      </w:r>
      <w:r w:rsidR="00FC5F8A" w:rsidRPr="00B32C19">
        <w:t>…)</w:t>
      </w:r>
      <w:r w:rsidRPr="00B32C19">
        <w:t xml:space="preserve"> distributed during the session</w:t>
      </w:r>
      <w:r w:rsidR="00FC5F8A" w:rsidRPr="00B32C19">
        <w:tab/>
      </w:r>
      <w:r w:rsidR="00606987" w:rsidRPr="00B32C19">
        <w:tab/>
      </w:r>
      <w:r w:rsidR="00FA500D" w:rsidRPr="00B32C19">
        <w:t>9</w:t>
      </w:r>
    </w:p>
    <w:p w:rsidR="00705B62" w:rsidRPr="00B32C19" w:rsidRDefault="008C1C59" w:rsidP="00E25887">
      <w:pPr>
        <w:tabs>
          <w:tab w:val="right" w:pos="850"/>
          <w:tab w:val="left" w:pos="1134"/>
          <w:tab w:val="left" w:pos="1984"/>
          <w:tab w:val="right" w:leader="dot" w:pos="8929"/>
          <w:tab w:val="right" w:pos="9638"/>
        </w:tabs>
        <w:spacing w:after="120"/>
        <w:ind w:left="1134" w:right="2239" w:hanging="1600"/>
      </w:pPr>
      <w:r w:rsidRPr="00B32C19">
        <w:tab/>
      </w:r>
      <w:r w:rsidR="00705B62" w:rsidRPr="00B32C19">
        <w:t>II.</w:t>
      </w:r>
      <w:r w:rsidR="00705B62" w:rsidRPr="00B32C19">
        <w:tab/>
      </w:r>
      <w:r w:rsidR="006E7CA1" w:rsidRPr="00B32C19">
        <w:t xml:space="preserve">Adopted amendments to </w:t>
      </w:r>
      <w:r w:rsidR="003373CC" w:rsidRPr="00B32C19">
        <w:t xml:space="preserve">Regulation No. 51 (based on </w:t>
      </w:r>
      <w:r w:rsidR="00E25887" w:rsidRPr="00B32C19">
        <w:t>E</w:t>
      </w:r>
      <w:r w:rsidR="0036512F" w:rsidRPr="00B32C19">
        <w:t>CE/TRANS/WP.29/GRB/201</w:t>
      </w:r>
      <w:r w:rsidR="00335FC0" w:rsidRPr="00B32C19">
        <w:t>8</w:t>
      </w:r>
      <w:r w:rsidR="0036512F" w:rsidRPr="00B32C19">
        <w:t>/</w:t>
      </w:r>
      <w:r w:rsidR="00335FC0" w:rsidRPr="00B32C19">
        <w:t>3</w:t>
      </w:r>
      <w:r w:rsidR="003373CC" w:rsidRPr="00B32C19">
        <w:t>)</w:t>
      </w:r>
      <w:r w:rsidR="00E86C77" w:rsidRPr="00B32C19">
        <w:tab/>
      </w:r>
      <w:r w:rsidR="00705B62" w:rsidRPr="00B32C19">
        <w:tab/>
        <w:t>1</w:t>
      </w:r>
      <w:r w:rsidR="00FA500D" w:rsidRPr="00B32C19">
        <w:t>1</w:t>
      </w:r>
    </w:p>
    <w:p w:rsidR="00335FC0" w:rsidRPr="00B32C19" w:rsidRDefault="00335FC0" w:rsidP="00335FC0">
      <w:pPr>
        <w:tabs>
          <w:tab w:val="right" w:pos="850"/>
          <w:tab w:val="left" w:pos="1134"/>
          <w:tab w:val="left" w:pos="1984"/>
          <w:tab w:val="right" w:leader="dot" w:pos="8929"/>
          <w:tab w:val="right" w:pos="9638"/>
        </w:tabs>
        <w:spacing w:after="120"/>
        <w:ind w:left="1134" w:right="2239" w:hanging="1600"/>
      </w:pPr>
      <w:r w:rsidRPr="00B32C19">
        <w:tab/>
        <w:t>III.</w:t>
      </w:r>
      <w:r w:rsidRPr="00B32C19">
        <w:tab/>
        <w:t>Adopted amendments to Regulation No. 51 (based on ECE/TRANS/WP.29/GRB/2018/2)</w:t>
      </w:r>
      <w:r w:rsidRPr="00B32C19">
        <w:tab/>
      </w:r>
      <w:r w:rsidRPr="00B32C19">
        <w:tab/>
        <w:t>1</w:t>
      </w:r>
      <w:r w:rsidR="00164B9C">
        <w:t>6</w:t>
      </w:r>
    </w:p>
    <w:p w:rsidR="008C1C59" w:rsidRPr="00B32C19"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B32C19">
        <w:tab/>
      </w:r>
      <w:r w:rsidR="007B185A" w:rsidRPr="00B32C19">
        <w:t>I</w:t>
      </w:r>
      <w:r w:rsidR="00335FC0" w:rsidRPr="00B32C19">
        <w:t>V</w:t>
      </w:r>
      <w:r w:rsidRPr="00B32C19">
        <w:t>.</w:t>
      </w:r>
      <w:r w:rsidRPr="00B32C19">
        <w:tab/>
      </w:r>
      <w:r w:rsidR="00E86C77" w:rsidRPr="00B32C19">
        <w:t>GRB informal groups</w:t>
      </w:r>
      <w:r w:rsidR="00E86C77" w:rsidRPr="00B32C19">
        <w:tab/>
      </w:r>
      <w:r w:rsidR="00606987" w:rsidRPr="00B32C19">
        <w:tab/>
      </w:r>
      <w:r w:rsidR="006006FD">
        <w:t>19</w:t>
      </w:r>
    </w:p>
    <w:p w:rsidR="002C00F5" w:rsidRPr="00B32C19" w:rsidRDefault="002C00F5" w:rsidP="000E7032">
      <w:pPr>
        <w:pStyle w:val="HChG"/>
      </w:pPr>
      <w:r w:rsidRPr="00B32C19">
        <w:br w:type="page"/>
      </w:r>
      <w:r w:rsidR="000E7032" w:rsidRPr="00B32C19">
        <w:lastRenderedPageBreak/>
        <w:tab/>
      </w:r>
      <w:r w:rsidRPr="00B32C19">
        <w:t>I.</w:t>
      </w:r>
      <w:r w:rsidRPr="00B32C19">
        <w:tab/>
      </w:r>
      <w:r w:rsidR="001C7B84" w:rsidRPr="00B32C19">
        <w:t>Attendance</w:t>
      </w:r>
    </w:p>
    <w:p w:rsidR="002C00F5" w:rsidRPr="00B32C19" w:rsidRDefault="002C00F5" w:rsidP="00954D06">
      <w:pPr>
        <w:pStyle w:val="SingleTxtG"/>
        <w:ind w:right="993"/>
      </w:pPr>
      <w:r w:rsidRPr="00B32C19">
        <w:t>1.</w:t>
      </w:r>
      <w:r w:rsidRPr="00B32C19">
        <w:tab/>
        <w:t xml:space="preserve">The Working Party on Noise (GRB) held its </w:t>
      </w:r>
      <w:r w:rsidR="001C3BF1" w:rsidRPr="00B32C19">
        <w:t>sixty-</w:t>
      </w:r>
      <w:r w:rsidR="00056200" w:rsidRPr="00B32C19">
        <w:t xml:space="preserve">seventh </w:t>
      </w:r>
      <w:r w:rsidRPr="00B32C19">
        <w:t xml:space="preserve">session from </w:t>
      </w:r>
      <w:r w:rsidR="00056200" w:rsidRPr="00B32C19">
        <w:t>2</w:t>
      </w:r>
      <w:r w:rsidR="0062091C" w:rsidRPr="00B32C19">
        <w:t xml:space="preserve">4 </w:t>
      </w:r>
      <w:r w:rsidR="00A23969" w:rsidRPr="00B32C19">
        <w:t>to</w:t>
      </w:r>
      <w:r w:rsidR="00835A45" w:rsidRPr="00B32C19">
        <w:t xml:space="preserve"> </w:t>
      </w:r>
      <w:r w:rsidR="00056200" w:rsidRPr="00B32C19">
        <w:t>2</w:t>
      </w:r>
      <w:r w:rsidR="0062091C" w:rsidRPr="00B32C19">
        <w:t>6</w:t>
      </w:r>
      <w:r w:rsidR="00FC039C" w:rsidRPr="00B32C19">
        <w:t xml:space="preserve"> </w:t>
      </w:r>
      <w:r w:rsidR="00056200" w:rsidRPr="00B32C19">
        <w:t xml:space="preserve">January </w:t>
      </w:r>
      <w:r w:rsidRPr="00B32C19">
        <w:t>20</w:t>
      </w:r>
      <w:r w:rsidR="009A7EFB" w:rsidRPr="00B32C19">
        <w:t>1</w:t>
      </w:r>
      <w:r w:rsidR="00056200" w:rsidRPr="00B32C19">
        <w:t>8</w:t>
      </w:r>
      <w:r w:rsidRPr="00B32C19">
        <w:t xml:space="preserve"> in Geneva</w:t>
      </w:r>
      <w:r w:rsidR="000A0DAE" w:rsidRPr="00B32C19">
        <w:t>. T</w:t>
      </w:r>
      <w:r w:rsidR="00B204C4" w:rsidRPr="00B32C19">
        <w:t xml:space="preserve">he meeting was chaired by </w:t>
      </w:r>
      <w:r w:rsidR="004809B3" w:rsidRPr="00B32C19">
        <w:t>Mr. S. Fi</w:t>
      </w:r>
      <w:r w:rsidR="00A57625" w:rsidRPr="00B32C19">
        <w:t>cheux (France</w:t>
      </w:r>
      <w:r w:rsidRPr="00B32C19">
        <w:t>).</w:t>
      </w:r>
      <w:r w:rsidR="009A7EFB" w:rsidRPr="00B32C19">
        <w:t xml:space="preserve"> </w:t>
      </w:r>
      <w:r w:rsidRPr="00B32C19">
        <w:t>Experts from the following countries participated in the work following Rule 1(a) of the Rules of Procedure of the World Forum for Harmonization of Vehicle Regulations (WP.29)</w:t>
      </w:r>
      <w:r w:rsidR="00FC039C" w:rsidRPr="00B32C19">
        <w:t xml:space="preserve"> </w:t>
      </w:r>
      <w:r w:rsidRPr="00B32C19">
        <w:t>(TRANS/WP.29/690</w:t>
      </w:r>
      <w:r w:rsidR="00056200" w:rsidRPr="00B32C19">
        <w:t>/Rev.1</w:t>
      </w:r>
      <w:r w:rsidRPr="00B32C19">
        <w:t>):</w:t>
      </w:r>
      <w:r w:rsidR="00264122" w:rsidRPr="00B32C19">
        <w:t xml:space="preserve"> </w:t>
      </w:r>
      <w:r w:rsidR="008547E5" w:rsidRPr="004D5A5C">
        <w:t>China</w:t>
      </w:r>
      <w:r w:rsidR="001339F4" w:rsidRPr="004D5A5C">
        <w:t>,</w:t>
      </w:r>
      <w:r w:rsidR="002C3F66" w:rsidRPr="004D5A5C">
        <w:t xml:space="preserve"> </w:t>
      </w:r>
      <w:r w:rsidR="00681899" w:rsidRPr="004D5A5C">
        <w:t>France</w:t>
      </w:r>
      <w:r w:rsidR="001339F4" w:rsidRPr="004D5A5C">
        <w:t>,</w:t>
      </w:r>
      <w:r w:rsidR="00681899" w:rsidRPr="004D5A5C">
        <w:t xml:space="preserve"> Germany</w:t>
      </w:r>
      <w:r w:rsidR="001339F4" w:rsidRPr="004D5A5C">
        <w:t>,</w:t>
      </w:r>
      <w:r w:rsidR="008547E5" w:rsidRPr="004D5A5C">
        <w:t xml:space="preserve"> </w:t>
      </w:r>
      <w:r w:rsidR="009A4565" w:rsidRPr="004D5A5C">
        <w:t>Hungary</w:t>
      </w:r>
      <w:r w:rsidR="001339F4" w:rsidRPr="004D5A5C">
        <w:t>,</w:t>
      </w:r>
      <w:r w:rsidR="009A4565" w:rsidRPr="004D5A5C">
        <w:t xml:space="preserve"> </w:t>
      </w:r>
      <w:r w:rsidR="004D4035" w:rsidRPr="004D5A5C">
        <w:t>India</w:t>
      </w:r>
      <w:r w:rsidR="001339F4" w:rsidRPr="004D5A5C">
        <w:t>,</w:t>
      </w:r>
      <w:r w:rsidR="004D4035" w:rsidRPr="004D5A5C">
        <w:t xml:space="preserve"> </w:t>
      </w:r>
      <w:r w:rsidRPr="004D5A5C">
        <w:t>Italy</w:t>
      </w:r>
      <w:r w:rsidR="001339F4" w:rsidRPr="004D5A5C">
        <w:t>,</w:t>
      </w:r>
      <w:r w:rsidRPr="004D5A5C">
        <w:t xml:space="preserve"> Japa</w:t>
      </w:r>
      <w:r w:rsidR="00601851" w:rsidRPr="004D5A5C">
        <w:t>n</w:t>
      </w:r>
      <w:r w:rsidR="001339F4" w:rsidRPr="004D5A5C">
        <w:t>,</w:t>
      </w:r>
      <w:r w:rsidR="00601851" w:rsidRPr="004D5A5C">
        <w:t xml:space="preserve"> Netherlands</w:t>
      </w:r>
      <w:r w:rsidR="001339F4" w:rsidRPr="004D5A5C">
        <w:t>,</w:t>
      </w:r>
      <w:r w:rsidR="00D30817" w:rsidRPr="004D5A5C">
        <w:t xml:space="preserve"> </w:t>
      </w:r>
      <w:r w:rsidR="005D5B99" w:rsidRPr="004D5A5C">
        <w:t xml:space="preserve">Norway, </w:t>
      </w:r>
      <w:r w:rsidR="001B188D" w:rsidRPr="004D5A5C">
        <w:t>Poland</w:t>
      </w:r>
      <w:r w:rsidR="001339F4" w:rsidRPr="004D5A5C">
        <w:t>,</w:t>
      </w:r>
      <w:r w:rsidR="00525B4B" w:rsidRPr="004D5A5C">
        <w:t xml:space="preserve"> Republic of Korea</w:t>
      </w:r>
      <w:r w:rsidR="001339F4" w:rsidRPr="004D5A5C">
        <w:t>,</w:t>
      </w:r>
      <w:r w:rsidR="001B188D" w:rsidRPr="004D5A5C">
        <w:t xml:space="preserve"> </w:t>
      </w:r>
      <w:r w:rsidR="009A4565" w:rsidRPr="004D5A5C">
        <w:t>Russian Federation</w:t>
      </w:r>
      <w:r w:rsidR="001339F4" w:rsidRPr="004D5A5C">
        <w:t>,</w:t>
      </w:r>
      <w:r w:rsidR="00B92AB1" w:rsidRPr="004D5A5C">
        <w:t xml:space="preserve"> </w:t>
      </w:r>
      <w:r w:rsidR="002C3F66" w:rsidRPr="004D5A5C">
        <w:t>Spain</w:t>
      </w:r>
      <w:r w:rsidR="001339F4" w:rsidRPr="004D5A5C">
        <w:t>,</w:t>
      </w:r>
      <w:r w:rsidR="002C3F66" w:rsidRPr="004D5A5C">
        <w:t xml:space="preserve"> </w:t>
      </w:r>
      <w:r w:rsidR="00C17272" w:rsidRPr="004D5A5C">
        <w:t>Sweden</w:t>
      </w:r>
      <w:r w:rsidR="001339F4" w:rsidRPr="004D5A5C">
        <w:t>,</w:t>
      </w:r>
      <w:r w:rsidR="00C17272" w:rsidRPr="004D5A5C">
        <w:t xml:space="preserve"> </w:t>
      </w:r>
      <w:r w:rsidR="002C3F66" w:rsidRPr="004D5A5C">
        <w:t>Switzerland</w:t>
      </w:r>
      <w:r w:rsidR="00D47E27" w:rsidRPr="004D5A5C">
        <w:t xml:space="preserve"> and</w:t>
      </w:r>
      <w:r w:rsidR="00134702" w:rsidRPr="004D5A5C">
        <w:t xml:space="preserve"> Turkey</w:t>
      </w:r>
      <w:r w:rsidRPr="004D5A5C">
        <w:t>.</w:t>
      </w:r>
      <w:r w:rsidR="009A7EFB" w:rsidRPr="004D5A5C">
        <w:t xml:space="preserve"> </w:t>
      </w:r>
      <w:r w:rsidR="009F284F" w:rsidRPr="004D5A5C">
        <w:t>E</w:t>
      </w:r>
      <w:r w:rsidR="008547E5" w:rsidRPr="004D5A5C">
        <w:t>xpert</w:t>
      </w:r>
      <w:r w:rsidR="009F284F" w:rsidRPr="004D5A5C">
        <w:t>s</w:t>
      </w:r>
      <w:r w:rsidR="008547E5" w:rsidRPr="004D5A5C">
        <w:t xml:space="preserve"> from the European Commission (EC) participated. </w:t>
      </w:r>
      <w:r w:rsidRPr="004D5A5C">
        <w:t>Experts from the following non</w:t>
      </w:r>
      <w:r w:rsidR="00A6485D" w:rsidRPr="004D5A5C">
        <w:t>-</w:t>
      </w:r>
      <w:r w:rsidRPr="004D5A5C">
        <w:t xml:space="preserve">governmental organizations also participated: </w:t>
      </w:r>
      <w:r w:rsidR="00005C08" w:rsidRPr="004D5A5C">
        <w:t>European Association of Automotive Suppliers (CLEPA)</w:t>
      </w:r>
      <w:r w:rsidR="001339F4" w:rsidRPr="004D5A5C">
        <w:t xml:space="preserve">, </w:t>
      </w:r>
      <w:r w:rsidR="0062094F" w:rsidRPr="004D5A5C">
        <w:t>European Tyre and Rim Technical Organi</w:t>
      </w:r>
      <w:r w:rsidR="00DF5841" w:rsidRPr="004D5A5C">
        <w:t>z</w:t>
      </w:r>
      <w:r w:rsidR="0062094F" w:rsidRPr="004D5A5C">
        <w:t>ation (ETRTO)</w:t>
      </w:r>
      <w:r w:rsidR="001339F4" w:rsidRPr="004D5A5C">
        <w:t xml:space="preserve">, </w:t>
      </w:r>
      <w:r w:rsidRPr="004D5A5C">
        <w:t>Motorcycle Manufacturers Association (IMMA)</w:t>
      </w:r>
      <w:r w:rsidR="001339F4" w:rsidRPr="004D5A5C">
        <w:t xml:space="preserve">, </w:t>
      </w:r>
      <w:r w:rsidRPr="004D5A5C">
        <w:t>International Organization for Standardization (ISO)</w:t>
      </w:r>
      <w:r w:rsidR="001339F4" w:rsidRPr="004D5A5C">
        <w:t xml:space="preserve">, </w:t>
      </w:r>
      <w:r w:rsidRPr="004D5A5C">
        <w:t>International Organization of Motor Vehicle Manufacturers (OICA)</w:t>
      </w:r>
      <w:r w:rsidR="0019022C" w:rsidRPr="004D5A5C">
        <w:t xml:space="preserve"> and World Blind Union (WBU)</w:t>
      </w:r>
      <w:r w:rsidR="004253E5" w:rsidRPr="004D5A5C">
        <w:t>.</w:t>
      </w:r>
    </w:p>
    <w:p w:rsidR="002C00F5" w:rsidRPr="00B32C19" w:rsidRDefault="007416CB" w:rsidP="00F72C58">
      <w:pPr>
        <w:pStyle w:val="HChG"/>
        <w:ind w:right="993"/>
      </w:pPr>
      <w:r w:rsidRPr="00B32C19">
        <w:tab/>
      </w:r>
      <w:r w:rsidR="002C00F5" w:rsidRPr="00B32C19">
        <w:t>II.</w:t>
      </w:r>
      <w:r w:rsidR="002C00F5" w:rsidRPr="00B32C19">
        <w:tab/>
      </w:r>
      <w:r w:rsidR="001C7B84" w:rsidRPr="00B32C19">
        <w:t>Adoption of the agenda (a</w:t>
      </w:r>
      <w:r w:rsidR="002C00F5" w:rsidRPr="00B32C19">
        <w:t>genda item 1)</w:t>
      </w:r>
    </w:p>
    <w:p w:rsidR="00980569" w:rsidRPr="006B44AC" w:rsidRDefault="002C00F5" w:rsidP="0091554D">
      <w:pPr>
        <w:pStyle w:val="SingleTxtG"/>
        <w:ind w:left="2835" w:right="992" w:hanging="1701"/>
        <w:jc w:val="left"/>
        <w:rPr>
          <w:lang w:val="fr-FR"/>
        </w:rPr>
      </w:pPr>
      <w:r w:rsidRPr="006B44AC">
        <w:rPr>
          <w:i/>
          <w:lang w:val="fr-FR"/>
        </w:rPr>
        <w:t>Documentation</w:t>
      </w:r>
      <w:r w:rsidR="00454068" w:rsidRPr="006B44AC">
        <w:rPr>
          <w:lang w:val="fr-FR"/>
        </w:rPr>
        <w:t>:</w:t>
      </w:r>
      <w:r w:rsidR="00454068" w:rsidRPr="006B44AC">
        <w:rPr>
          <w:lang w:val="fr-FR"/>
        </w:rPr>
        <w:tab/>
      </w:r>
      <w:r w:rsidR="0091554D" w:rsidRPr="006B44AC">
        <w:rPr>
          <w:lang w:val="fr-FR"/>
        </w:rPr>
        <w:t>ECE/TRANS/WP.29/GRB/201</w:t>
      </w:r>
      <w:r w:rsidR="00621E0F" w:rsidRPr="006B44AC">
        <w:rPr>
          <w:lang w:val="fr-FR"/>
        </w:rPr>
        <w:t>8</w:t>
      </w:r>
      <w:r w:rsidR="0091554D" w:rsidRPr="006B44AC">
        <w:rPr>
          <w:lang w:val="fr-FR"/>
        </w:rPr>
        <w:t>/</w:t>
      </w:r>
      <w:r w:rsidR="00621E0F" w:rsidRPr="006B44AC">
        <w:rPr>
          <w:lang w:val="fr-FR"/>
        </w:rPr>
        <w:t>1</w:t>
      </w:r>
      <w:r w:rsidR="00C52F39" w:rsidRPr="006B44AC">
        <w:rPr>
          <w:lang w:val="fr-FR"/>
        </w:rPr>
        <w:t xml:space="preserve"> </w:t>
      </w:r>
      <w:r w:rsidR="00D57B50" w:rsidRPr="006B44AC">
        <w:rPr>
          <w:lang w:val="fr-FR"/>
        </w:rPr>
        <w:t xml:space="preserve"> </w:t>
      </w:r>
    </w:p>
    <w:p w:rsidR="00901F3B" w:rsidRPr="00B32C19" w:rsidRDefault="006A65FE" w:rsidP="005309D0">
      <w:pPr>
        <w:pStyle w:val="SingleTxtG"/>
        <w:ind w:right="993"/>
      </w:pPr>
      <w:r w:rsidRPr="00B32C19">
        <w:t>2</w:t>
      </w:r>
      <w:r w:rsidR="002C00F5" w:rsidRPr="00B32C19">
        <w:t>.</w:t>
      </w:r>
      <w:r w:rsidR="002C00F5" w:rsidRPr="00B32C19">
        <w:tab/>
        <w:t>GRB considered and adopted the agenda</w:t>
      </w:r>
      <w:r w:rsidR="0030246D" w:rsidRPr="00B32C19">
        <w:t>.</w:t>
      </w:r>
      <w:r w:rsidR="00F9210E" w:rsidRPr="00B32C19">
        <w:t xml:space="preserve"> The list of informal documents is contained in Annex I. The list of GRB informal groups is reproduced in Annex I</w:t>
      </w:r>
      <w:r w:rsidR="00FA500D" w:rsidRPr="00B32C19">
        <w:t>V</w:t>
      </w:r>
      <w:r w:rsidR="00F9210E" w:rsidRPr="00B32C19">
        <w:t>.</w:t>
      </w:r>
    </w:p>
    <w:p w:rsidR="000969E5" w:rsidRPr="00B32C19" w:rsidRDefault="000969E5" w:rsidP="000969E5">
      <w:pPr>
        <w:pStyle w:val="HChG"/>
        <w:ind w:right="993"/>
      </w:pPr>
      <w:r w:rsidRPr="00B32C19">
        <w:tab/>
        <w:t>III.</w:t>
      </w:r>
      <w:r w:rsidRPr="00B32C19">
        <w:tab/>
        <w:t>Regulation No. 28 (Audible warning devices)</w:t>
      </w:r>
      <w:r w:rsidR="00C034DA" w:rsidRPr="00B32C19">
        <w:t xml:space="preserve"> (agenda item 2)</w:t>
      </w:r>
    </w:p>
    <w:p w:rsidR="00FD724D" w:rsidRPr="00B32C19" w:rsidRDefault="006A65FE" w:rsidP="0047172F">
      <w:pPr>
        <w:pStyle w:val="SingleTxtG"/>
      </w:pPr>
      <w:r w:rsidRPr="00B32C19">
        <w:t>3</w:t>
      </w:r>
      <w:r w:rsidR="0047172F" w:rsidRPr="00B32C19">
        <w:t>.</w:t>
      </w:r>
      <w:r w:rsidR="0047172F" w:rsidRPr="00B32C19">
        <w:tab/>
      </w:r>
      <w:r w:rsidR="00353F2F" w:rsidRPr="00B32C19">
        <w:t xml:space="preserve"> </w:t>
      </w:r>
      <w:r w:rsidR="00C52F39" w:rsidRPr="00B32C19">
        <w:t>No issues were considered under this agenda item.</w:t>
      </w:r>
      <w:r w:rsidR="008042D0" w:rsidRPr="00B32C19">
        <w:t xml:space="preserve">  </w:t>
      </w:r>
      <w:r w:rsidR="00B56781" w:rsidRPr="00B32C19">
        <w:t xml:space="preserve">               </w:t>
      </w:r>
      <w:r w:rsidR="00AC0334" w:rsidRPr="00B32C19">
        <w:t xml:space="preserve">     </w:t>
      </w:r>
      <w:r w:rsidR="00B04B56" w:rsidRPr="00B32C19">
        <w:t xml:space="preserve"> </w:t>
      </w:r>
      <w:r w:rsidR="00B625C8" w:rsidRPr="00B32C19">
        <w:t xml:space="preserve"> </w:t>
      </w:r>
      <w:r w:rsidR="00525B4B" w:rsidRPr="00B32C19">
        <w:t xml:space="preserve">   </w:t>
      </w:r>
      <w:r w:rsidR="00FD724D" w:rsidRPr="00B32C19">
        <w:t xml:space="preserve"> </w:t>
      </w:r>
    </w:p>
    <w:p w:rsidR="002C00F5" w:rsidRPr="00B32C19" w:rsidRDefault="007416CB" w:rsidP="00F72C58">
      <w:pPr>
        <w:pStyle w:val="HChG"/>
        <w:ind w:right="993"/>
      </w:pPr>
      <w:r w:rsidRPr="00B32C19">
        <w:tab/>
      </w:r>
      <w:r w:rsidR="002C00F5" w:rsidRPr="00B32C19">
        <w:t>I</w:t>
      </w:r>
      <w:r w:rsidR="00703C08" w:rsidRPr="00B32C19">
        <w:t>V</w:t>
      </w:r>
      <w:r w:rsidR="002C00F5" w:rsidRPr="00B32C19">
        <w:t>.</w:t>
      </w:r>
      <w:r w:rsidR="002C00F5" w:rsidRPr="00B32C19">
        <w:tab/>
      </w:r>
      <w:r w:rsidR="001C7B84" w:rsidRPr="00B32C19">
        <w:t xml:space="preserve">Regulation No. 41 </w:t>
      </w:r>
      <w:r w:rsidR="00853374" w:rsidRPr="00B32C19">
        <w:t>(</w:t>
      </w:r>
      <w:r w:rsidR="001C7B84" w:rsidRPr="00B32C19">
        <w:t xml:space="preserve">Noise </w:t>
      </w:r>
      <w:r w:rsidR="00173794" w:rsidRPr="00B32C19">
        <w:t xml:space="preserve">emissions </w:t>
      </w:r>
      <w:r w:rsidR="001C7B84" w:rsidRPr="00B32C19">
        <w:t>of motorcycles</w:t>
      </w:r>
      <w:r w:rsidR="00853374" w:rsidRPr="00B32C19">
        <w:t>)</w:t>
      </w:r>
      <w:r w:rsidR="00880E8D" w:rsidRPr="00B32C19">
        <w:t>: Development</w:t>
      </w:r>
      <w:r w:rsidR="001C7B84" w:rsidRPr="00B32C19">
        <w:t xml:space="preserve"> (a</w:t>
      </w:r>
      <w:r w:rsidR="002C00F5" w:rsidRPr="00B32C19">
        <w:t xml:space="preserve">genda item </w:t>
      </w:r>
      <w:r w:rsidR="00FA2EBE" w:rsidRPr="00B32C19">
        <w:t>3</w:t>
      </w:r>
      <w:r w:rsidR="002C00F5" w:rsidRPr="00B32C19">
        <w:t>)</w:t>
      </w:r>
    </w:p>
    <w:p w:rsidR="004D05A1" w:rsidRPr="00B32C19" w:rsidRDefault="004D05A1" w:rsidP="004D05A1">
      <w:pPr>
        <w:pStyle w:val="SingleTxtG"/>
        <w:ind w:left="2835" w:hanging="1701"/>
      </w:pPr>
      <w:r w:rsidRPr="00B32C19">
        <w:rPr>
          <w:i/>
        </w:rPr>
        <w:t>Documentation</w:t>
      </w:r>
      <w:r w:rsidRPr="00B32C19">
        <w:t>:</w:t>
      </w:r>
      <w:r w:rsidRPr="00B32C19">
        <w:tab/>
      </w:r>
      <w:r w:rsidR="00EE0594" w:rsidRPr="00B32C19">
        <w:t>Informal document</w:t>
      </w:r>
      <w:r w:rsidR="009D7F0B" w:rsidRPr="00B32C19">
        <w:t>s</w:t>
      </w:r>
      <w:r w:rsidR="00EE0594" w:rsidRPr="00B32C19">
        <w:t xml:space="preserve"> </w:t>
      </w:r>
      <w:r w:rsidR="009E1C44" w:rsidRPr="00B32C19">
        <w:t>GRB-67-12</w:t>
      </w:r>
      <w:r w:rsidR="001500AE" w:rsidRPr="00B32C19">
        <w:t xml:space="preserve">, </w:t>
      </w:r>
      <w:r w:rsidR="009E1C44" w:rsidRPr="00B32C19">
        <w:t>GRB-67-13</w:t>
      </w:r>
      <w:r w:rsidR="001500AE" w:rsidRPr="00B32C19">
        <w:t xml:space="preserve"> and GRB-67-16-Rev.1</w:t>
      </w:r>
      <w:r w:rsidRPr="00B32C19">
        <w:t xml:space="preserve">  </w:t>
      </w:r>
    </w:p>
    <w:p w:rsidR="00496DFB" w:rsidRPr="00B32C19" w:rsidRDefault="001F7AAC" w:rsidP="006E2B8C">
      <w:pPr>
        <w:pStyle w:val="SingleTxtG"/>
        <w:ind w:right="993"/>
      </w:pPr>
      <w:r w:rsidRPr="00B32C19">
        <w:t>4</w:t>
      </w:r>
      <w:r w:rsidR="006E2B8C" w:rsidRPr="00B32C19">
        <w:t>.</w:t>
      </w:r>
      <w:r w:rsidR="006E2B8C" w:rsidRPr="00B32C19">
        <w:tab/>
        <w:t xml:space="preserve">The expert from EC </w:t>
      </w:r>
      <w:r w:rsidR="00BE5CD4" w:rsidRPr="00B32C19">
        <w:t xml:space="preserve">reported on the progress of </w:t>
      </w:r>
      <w:r w:rsidR="006E2B8C" w:rsidRPr="00B32C19">
        <w:t>the study on Euro 5 sound level limits of L-category vehicles (GRB-6</w:t>
      </w:r>
      <w:r w:rsidR="00BE5CD4" w:rsidRPr="00B32C19">
        <w:t>7</w:t>
      </w:r>
      <w:r w:rsidR="006E2B8C" w:rsidRPr="00B32C19">
        <w:t>-1</w:t>
      </w:r>
      <w:r w:rsidR="00BE5CD4" w:rsidRPr="00B32C19">
        <w:t>3</w:t>
      </w:r>
      <w:r w:rsidR="006E2B8C" w:rsidRPr="00B32C19">
        <w:t>)</w:t>
      </w:r>
      <w:r w:rsidR="00BE5CD4" w:rsidRPr="00B32C19">
        <w:t>, including a cost-benefit analysis (CBA). According to him, the study</w:t>
      </w:r>
      <w:r w:rsidR="00496DFB" w:rsidRPr="00B32C19">
        <w:t xml:space="preserve"> identified a</w:t>
      </w:r>
      <w:r w:rsidR="006E2B8C" w:rsidRPr="00B32C19">
        <w:t xml:space="preserve"> potential for </w:t>
      </w:r>
      <w:r w:rsidR="00496DFB" w:rsidRPr="00B32C19">
        <w:t xml:space="preserve">reducing </w:t>
      </w:r>
      <w:r w:rsidR="006E2B8C" w:rsidRPr="00B32C19">
        <w:t>sound limits of L-category vehicles.</w:t>
      </w:r>
      <w:r w:rsidR="00496DFB" w:rsidRPr="00B32C19">
        <w:t xml:space="preserve"> The expert of IMMA was of the view that the study did not properly address a wide variety of vehicles and that lowering the sound limits for type approval would not solve the main issue: single vehicles creating a high noise level (GRB-67-16-Rev.1).    </w:t>
      </w:r>
      <w:r w:rsidR="006E2B8C" w:rsidRPr="00B32C19">
        <w:t xml:space="preserve"> </w:t>
      </w:r>
    </w:p>
    <w:p w:rsidR="006E0C51" w:rsidRPr="00B32C19" w:rsidRDefault="001F7AAC" w:rsidP="006E2B8C">
      <w:pPr>
        <w:pStyle w:val="SingleTxtG"/>
        <w:ind w:right="993"/>
      </w:pPr>
      <w:r w:rsidRPr="00B32C19">
        <w:t>5.</w:t>
      </w:r>
      <w:r w:rsidRPr="00B32C19">
        <w:tab/>
      </w:r>
      <w:r w:rsidR="006E2B8C" w:rsidRPr="00B32C19">
        <w:t>The experts from Germany, Netherlands</w:t>
      </w:r>
      <w:r w:rsidR="00496DFB" w:rsidRPr="00B32C19">
        <w:t xml:space="preserve"> and Spain </w:t>
      </w:r>
      <w:r w:rsidR="000C2F28" w:rsidRPr="00B32C19">
        <w:t xml:space="preserve">posed questions </w:t>
      </w:r>
      <w:r w:rsidR="001339F4">
        <w:t>about</w:t>
      </w:r>
      <w:r w:rsidR="001339F4" w:rsidRPr="00B32C19">
        <w:t xml:space="preserve"> </w:t>
      </w:r>
      <w:r w:rsidR="000C2F28" w:rsidRPr="00B32C19">
        <w:t xml:space="preserve">the study assumptions and pointed out that </w:t>
      </w:r>
      <w:r w:rsidR="006E0C51" w:rsidRPr="00B32C19">
        <w:t>the proposed policy measures w</w:t>
      </w:r>
      <w:r w:rsidR="000C2F28" w:rsidRPr="00B32C19">
        <w:t>ould not tackle illegal aftermarket products (silencers)</w:t>
      </w:r>
      <w:r w:rsidR="001339F4">
        <w:t xml:space="preserve"> that were </w:t>
      </w:r>
      <w:r w:rsidR="000C2F28" w:rsidRPr="00B32C19">
        <w:t>the heart of the problem. The Chair invited EC to take into consideration the comments received and to work closely with Contracting Parties</w:t>
      </w:r>
      <w:r w:rsidR="006E0C51" w:rsidRPr="00B32C19">
        <w:t xml:space="preserve">, </w:t>
      </w:r>
      <w:r w:rsidR="000C2F28" w:rsidRPr="00B32C19">
        <w:t>IMMA</w:t>
      </w:r>
      <w:r w:rsidR="006E0C51" w:rsidRPr="00B32C19">
        <w:t xml:space="preserve"> and other stakeholders</w:t>
      </w:r>
      <w:r w:rsidR="000C2F28" w:rsidRPr="00B32C19">
        <w:t xml:space="preserve"> with a view </w:t>
      </w:r>
      <w:r w:rsidR="006E0C51" w:rsidRPr="00B32C19">
        <w:t xml:space="preserve">to proposing tangible solutions. </w:t>
      </w:r>
    </w:p>
    <w:p w:rsidR="000C2F28" w:rsidRPr="00B32C19" w:rsidRDefault="001F7AAC" w:rsidP="006E2B8C">
      <w:pPr>
        <w:pStyle w:val="SingleTxtG"/>
        <w:ind w:right="993"/>
      </w:pPr>
      <w:r w:rsidRPr="00B32C19">
        <w:t>6.</w:t>
      </w:r>
      <w:r w:rsidRPr="00B32C19">
        <w:tab/>
      </w:r>
      <w:r w:rsidR="000C2F28" w:rsidRPr="00B32C19">
        <w:t xml:space="preserve">The expert of Japan informed GRB about the ongoing internal discussions on the limit values in the 04 series of amendments to Regulation No. 41, the outcome of which would be shared with GRB.  </w:t>
      </w:r>
    </w:p>
    <w:p w:rsidR="009E1C44" w:rsidRPr="00B32C19" w:rsidRDefault="001F7AAC" w:rsidP="0061528A">
      <w:pPr>
        <w:pStyle w:val="SingleTxtG"/>
        <w:ind w:right="993"/>
      </w:pPr>
      <w:r w:rsidRPr="00B32C19">
        <w:t>7.</w:t>
      </w:r>
      <w:r w:rsidRPr="00B32C19">
        <w:tab/>
      </w:r>
      <w:r w:rsidR="006E0C51" w:rsidRPr="00B32C19">
        <w:t>The expert of IMMA withdrew GRB-67-12.</w:t>
      </w:r>
    </w:p>
    <w:p w:rsidR="002C00F5" w:rsidRPr="00B32C19" w:rsidRDefault="007416CB" w:rsidP="000E7032">
      <w:pPr>
        <w:pStyle w:val="HChG"/>
      </w:pPr>
      <w:r w:rsidRPr="00B32C19">
        <w:lastRenderedPageBreak/>
        <w:tab/>
      </w:r>
      <w:r w:rsidR="002C00F5" w:rsidRPr="00B32C19">
        <w:t>V.</w:t>
      </w:r>
      <w:r w:rsidR="002C00F5" w:rsidRPr="00B32C19">
        <w:tab/>
      </w:r>
      <w:r w:rsidR="00BF7CE2" w:rsidRPr="00B32C19">
        <w:t xml:space="preserve">Regulation No. 51 </w:t>
      </w:r>
      <w:r w:rsidR="00853374" w:rsidRPr="00B32C19">
        <w:t>(</w:t>
      </w:r>
      <w:r w:rsidR="00BF7CE2" w:rsidRPr="00B32C19">
        <w:t xml:space="preserve">Noise of </w:t>
      </w:r>
      <w:r w:rsidR="00430797" w:rsidRPr="00B32C19">
        <w:t xml:space="preserve">M </w:t>
      </w:r>
      <w:r w:rsidR="00BF7CE2" w:rsidRPr="00B32C19">
        <w:t xml:space="preserve">and </w:t>
      </w:r>
      <w:r w:rsidR="00430797" w:rsidRPr="00B32C19">
        <w:t xml:space="preserve">N </w:t>
      </w:r>
      <w:r w:rsidR="00BF7CE2" w:rsidRPr="00B32C19">
        <w:t>categories of vehicles</w:t>
      </w:r>
      <w:r w:rsidR="00853374" w:rsidRPr="00B32C19">
        <w:t>)</w:t>
      </w:r>
      <w:r w:rsidR="00BF7CE2" w:rsidRPr="00B32C19">
        <w:t xml:space="preserve"> (a</w:t>
      </w:r>
      <w:r w:rsidR="002C00F5" w:rsidRPr="00B32C19">
        <w:t xml:space="preserve">genda item </w:t>
      </w:r>
      <w:r w:rsidR="00FA2EBE" w:rsidRPr="00B32C19">
        <w:t>4</w:t>
      </w:r>
      <w:r w:rsidR="002C00F5" w:rsidRPr="00B32C19">
        <w:t>)</w:t>
      </w:r>
    </w:p>
    <w:p w:rsidR="002C00F5" w:rsidRPr="00B32C19" w:rsidRDefault="007416CB" w:rsidP="000E7032">
      <w:pPr>
        <w:pStyle w:val="H1G"/>
      </w:pPr>
      <w:r w:rsidRPr="00B32C19">
        <w:tab/>
      </w:r>
      <w:r w:rsidR="002C00F5" w:rsidRPr="00B32C19">
        <w:t>A.</w:t>
      </w:r>
      <w:r w:rsidR="002C00F5" w:rsidRPr="00B32C19">
        <w:tab/>
        <w:t>Development</w:t>
      </w:r>
    </w:p>
    <w:p w:rsidR="00136CEA" w:rsidRPr="00B32C19" w:rsidRDefault="006E53A8" w:rsidP="00136CEA">
      <w:pPr>
        <w:pStyle w:val="SingleTxtG"/>
        <w:ind w:left="2835" w:hanging="1701"/>
      </w:pPr>
      <w:r w:rsidRPr="00B32C19">
        <w:rPr>
          <w:i/>
        </w:rPr>
        <w:t>Documentation:</w:t>
      </w:r>
      <w:r w:rsidRPr="00B32C19">
        <w:rPr>
          <w:i/>
        </w:rPr>
        <w:tab/>
      </w:r>
      <w:r w:rsidR="00136CEA" w:rsidRPr="00B32C19">
        <w:t>ECE/TRANS/WP.29/GRB/2018/2, ECE/TRANS/WP.29/GRB/2018/3, Informal documents GRB-67-01, GRB-67-06, GRB-67-07, GRB-67-11</w:t>
      </w:r>
      <w:r w:rsidR="001500AE" w:rsidRPr="00B32C19">
        <w:t xml:space="preserve">, </w:t>
      </w:r>
      <w:r w:rsidR="00136CEA" w:rsidRPr="00B32C19">
        <w:t>GRB-67-14</w:t>
      </w:r>
      <w:r w:rsidR="001500AE" w:rsidRPr="00B32C19">
        <w:t xml:space="preserve"> and GRB-67-17</w:t>
      </w:r>
    </w:p>
    <w:p w:rsidR="00033333" w:rsidRPr="00B32C19" w:rsidRDefault="001F7AAC" w:rsidP="005C23CA">
      <w:pPr>
        <w:pStyle w:val="SingleTxtG"/>
        <w:ind w:right="1042"/>
      </w:pPr>
      <w:r w:rsidRPr="00B32C19">
        <w:t>8</w:t>
      </w:r>
      <w:r w:rsidR="005C23CA" w:rsidRPr="00B32C19">
        <w:t>.</w:t>
      </w:r>
      <w:r w:rsidR="005C23CA" w:rsidRPr="00B32C19">
        <w:tab/>
        <w:t>The expert from ISO</w:t>
      </w:r>
      <w:r w:rsidR="00836E25" w:rsidRPr="00B32C19">
        <w:t xml:space="preserve"> presented </w:t>
      </w:r>
      <w:r w:rsidR="00FA58FA" w:rsidRPr="00B32C19">
        <w:t>revised proposals that introduce</w:t>
      </w:r>
      <w:r w:rsidR="00836E25" w:rsidRPr="00B32C19">
        <w:t>d into Regulation No. 51</w:t>
      </w:r>
      <w:r w:rsidR="00FA58FA" w:rsidRPr="00B32C19">
        <w:t xml:space="preserve"> an option of indoor testing, according to standard ISO 362-3</w:t>
      </w:r>
      <w:r w:rsidR="00836E25" w:rsidRPr="00B32C19">
        <w:t xml:space="preserve"> (</w:t>
      </w:r>
      <w:r w:rsidR="00FA58FA" w:rsidRPr="00B32C19">
        <w:t>ECE/TRANS/WP.29/GRB/2018/3</w:t>
      </w:r>
      <w:r w:rsidR="00836E25" w:rsidRPr="00B32C19">
        <w:t xml:space="preserve">). </w:t>
      </w:r>
      <w:r w:rsidR="005C23CA" w:rsidRPr="00B32C19">
        <w:t>This proposal received comments from the experts of</w:t>
      </w:r>
      <w:r w:rsidR="00033333" w:rsidRPr="00B32C19">
        <w:t xml:space="preserve"> China,</w:t>
      </w:r>
      <w:r w:rsidR="005C23CA" w:rsidRPr="00B32C19">
        <w:t xml:space="preserve"> France</w:t>
      </w:r>
      <w:r w:rsidR="00836E25" w:rsidRPr="00B32C19">
        <w:t xml:space="preserve"> (GRB-67-11)</w:t>
      </w:r>
      <w:r w:rsidR="005C23CA" w:rsidRPr="00B32C19">
        <w:t xml:space="preserve">, </w:t>
      </w:r>
      <w:r w:rsidR="00033333" w:rsidRPr="00B32C19">
        <w:t xml:space="preserve">Germany, </w:t>
      </w:r>
      <w:r w:rsidR="005C23CA" w:rsidRPr="00B32C19">
        <w:t xml:space="preserve">Netherlands, </w:t>
      </w:r>
      <w:r w:rsidR="00836E25" w:rsidRPr="00B32C19">
        <w:t>Russian Federation (GRB-67-01)</w:t>
      </w:r>
      <w:r w:rsidR="005C23CA" w:rsidRPr="00B32C19">
        <w:t xml:space="preserve">, Sweden and OICA. </w:t>
      </w:r>
      <w:r w:rsidR="00033333" w:rsidRPr="00B32C19">
        <w:t xml:space="preserve">Following an in-depth discussion, GRB adopted the proposals, as </w:t>
      </w:r>
      <w:r w:rsidR="0019022C" w:rsidRPr="00B32C19">
        <w:t>amended (</w:t>
      </w:r>
      <w:r w:rsidR="00033333" w:rsidRPr="00B32C19">
        <w:t xml:space="preserve">Annex </w:t>
      </w:r>
      <w:r w:rsidR="0019022C" w:rsidRPr="00B32C19">
        <w:t>II)</w:t>
      </w:r>
      <w:r w:rsidR="00033333" w:rsidRPr="00B32C19">
        <w:t xml:space="preserve">, and requested the secretariat to submit </w:t>
      </w:r>
      <w:r w:rsidR="0019022C" w:rsidRPr="00B32C19">
        <w:t xml:space="preserve">them </w:t>
      </w:r>
      <w:r w:rsidR="00033333" w:rsidRPr="00B32C19">
        <w:t>to the World Forum for Harmonization of Vehicle Regulations (WP.29) and to the Administrative Committee (AC.1) for consideration and vote at their June 2018 sessions as a draft Supplement 4 to the 03 series of amendments to Regulation No. 51.</w:t>
      </w:r>
    </w:p>
    <w:p w:rsidR="00725968" w:rsidRPr="00B32C19" w:rsidRDefault="001F7AAC" w:rsidP="00725968">
      <w:pPr>
        <w:pStyle w:val="SingleTxtG"/>
        <w:ind w:right="1042"/>
      </w:pPr>
      <w:r w:rsidRPr="00B32C19">
        <w:t>9.</w:t>
      </w:r>
      <w:r w:rsidRPr="00B32C19">
        <w:tab/>
      </w:r>
      <w:r w:rsidR="00725968" w:rsidRPr="00B32C19">
        <w:t xml:space="preserve">GRB recalled the amendment proposals to Regulation No. 51 adopted at the previous session (ECE/TRANS/WP.29/2018/7) and addressed the pending issue on </w:t>
      </w:r>
      <w:r w:rsidR="00A1790F" w:rsidRPr="00B32C19">
        <w:t>whether or not the adopted proposals would require a new series of amendments and/or transitional provisions.</w:t>
      </w:r>
      <w:r w:rsidR="00725968" w:rsidRPr="00B32C19">
        <w:t xml:space="preserve">  The experts from the Informal Working Group on Additional Sound Emission Provisions (IWG ASEP) and from OICA presented their views (GRB-67-14 and GRB-67-06). GRB agreed that the adopted proposals should become a new Supplement 3 to the 03 series of amendments to Regulation No. 51 and be accompanied with the following transitional provision (a new paragraph 11.9.):  </w:t>
      </w:r>
    </w:p>
    <w:p w:rsidR="00725968" w:rsidRPr="00B32C19" w:rsidRDefault="00725968" w:rsidP="00725968">
      <w:pPr>
        <w:spacing w:after="120"/>
        <w:ind w:left="2268" w:right="1134" w:hanging="1134"/>
        <w:jc w:val="both"/>
      </w:pPr>
      <w:r w:rsidRPr="00B32C19">
        <w:t>"</w:t>
      </w:r>
      <w:r w:rsidRPr="00B32C19">
        <w:rPr>
          <w:bCs/>
        </w:rPr>
        <w:t xml:space="preserve">11.9. </w:t>
      </w:r>
      <w:r w:rsidRPr="00B32C19">
        <w:rPr>
          <w:bCs/>
        </w:rPr>
        <w:tab/>
        <w:t>Until 18 months after the date of entry into force of the Supplement 3, it shall not apply to extensions of existing approvals, originally granted prior to the date of entry into force of Supplement 3.</w:t>
      </w:r>
      <w:r w:rsidRPr="00B32C19">
        <w:t>"</w:t>
      </w:r>
    </w:p>
    <w:p w:rsidR="00725968" w:rsidRPr="00B32C19" w:rsidRDefault="001F7AAC" w:rsidP="00725968">
      <w:pPr>
        <w:pStyle w:val="SingleTxtG"/>
        <w:ind w:right="1042"/>
      </w:pPr>
      <w:r w:rsidRPr="00B32C19">
        <w:t>10.</w:t>
      </w:r>
      <w:r w:rsidRPr="00B32C19">
        <w:tab/>
      </w:r>
      <w:r w:rsidR="006370C2" w:rsidRPr="00B32C19">
        <w:t xml:space="preserve">GRB requested the secretariat to issue, as soon as possible, an addendum to ECE/TRANS/WP.29/2018/7 with the above text, thus allowing Contracting Parties to prepare for its consideration at the forthcoming session of WP.29 in March 2018.     </w:t>
      </w:r>
      <w:r w:rsidR="00725968" w:rsidRPr="00B32C19">
        <w:t xml:space="preserve"> </w:t>
      </w:r>
    </w:p>
    <w:p w:rsidR="006C1601" w:rsidRPr="00B32C19" w:rsidRDefault="001F7AAC" w:rsidP="0077410B">
      <w:pPr>
        <w:pStyle w:val="SingleTxtG"/>
        <w:ind w:right="1042"/>
      </w:pPr>
      <w:r w:rsidRPr="00B32C19">
        <w:t>11.</w:t>
      </w:r>
      <w:r w:rsidRPr="00B32C19">
        <w:tab/>
      </w:r>
      <w:r w:rsidR="00E859B6" w:rsidRPr="00B32C19">
        <w:t>The expert from OICA</w:t>
      </w:r>
      <w:r w:rsidR="0087676A" w:rsidRPr="00B32C19">
        <w:t xml:space="preserve"> proposed amendments to Regulation No. 51 with the aim to </w:t>
      </w:r>
      <w:r w:rsidRPr="00B32C19">
        <w:t xml:space="preserve">ensure </w:t>
      </w:r>
      <w:r w:rsidR="0087676A" w:rsidRPr="00B32C19">
        <w:t xml:space="preserve">transparency </w:t>
      </w:r>
      <w:r w:rsidRPr="00B32C19">
        <w:t xml:space="preserve">during </w:t>
      </w:r>
      <w:r w:rsidR="0087676A" w:rsidRPr="00B32C19">
        <w:t>the type approval process in situations where the manufacturer c</w:t>
      </w:r>
      <w:r w:rsidRPr="00B32C19">
        <w:t xml:space="preserve">ould </w:t>
      </w:r>
      <w:r w:rsidR="0087676A" w:rsidRPr="00B32C19">
        <w:t>either use mechanical or electronic devices to control the gear shift, or take measures to avoid accelerations greater than 2.0 m/s² (ECE/TRANS/WP.29/GRB/2018/2</w:t>
      </w:r>
      <w:r w:rsidR="00617DC6" w:rsidRPr="00B32C19">
        <w:t xml:space="preserve"> and GRB-67-17</w:t>
      </w:r>
      <w:r w:rsidR="0087676A" w:rsidRPr="00B32C19">
        <w:t xml:space="preserve">). The proposal received </w:t>
      </w:r>
      <w:r w:rsidR="00617DC6" w:rsidRPr="00B32C19">
        <w:t xml:space="preserve">questions and/or </w:t>
      </w:r>
      <w:r w:rsidR="0087676A" w:rsidRPr="00B32C19">
        <w:t xml:space="preserve">comments from the experts of </w:t>
      </w:r>
      <w:r w:rsidR="00617DC6" w:rsidRPr="00B32C19">
        <w:t xml:space="preserve">China, </w:t>
      </w:r>
      <w:r w:rsidR="0087676A" w:rsidRPr="00B32C19">
        <w:t>France, Germany</w:t>
      </w:r>
      <w:r w:rsidR="00617DC6" w:rsidRPr="00B32C19">
        <w:t>, J</w:t>
      </w:r>
      <w:r w:rsidR="0087676A" w:rsidRPr="00B32C19">
        <w:t>apan</w:t>
      </w:r>
      <w:r w:rsidR="00617DC6" w:rsidRPr="00B32C19">
        <w:t xml:space="preserve"> and ISO. GRB adopted the proposals, as </w:t>
      </w:r>
      <w:r w:rsidR="004D51F2" w:rsidRPr="00B32C19">
        <w:t xml:space="preserve">contained in </w:t>
      </w:r>
      <w:r w:rsidR="00617DC6" w:rsidRPr="00B32C19">
        <w:t>Annex III, and requested the secretariat to submit them to WP.29 and AC.1 for consideration and vote at their June 2018 sessions as a draft Supplement 4 to the 03 series of amendments to Regulation No. 51.</w:t>
      </w:r>
      <w:r w:rsidR="0087676A" w:rsidRPr="00B32C19">
        <w:t xml:space="preserve">    </w:t>
      </w:r>
      <w:r w:rsidR="006C1601" w:rsidRPr="00B32C19">
        <w:t xml:space="preserve">     </w:t>
      </w:r>
    </w:p>
    <w:p w:rsidR="00FC72AD" w:rsidRPr="00B32C19" w:rsidRDefault="00FC72AD" w:rsidP="00FC72AD">
      <w:pPr>
        <w:pStyle w:val="SingleTxtG"/>
        <w:ind w:right="1042"/>
      </w:pPr>
      <w:r w:rsidRPr="00B32C19">
        <w:t>1</w:t>
      </w:r>
      <w:r w:rsidR="00815549" w:rsidRPr="00B32C19">
        <w:t>2</w:t>
      </w:r>
      <w:r w:rsidRPr="00B32C19">
        <w:t>.</w:t>
      </w:r>
      <w:r w:rsidRPr="00B32C19">
        <w:tab/>
        <w:t xml:space="preserve">The expert from China </w:t>
      </w:r>
      <w:r w:rsidR="00E859B6" w:rsidRPr="00B32C19">
        <w:t xml:space="preserve">presented suggestions for further development of Regulation No. 51 </w:t>
      </w:r>
      <w:r w:rsidR="00ED31F1" w:rsidRPr="00B32C19">
        <w:t>(GRB-6</w:t>
      </w:r>
      <w:r w:rsidR="00E859B6" w:rsidRPr="00B32C19">
        <w:t>7</w:t>
      </w:r>
      <w:r w:rsidR="00ED31F1" w:rsidRPr="00B32C19">
        <w:t>-</w:t>
      </w:r>
      <w:r w:rsidR="00E859B6" w:rsidRPr="00B32C19">
        <w:t>07</w:t>
      </w:r>
      <w:r w:rsidR="00ED31F1" w:rsidRPr="00B32C19">
        <w:t xml:space="preserve">). </w:t>
      </w:r>
      <w:r w:rsidR="00E859B6" w:rsidRPr="00B32C19">
        <w:t xml:space="preserve">The expert from France, Chair of IWG ASEP, pointed out that IWG ASEP would try to accommodate these suggestions. </w:t>
      </w:r>
    </w:p>
    <w:p w:rsidR="002C00F5" w:rsidRPr="00B32C19" w:rsidRDefault="007416CB" w:rsidP="000E7032">
      <w:pPr>
        <w:pStyle w:val="H1G"/>
      </w:pPr>
      <w:r w:rsidRPr="00B32C19">
        <w:tab/>
      </w:r>
      <w:r w:rsidR="004C3DC8" w:rsidRPr="00B32C19">
        <w:t>B.</w:t>
      </w:r>
      <w:r w:rsidR="004C3DC8" w:rsidRPr="00B32C19">
        <w:tab/>
      </w:r>
      <w:r w:rsidR="002C00F5" w:rsidRPr="00B32C19">
        <w:t>Additional sou</w:t>
      </w:r>
      <w:r w:rsidR="00BF7CE2" w:rsidRPr="00B32C19">
        <w:t>nd emission provisions</w:t>
      </w:r>
    </w:p>
    <w:p w:rsidR="006812CA" w:rsidRPr="00B32C19" w:rsidRDefault="006812CA" w:rsidP="006812CA">
      <w:pPr>
        <w:pStyle w:val="SingleTxtG"/>
        <w:ind w:left="2835" w:hanging="1701"/>
        <w:jc w:val="left"/>
      </w:pPr>
      <w:r w:rsidRPr="00B32C19">
        <w:rPr>
          <w:i/>
        </w:rPr>
        <w:t>Documentation:</w:t>
      </w:r>
      <w:r w:rsidRPr="00B32C19">
        <w:tab/>
      </w:r>
      <w:r w:rsidR="004D05A1" w:rsidRPr="00B32C19">
        <w:t>Informal document</w:t>
      </w:r>
      <w:r w:rsidR="00621024" w:rsidRPr="00B32C19">
        <w:t xml:space="preserve"> GRB-6</w:t>
      </w:r>
      <w:r w:rsidR="00136CEA" w:rsidRPr="00B32C19">
        <w:t>7</w:t>
      </w:r>
      <w:r w:rsidR="00621024" w:rsidRPr="00B32C19">
        <w:t>-</w:t>
      </w:r>
      <w:r w:rsidR="00042BC7" w:rsidRPr="00B32C19">
        <w:t>1</w:t>
      </w:r>
      <w:r w:rsidR="00136CEA" w:rsidRPr="00B32C19">
        <w:t>5</w:t>
      </w:r>
      <w:r w:rsidR="001500AE" w:rsidRPr="00B32C19">
        <w:t>-Rev.1</w:t>
      </w:r>
    </w:p>
    <w:p w:rsidR="00136CEA" w:rsidRPr="00B32C19" w:rsidRDefault="00136CEA" w:rsidP="00105ED2">
      <w:pPr>
        <w:pStyle w:val="SingleTxtG"/>
      </w:pPr>
    </w:p>
    <w:p w:rsidR="00105ED2" w:rsidRPr="00B32C19" w:rsidRDefault="003373CC" w:rsidP="00105ED2">
      <w:pPr>
        <w:pStyle w:val="SingleTxtG"/>
      </w:pPr>
      <w:r w:rsidRPr="00B32C19">
        <w:lastRenderedPageBreak/>
        <w:t>1</w:t>
      </w:r>
      <w:r w:rsidR="00815549" w:rsidRPr="00B32C19">
        <w:t>3</w:t>
      </w:r>
      <w:r w:rsidR="00F72DD2" w:rsidRPr="00B32C19">
        <w:t>.</w:t>
      </w:r>
      <w:r w:rsidR="00441B2B" w:rsidRPr="00B32C19">
        <w:tab/>
      </w:r>
      <w:r w:rsidR="00163D6F" w:rsidRPr="00B32C19">
        <w:t>On behalf of IWG ASEP, t</w:t>
      </w:r>
      <w:r w:rsidR="003A58BC" w:rsidRPr="00B32C19">
        <w:t xml:space="preserve">he expert from </w:t>
      </w:r>
      <w:r w:rsidR="0081102F" w:rsidRPr="00B32C19">
        <w:t xml:space="preserve">France </w:t>
      </w:r>
      <w:r w:rsidR="00F55C33" w:rsidRPr="00B32C19">
        <w:t xml:space="preserve">presented </w:t>
      </w:r>
      <w:r w:rsidR="0046775C" w:rsidRPr="00B32C19">
        <w:t xml:space="preserve">their </w:t>
      </w:r>
      <w:r w:rsidR="00F55C33" w:rsidRPr="00B32C19">
        <w:t>status report</w:t>
      </w:r>
      <w:r w:rsidR="00515475" w:rsidRPr="00B32C19">
        <w:t xml:space="preserve"> to GRB</w:t>
      </w:r>
      <w:r w:rsidR="00F55C33" w:rsidRPr="00B32C19">
        <w:t xml:space="preserve"> (GRB-6</w:t>
      </w:r>
      <w:r w:rsidR="0046775C" w:rsidRPr="00B32C19">
        <w:t>7</w:t>
      </w:r>
      <w:r w:rsidR="00F55C33" w:rsidRPr="00B32C19">
        <w:t>-1</w:t>
      </w:r>
      <w:r w:rsidR="0046775C" w:rsidRPr="00B32C19">
        <w:t>5-Rev.1</w:t>
      </w:r>
      <w:r w:rsidR="00F55C33" w:rsidRPr="00B32C19">
        <w:t>)</w:t>
      </w:r>
      <w:r w:rsidR="0046775C" w:rsidRPr="00B32C19">
        <w:t xml:space="preserve"> and invited </w:t>
      </w:r>
      <w:r w:rsidR="00E859B6" w:rsidRPr="00B32C19">
        <w:t xml:space="preserve">all GRB experts to participate in the work of IWG ASEP.   </w:t>
      </w:r>
      <w:r w:rsidR="0072787D" w:rsidRPr="00B32C19">
        <w:t xml:space="preserve"> </w:t>
      </w:r>
      <w:r w:rsidR="00C74513" w:rsidRPr="00B32C19">
        <w:t xml:space="preserve">  </w:t>
      </w:r>
      <w:r w:rsidR="00105ED2" w:rsidRPr="00B32C19">
        <w:t xml:space="preserve">  </w:t>
      </w:r>
    </w:p>
    <w:p w:rsidR="001740F5" w:rsidRPr="00B32C19" w:rsidRDefault="00597BC2" w:rsidP="001740F5">
      <w:pPr>
        <w:pStyle w:val="HChG"/>
      </w:pPr>
      <w:r w:rsidRPr="00B32C19">
        <w:tab/>
        <w:t>VI.</w:t>
      </w:r>
      <w:r w:rsidRPr="00B32C19">
        <w:tab/>
        <w:t xml:space="preserve">Regulation No. 63 </w:t>
      </w:r>
      <w:r w:rsidR="001740F5" w:rsidRPr="00B32C19">
        <w:t>(Noise emissions of mopeds) (agenda item 5)</w:t>
      </w:r>
    </w:p>
    <w:p w:rsidR="001740F5" w:rsidRPr="006B44AC" w:rsidRDefault="001740F5" w:rsidP="001740F5">
      <w:pPr>
        <w:pStyle w:val="SingleTxtG"/>
        <w:ind w:left="2835" w:hanging="1701"/>
        <w:jc w:val="left"/>
        <w:rPr>
          <w:lang w:val="fr-FR"/>
        </w:rPr>
      </w:pPr>
      <w:r w:rsidRPr="006B44AC">
        <w:rPr>
          <w:i/>
          <w:lang w:val="fr-FR"/>
        </w:rPr>
        <w:t>Documentation</w:t>
      </w:r>
      <w:r w:rsidRPr="006B44AC">
        <w:rPr>
          <w:lang w:val="fr-FR"/>
        </w:rPr>
        <w:t>:</w:t>
      </w:r>
      <w:r w:rsidRPr="006B44AC">
        <w:rPr>
          <w:lang w:val="fr-FR"/>
        </w:rPr>
        <w:tab/>
      </w:r>
      <w:r w:rsidR="007F256C" w:rsidRPr="006B44AC">
        <w:rPr>
          <w:lang w:val="fr-FR"/>
        </w:rPr>
        <w:t>ECE/TRANS/WP.29/GRB/2018/</w:t>
      </w:r>
      <w:r w:rsidR="005F0032" w:rsidRPr="006B44AC">
        <w:rPr>
          <w:lang w:val="fr-FR"/>
        </w:rPr>
        <w:t>4</w:t>
      </w:r>
      <w:r w:rsidR="004D05A1" w:rsidRPr="006B44AC">
        <w:rPr>
          <w:lang w:val="fr-FR"/>
        </w:rPr>
        <w:t xml:space="preserve"> </w:t>
      </w:r>
    </w:p>
    <w:p w:rsidR="00C3168F" w:rsidRPr="00B32C19" w:rsidRDefault="001740F5" w:rsidP="001740F5">
      <w:pPr>
        <w:pStyle w:val="SingleTxtG"/>
      </w:pPr>
      <w:r w:rsidRPr="00B32C19">
        <w:t>1</w:t>
      </w:r>
      <w:r w:rsidR="003373CC" w:rsidRPr="00B32C19">
        <w:t>4</w:t>
      </w:r>
      <w:r w:rsidRPr="00B32C19">
        <w:t>.</w:t>
      </w:r>
      <w:r w:rsidRPr="00B32C19">
        <w:tab/>
      </w:r>
      <w:r w:rsidR="002F04CB" w:rsidRPr="00B32C19">
        <w:t xml:space="preserve">The expert from EC introduced </w:t>
      </w:r>
      <w:r w:rsidR="005F0032" w:rsidRPr="00B32C19">
        <w:t xml:space="preserve">revised </w:t>
      </w:r>
      <w:r w:rsidR="002F04CB" w:rsidRPr="00B32C19">
        <w:t>amendments on powered cycles</w:t>
      </w:r>
      <w:r w:rsidR="00A8347E" w:rsidRPr="00B32C19">
        <w:t xml:space="preserve"> </w:t>
      </w:r>
      <w:r w:rsidR="002F04CB" w:rsidRPr="00B32C19">
        <w:t>(</w:t>
      </w:r>
      <w:r w:rsidR="005F0032" w:rsidRPr="00B32C19">
        <w:t>ECE/TRANS/WP.29/GRB/2018/4). GRB adopted the proposals and requested the secretariat to submit them to WP.29 and AC.1 for consideration and vote at their June 2018 sessions as a draft Supplement 4 to the 0</w:t>
      </w:r>
      <w:r w:rsidR="00EA116A" w:rsidRPr="00B32C19">
        <w:t>2</w:t>
      </w:r>
      <w:r w:rsidR="005F0032" w:rsidRPr="00B32C19">
        <w:t xml:space="preserve"> series of amendments to Regulation No. 63.    </w:t>
      </w:r>
      <w:r w:rsidR="002309F1" w:rsidRPr="00B32C19">
        <w:t xml:space="preserve">     </w:t>
      </w:r>
      <w:r w:rsidR="00A8347E" w:rsidRPr="00B32C19">
        <w:t xml:space="preserve"> </w:t>
      </w:r>
      <w:r w:rsidR="00C3168F" w:rsidRPr="00B32C19">
        <w:t xml:space="preserve">    </w:t>
      </w:r>
    </w:p>
    <w:p w:rsidR="002C00F5" w:rsidRPr="00B32C19" w:rsidRDefault="009D010D" w:rsidP="000E7032">
      <w:pPr>
        <w:pStyle w:val="HChG"/>
      </w:pPr>
      <w:r w:rsidRPr="00B32C19">
        <w:tab/>
      </w:r>
      <w:r w:rsidR="002C00F5" w:rsidRPr="00B32C19">
        <w:t>VI</w:t>
      </w:r>
      <w:r w:rsidR="00882056" w:rsidRPr="00B32C19">
        <w:t>I</w:t>
      </w:r>
      <w:r w:rsidR="002C00F5" w:rsidRPr="00B32C19">
        <w:t>.</w:t>
      </w:r>
      <w:r w:rsidR="002C00F5" w:rsidRPr="00B32C19">
        <w:tab/>
      </w:r>
      <w:r w:rsidR="00905107" w:rsidRPr="00B32C19">
        <w:t>Regulation No. 117</w:t>
      </w:r>
      <w:r w:rsidR="006A5D4A" w:rsidRPr="00B32C19">
        <w:t xml:space="preserve"> (</w:t>
      </w:r>
      <w:r w:rsidR="00905107" w:rsidRPr="00B32C19">
        <w:t xml:space="preserve">Tyre rolling </w:t>
      </w:r>
      <w:r w:rsidR="00BF2419" w:rsidRPr="00B32C19">
        <w:t xml:space="preserve">resistance, rolling </w:t>
      </w:r>
      <w:r w:rsidR="00905107" w:rsidRPr="00B32C19">
        <w:t>noise and wet grip</w:t>
      </w:r>
      <w:r w:rsidR="006A5D4A" w:rsidRPr="00B32C19">
        <w:t>)</w:t>
      </w:r>
      <w:r w:rsidR="00905107" w:rsidRPr="00B32C19">
        <w:t xml:space="preserve"> (a</w:t>
      </w:r>
      <w:r w:rsidR="002C00F5" w:rsidRPr="00B32C19">
        <w:t xml:space="preserve">genda item </w:t>
      </w:r>
      <w:r w:rsidR="003043CF" w:rsidRPr="00B32C19">
        <w:t>6</w:t>
      </w:r>
      <w:r w:rsidR="002C00F5" w:rsidRPr="00B32C19">
        <w:t>)</w:t>
      </w:r>
    </w:p>
    <w:p w:rsidR="00042BC7" w:rsidRPr="006B44AC" w:rsidRDefault="00042BC7" w:rsidP="00042BC7">
      <w:pPr>
        <w:pStyle w:val="SingleTxtG"/>
        <w:ind w:left="2835" w:hanging="1701"/>
        <w:jc w:val="left"/>
        <w:rPr>
          <w:lang w:val="fr-FR"/>
        </w:rPr>
      </w:pPr>
      <w:r w:rsidRPr="006B44AC">
        <w:rPr>
          <w:i/>
          <w:lang w:val="fr-FR"/>
        </w:rPr>
        <w:t>Documentation</w:t>
      </w:r>
      <w:r w:rsidRPr="006B44AC">
        <w:rPr>
          <w:lang w:val="fr-FR"/>
        </w:rPr>
        <w:t>:</w:t>
      </w:r>
      <w:r w:rsidRPr="006B44AC">
        <w:rPr>
          <w:lang w:val="fr-FR"/>
        </w:rPr>
        <w:tab/>
        <w:t>Informal documents GRB-6</w:t>
      </w:r>
      <w:r w:rsidR="007F256C" w:rsidRPr="006B44AC">
        <w:rPr>
          <w:lang w:val="fr-FR"/>
        </w:rPr>
        <w:t>7</w:t>
      </w:r>
      <w:r w:rsidRPr="006B44AC">
        <w:rPr>
          <w:lang w:val="fr-FR"/>
        </w:rPr>
        <w:t>-0</w:t>
      </w:r>
      <w:r w:rsidR="007F256C" w:rsidRPr="006B44AC">
        <w:rPr>
          <w:lang w:val="fr-FR"/>
        </w:rPr>
        <w:t xml:space="preserve">8 </w:t>
      </w:r>
      <w:r w:rsidRPr="006B44AC">
        <w:rPr>
          <w:lang w:val="fr-FR"/>
        </w:rPr>
        <w:t>and GRB-6</w:t>
      </w:r>
      <w:r w:rsidR="007F256C" w:rsidRPr="006B44AC">
        <w:rPr>
          <w:lang w:val="fr-FR"/>
        </w:rPr>
        <w:t>7</w:t>
      </w:r>
      <w:r w:rsidRPr="006B44AC">
        <w:rPr>
          <w:lang w:val="fr-FR"/>
        </w:rPr>
        <w:t>-</w:t>
      </w:r>
      <w:r w:rsidR="007F256C" w:rsidRPr="006B44AC">
        <w:rPr>
          <w:lang w:val="fr-FR"/>
        </w:rPr>
        <w:t>18</w:t>
      </w:r>
      <w:r w:rsidRPr="006B44AC">
        <w:rPr>
          <w:lang w:val="fr-FR"/>
        </w:rPr>
        <w:t xml:space="preserve"> </w:t>
      </w:r>
    </w:p>
    <w:p w:rsidR="00CB2423" w:rsidRPr="00B32C19" w:rsidRDefault="004E4724" w:rsidP="005A095F">
      <w:pPr>
        <w:pStyle w:val="SingleTxtG"/>
      </w:pPr>
      <w:r w:rsidRPr="00B32C19">
        <w:t>1</w:t>
      </w:r>
      <w:r w:rsidR="00815549" w:rsidRPr="00B32C19">
        <w:t>5</w:t>
      </w:r>
      <w:r w:rsidR="00B27D82" w:rsidRPr="00B32C19">
        <w:t>.</w:t>
      </w:r>
      <w:r w:rsidR="0016669F" w:rsidRPr="00B32C19">
        <w:tab/>
      </w:r>
      <w:r w:rsidR="005A095F" w:rsidRPr="00B32C19">
        <w:t>The expert from ETRTO assessed the latest proposals from the Netherlands for stricter tyre noise limits, as presented at the sixty-sixth session of GRB (GRB-67-08). He pointed out some limitations in the data subset used in the Dutch study and questioned the methodology used to derive the</w:t>
      </w:r>
      <w:r w:rsidR="00CB2423" w:rsidRPr="00B32C19">
        <w:t xml:space="preserve"> new</w:t>
      </w:r>
      <w:r w:rsidR="005A095F" w:rsidRPr="00B32C19">
        <w:t xml:space="preserve"> proposed limits from the data subset. </w:t>
      </w:r>
      <w:r w:rsidR="00CB2423" w:rsidRPr="00B32C19">
        <w:t>The expert from the Netherlands replied to the ETRTO comments (GRB-67-18).</w:t>
      </w:r>
    </w:p>
    <w:p w:rsidR="009B2352" w:rsidRPr="00B32C19" w:rsidRDefault="00CB2423" w:rsidP="005A095F">
      <w:pPr>
        <w:pStyle w:val="SingleTxtG"/>
      </w:pPr>
      <w:r w:rsidRPr="00B32C19">
        <w:t>16.</w:t>
      </w:r>
      <w:r w:rsidRPr="00B32C19">
        <w:tab/>
        <w:t xml:space="preserve"> The experts from Germany and OICA pointed out that the Dutch study had been based on tyre labels which might be incorrect. The expert from the Russian Federation drew the attention of GRB to the need f</w:t>
      </w:r>
      <w:r w:rsidR="001339F4">
        <w:t>or</w:t>
      </w:r>
      <w:r w:rsidRPr="00B32C19">
        <w:t xml:space="preserve"> a holistic approach to the tyre rolling noise in the system "tyre/road surface". </w:t>
      </w:r>
      <w:r w:rsidR="00AB4496" w:rsidRPr="00B32C19">
        <w:t>The Chair noted two different approaches for tyre selection by the Netherlands and ETRTO</w:t>
      </w:r>
      <w:r w:rsidR="009B2352" w:rsidRPr="00B32C19">
        <w:t xml:space="preserve">: the Dutch study focused on the most popular tyres of several brands covering about 90 per cent of the market, </w:t>
      </w:r>
      <w:r w:rsidR="001339F4" w:rsidRPr="00B32C19">
        <w:t xml:space="preserve">while </w:t>
      </w:r>
      <w:r w:rsidR="009B2352" w:rsidRPr="00B32C19">
        <w:t xml:space="preserve">ETRTO was concerned about a much wider selection of brands to ensure market choice. </w:t>
      </w:r>
    </w:p>
    <w:p w:rsidR="00CB2423" w:rsidRPr="00B32C19" w:rsidRDefault="009B2352" w:rsidP="005A095F">
      <w:pPr>
        <w:pStyle w:val="SingleTxtG"/>
      </w:pPr>
      <w:r w:rsidRPr="00B32C19">
        <w:t>17.</w:t>
      </w:r>
      <w:r w:rsidRPr="00B32C19">
        <w:tab/>
        <w:t xml:space="preserve">GRB invited the Netherlands, ETRTO and other stakeholders to </w:t>
      </w:r>
      <w:r w:rsidR="00645756" w:rsidRPr="00B32C19">
        <w:t xml:space="preserve">work together with the aim to undertake </w:t>
      </w:r>
      <w:r w:rsidRPr="00B32C19">
        <w:t xml:space="preserve">a holistic </w:t>
      </w:r>
      <w:r w:rsidR="00645756" w:rsidRPr="00B32C19">
        <w:t>study of tyres on the market. Finally, GR</w:t>
      </w:r>
      <w:r w:rsidR="00807EC8" w:rsidRPr="00B32C19">
        <w:t>B</w:t>
      </w:r>
      <w:r w:rsidR="00645756" w:rsidRPr="00B32C19">
        <w:t xml:space="preserve"> agreed to resume the discussion at the next session.   </w:t>
      </w:r>
      <w:r w:rsidRPr="00B32C19">
        <w:t xml:space="preserve">      </w:t>
      </w:r>
      <w:r w:rsidR="00AB4496" w:rsidRPr="00B32C19">
        <w:t xml:space="preserve"> </w:t>
      </w:r>
    </w:p>
    <w:p w:rsidR="00BC3B8A" w:rsidRPr="00B32C19" w:rsidRDefault="00BC3B8A" w:rsidP="00BC3B8A">
      <w:pPr>
        <w:pStyle w:val="HChG"/>
      </w:pPr>
      <w:r w:rsidRPr="00B32C19">
        <w:tab/>
      </w:r>
      <w:r w:rsidR="003043CF" w:rsidRPr="00B32C19">
        <w:t>VIII</w:t>
      </w:r>
      <w:r w:rsidRPr="00B32C19">
        <w:t>.</w:t>
      </w:r>
      <w:r w:rsidRPr="00B32C19">
        <w:tab/>
        <w:t xml:space="preserve">Regulation No. 138 (Quiet road transport vehicles) (agenda item </w:t>
      </w:r>
      <w:r w:rsidR="003043CF" w:rsidRPr="00B32C19">
        <w:t>7</w:t>
      </w:r>
      <w:r w:rsidRPr="00B32C19">
        <w:t>)</w:t>
      </w:r>
    </w:p>
    <w:p w:rsidR="00BC3B8A" w:rsidRPr="00B32C19" w:rsidRDefault="00BC3B8A" w:rsidP="00BC3B8A">
      <w:pPr>
        <w:pStyle w:val="SingleTxtG"/>
        <w:ind w:left="2835" w:hanging="1701"/>
        <w:jc w:val="left"/>
      </w:pPr>
      <w:r w:rsidRPr="00B32C19">
        <w:rPr>
          <w:i/>
        </w:rPr>
        <w:t>Documentation</w:t>
      </w:r>
      <w:r w:rsidRPr="00B32C19">
        <w:t>:</w:t>
      </w:r>
      <w:r w:rsidRPr="00B32C19">
        <w:tab/>
      </w:r>
      <w:r w:rsidR="001024DF" w:rsidRPr="00B32C19">
        <w:t>Informal document GRB-6</w:t>
      </w:r>
      <w:r w:rsidR="007F256C" w:rsidRPr="00B32C19">
        <w:t>7</w:t>
      </w:r>
      <w:r w:rsidR="001024DF" w:rsidRPr="00B32C19">
        <w:t>-</w:t>
      </w:r>
      <w:r w:rsidR="007F256C" w:rsidRPr="00B32C19">
        <w:t>09</w:t>
      </w:r>
      <w:r w:rsidRPr="00B32C19">
        <w:t xml:space="preserve"> </w:t>
      </w:r>
      <w:r w:rsidR="008C3B7E" w:rsidRPr="00B32C19">
        <w:t xml:space="preserve"> </w:t>
      </w:r>
    </w:p>
    <w:p w:rsidR="007F256C" w:rsidRPr="00B32C19" w:rsidRDefault="001F7AAC" w:rsidP="00577308">
      <w:pPr>
        <w:pStyle w:val="SingleTxtG"/>
      </w:pPr>
      <w:r w:rsidRPr="00B32C19">
        <w:t>18.</w:t>
      </w:r>
      <w:r w:rsidRPr="00B32C19">
        <w:tab/>
      </w:r>
      <w:r w:rsidR="0019022C" w:rsidRPr="00B32C19">
        <w:t xml:space="preserve">The expert from OICA proposed to clarify the application of the 01 series of amendments to Regulation No. 138 (GRB-67-09). The experts from China, France, Germany, OICA and WBU commented on the proposal. The secretariat pointed out that it had already </w:t>
      </w:r>
      <w:r w:rsidR="00D31B11" w:rsidRPr="00B32C19">
        <w:t xml:space="preserve">rectified </w:t>
      </w:r>
      <w:r w:rsidR="0019022C" w:rsidRPr="00B32C19">
        <w:t>the text of paragraph 6.2.6. which</w:t>
      </w:r>
      <w:r w:rsidR="00D31B11" w:rsidRPr="00B32C19">
        <w:t xml:space="preserve"> had been incorrectly reproduced in a </w:t>
      </w:r>
      <w:r w:rsidRPr="00B32C19">
        <w:t xml:space="preserve">revised </w:t>
      </w:r>
      <w:r w:rsidR="00D31B11" w:rsidRPr="00B32C19">
        <w:t xml:space="preserve">consolidated </w:t>
      </w:r>
      <w:r w:rsidRPr="00B32C19">
        <w:t xml:space="preserve">version </w:t>
      </w:r>
      <w:r w:rsidR="00D31B11" w:rsidRPr="00B32C19">
        <w:t xml:space="preserve">published on the WP.29 website (E/ECE/324/Rev.2/Add.137/Rev.1 − E/ECE/TRANS/505/Rev.2/Add.137/Rev.1). GRB invited OICA to take into account the comments received and to prepare an official document for consideration at the next session. GRB also requested that the earlier OICA proposals for transitional provisions (ECE/TRANS/WP.29/GRB/2017/7) be included into this new document. </w:t>
      </w:r>
    </w:p>
    <w:p w:rsidR="003043CF" w:rsidRPr="00B32C19" w:rsidRDefault="003043CF" w:rsidP="003043CF">
      <w:pPr>
        <w:pStyle w:val="HChG"/>
      </w:pPr>
      <w:r w:rsidRPr="00B32C19">
        <w:lastRenderedPageBreak/>
        <w:tab/>
        <w:t>IX.</w:t>
      </w:r>
      <w:r w:rsidRPr="00B32C19">
        <w:tab/>
        <w:t>Draft Regulation on reversing alarm (agenda item 8)</w:t>
      </w:r>
    </w:p>
    <w:p w:rsidR="003043CF" w:rsidRPr="00B32C19" w:rsidRDefault="003043CF" w:rsidP="003043CF">
      <w:pPr>
        <w:pStyle w:val="SingleTxtG"/>
        <w:ind w:left="2835" w:hanging="1701"/>
        <w:jc w:val="left"/>
      </w:pPr>
      <w:r w:rsidRPr="00B32C19">
        <w:rPr>
          <w:i/>
        </w:rPr>
        <w:t>Documentation</w:t>
      </w:r>
      <w:r w:rsidRPr="00B32C19">
        <w:t>:</w:t>
      </w:r>
      <w:r w:rsidR="001024DF" w:rsidRPr="00B32C19">
        <w:tab/>
        <w:t>Informal document GRB-6</w:t>
      </w:r>
      <w:r w:rsidR="007F256C" w:rsidRPr="00B32C19">
        <w:t>7</w:t>
      </w:r>
      <w:r w:rsidR="001024DF" w:rsidRPr="00B32C19">
        <w:t>-</w:t>
      </w:r>
      <w:r w:rsidR="007F256C" w:rsidRPr="00B32C19">
        <w:t>1</w:t>
      </w:r>
      <w:r w:rsidR="001024DF" w:rsidRPr="00B32C19">
        <w:t>0</w:t>
      </w:r>
      <w:r w:rsidRPr="00B32C19">
        <w:tab/>
        <w:t xml:space="preserve"> </w:t>
      </w:r>
    </w:p>
    <w:p w:rsidR="003043CF" w:rsidRPr="00B32C19" w:rsidRDefault="003043CF" w:rsidP="005E29A8">
      <w:pPr>
        <w:pStyle w:val="SingleTxtG"/>
      </w:pPr>
      <w:r w:rsidRPr="00B32C19">
        <w:t>1</w:t>
      </w:r>
      <w:r w:rsidR="001F7AAC" w:rsidRPr="00B32C19">
        <w:t>9</w:t>
      </w:r>
      <w:r w:rsidRPr="00B32C19">
        <w:t>.</w:t>
      </w:r>
      <w:r w:rsidRPr="00B32C19">
        <w:tab/>
      </w:r>
      <w:r w:rsidR="00820683" w:rsidRPr="00B32C19">
        <w:t>On behalf of the Task Force on Reversing Alarm (TF-RA), the expert from Japan reported on the TF-RA activities. In particular, he mentioned that TF-RA would soon distribute a simple questionnaire among GRB experts with a view to collecting information on national practices with respect to reversing alarms. Based on future responses, TF-TA would draft a new Regulation. The expert fr</w:t>
      </w:r>
      <w:r w:rsidR="00355571">
        <w:t>o</w:t>
      </w:r>
      <w:r w:rsidR="00820683" w:rsidRPr="00B32C19">
        <w:t xml:space="preserve">m Switzerland suggested that "reversing alarm" should be replaced with "acoustic warning" in the title of a new Regulation.  </w:t>
      </w:r>
      <w:r w:rsidR="0090783F" w:rsidRPr="00B32C19">
        <w:t xml:space="preserve">    </w:t>
      </w:r>
      <w:r w:rsidR="0090783F" w:rsidRPr="00B32C19">
        <w:tab/>
      </w:r>
      <w:r w:rsidRPr="00B32C19">
        <w:t xml:space="preserve">       </w:t>
      </w:r>
    </w:p>
    <w:p w:rsidR="00231A2F" w:rsidRPr="00B32C19" w:rsidRDefault="007416CB" w:rsidP="00BF2419">
      <w:pPr>
        <w:pStyle w:val="HChG"/>
        <w:spacing w:line="240" w:lineRule="atLeast"/>
      </w:pPr>
      <w:r w:rsidRPr="00B32C19">
        <w:tab/>
      </w:r>
      <w:r w:rsidR="00882056" w:rsidRPr="00B32C19">
        <w:t>X</w:t>
      </w:r>
      <w:r w:rsidR="002C00F5" w:rsidRPr="00B32C19">
        <w:t>.</w:t>
      </w:r>
      <w:r w:rsidR="002C00F5" w:rsidRPr="00B32C19">
        <w:tab/>
      </w:r>
      <w:r w:rsidR="00905107" w:rsidRPr="00B32C19">
        <w:t xml:space="preserve">Collective </w:t>
      </w:r>
      <w:r w:rsidR="008413DB" w:rsidRPr="00B32C19">
        <w:t>amendments</w:t>
      </w:r>
      <w:r w:rsidR="00905107" w:rsidRPr="00B32C19">
        <w:t xml:space="preserve"> </w:t>
      </w:r>
      <w:r w:rsidR="00F469E5" w:rsidRPr="00B32C19">
        <w:t xml:space="preserve">(agenda item </w:t>
      </w:r>
      <w:r w:rsidR="001740F5" w:rsidRPr="00B32C19">
        <w:t>9</w:t>
      </w:r>
      <w:r w:rsidR="00F469E5" w:rsidRPr="00B32C19">
        <w:t>)</w:t>
      </w:r>
    </w:p>
    <w:p w:rsidR="008413DB" w:rsidRPr="00B32C19" w:rsidRDefault="003373CC" w:rsidP="008C3B7E">
      <w:pPr>
        <w:pStyle w:val="SingleTxtG"/>
      </w:pPr>
      <w:r w:rsidRPr="00B32C19">
        <w:t>2</w:t>
      </w:r>
      <w:r w:rsidR="001F7AAC" w:rsidRPr="00B32C19">
        <w:t>0</w:t>
      </w:r>
      <w:r w:rsidR="00F30247" w:rsidRPr="00B32C19">
        <w:t>.</w:t>
      </w:r>
      <w:r w:rsidRPr="00B32C19">
        <w:tab/>
        <w:t xml:space="preserve">No proposals were considered under this agenda item. </w:t>
      </w:r>
      <w:r w:rsidR="00F30247" w:rsidRPr="00B32C19">
        <w:tab/>
      </w:r>
    </w:p>
    <w:p w:rsidR="002C00F5" w:rsidRPr="00B32C19" w:rsidRDefault="007416CB" w:rsidP="007B535E">
      <w:pPr>
        <w:pStyle w:val="HChG"/>
        <w:ind w:right="993"/>
      </w:pPr>
      <w:r w:rsidRPr="00B32C19">
        <w:tab/>
      </w:r>
      <w:r w:rsidR="002C00F5" w:rsidRPr="00B32C19">
        <w:t>X</w:t>
      </w:r>
      <w:r w:rsidR="001740F5" w:rsidRPr="00B32C19">
        <w:t>I</w:t>
      </w:r>
      <w:r w:rsidR="002C00F5" w:rsidRPr="00B32C19">
        <w:t>.</w:t>
      </w:r>
      <w:r w:rsidR="002C00F5" w:rsidRPr="00B32C19">
        <w:tab/>
      </w:r>
      <w:r w:rsidR="00905107" w:rsidRPr="00B32C19">
        <w:t>Exchange of information on national and international requirements on noise levels (a</w:t>
      </w:r>
      <w:r w:rsidR="002C00F5" w:rsidRPr="00B32C19">
        <w:t xml:space="preserve">genda item </w:t>
      </w:r>
      <w:r w:rsidR="001740F5" w:rsidRPr="00B32C19">
        <w:t>10</w:t>
      </w:r>
      <w:r w:rsidR="002C00F5" w:rsidRPr="00B32C19">
        <w:t>)</w:t>
      </w:r>
    </w:p>
    <w:p w:rsidR="002C2D23" w:rsidRPr="00B32C19" w:rsidRDefault="002C2D23" w:rsidP="00E86C77">
      <w:pPr>
        <w:pStyle w:val="SingleTxtG"/>
        <w:ind w:left="2835" w:hanging="1701"/>
        <w:jc w:val="left"/>
      </w:pPr>
      <w:r w:rsidRPr="00B32C19">
        <w:rPr>
          <w:i/>
        </w:rPr>
        <w:t>Documentation</w:t>
      </w:r>
      <w:r w:rsidRPr="00B32C19">
        <w:t>:</w:t>
      </w:r>
      <w:r w:rsidRPr="00B32C19">
        <w:tab/>
        <w:t>Informal document</w:t>
      </w:r>
      <w:r w:rsidR="008C3B7E" w:rsidRPr="00B32C19">
        <w:t xml:space="preserve"> </w:t>
      </w:r>
      <w:r w:rsidR="001024DF" w:rsidRPr="00B32C19">
        <w:t>GRB-6</w:t>
      </w:r>
      <w:r w:rsidR="007F256C" w:rsidRPr="00B32C19">
        <w:t>7</w:t>
      </w:r>
      <w:r w:rsidR="001024DF" w:rsidRPr="00B32C19">
        <w:t>-1</w:t>
      </w:r>
      <w:r w:rsidR="007F256C" w:rsidRPr="00B32C19">
        <w:t>3</w:t>
      </w:r>
    </w:p>
    <w:p w:rsidR="006465CE" w:rsidRPr="00B32C19" w:rsidRDefault="003373CC" w:rsidP="006465CE">
      <w:pPr>
        <w:pStyle w:val="SingleTxtG"/>
      </w:pPr>
      <w:r w:rsidRPr="00B32C19">
        <w:t>2</w:t>
      </w:r>
      <w:r w:rsidR="001F7AAC" w:rsidRPr="00B32C19">
        <w:t>1</w:t>
      </w:r>
      <w:r w:rsidR="00F30247" w:rsidRPr="00B32C19">
        <w:t>.</w:t>
      </w:r>
      <w:r w:rsidR="00F30247" w:rsidRPr="00B32C19">
        <w:tab/>
      </w:r>
      <w:r w:rsidR="00807EC8" w:rsidRPr="00B32C19">
        <w:t xml:space="preserve">No new information was reported under this item. </w:t>
      </w:r>
      <w:r w:rsidR="00534220" w:rsidRPr="00B32C19">
        <w:t xml:space="preserve">   </w:t>
      </w:r>
    </w:p>
    <w:p w:rsidR="002C00F5" w:rsidRPr="00B32C19" w:rsidRDefault="007416CB" w:rsidP="007B535E">
      <w:pPr>
        <w:pStyle w:val="HChG"/>
        <w:ind w:right="993"/>
      </w:pPr>
      <w:r w:rsidRPr="00B32C19">
        <w:tab/>
      </w:r>
      <w:r w:rsidR="002C00F5" w:rsidRPr="00B32C19">
        <w:t>X</w:t>
      </w:r>
      <w:r w:rsidR="00882056" w:rsidRPr="00B32C19">
        <w:t>I</w:t>
      </w:r>
      <w:r w:rsidR="001740F5" w:rsidRPr="00B32C19">
        <w:t>I</w:t>
      </w:r>
      <w:r w:rsidR="002C00F5" w:rsidRPr="00B32C19">
        <w:t>.</w:t>
      </w:r>
      <w:r w:rsidR="002C00F5" w:rsidRPr="00B32C19">
        <w:tab/>
      </w:r>
      <w:r w:rsidR="00905107" w:rsidRPr="00B32C19">
        <w:t>Influence of road surface on tyre rolling sound emissions (a</w:t>
      </w:r>
      <w:r w:rsidR="002C00F5" w:rsidRPr="00B32C19">
        <w:t xml:space="preserve">genda item </w:t>
      </w:r>
      <w:r w:rsidR="00882056" w:rsidRPr="00B32C19">
        <w:t>1</w:t>
      </w:r>
      <w:r w:rsidR="001740F5" w:rsidRPr="00B32C19">
        <w:t>1</w:t>
      </w:r>
      <w:r w:rsidR="002C00F5" w:rsidRPr="00B32C19">
        <w:t>)</w:t>
      </w:r>
    </w:p>
    <w:p w:rsidR="008C3B7E" w:rsidRPr="00B32C19" w:rsidRDefault="008C3B7E" w:rsidP="008C3B7E">
      <w:pPr>
        <w:pStyle w:val="SingleTxtG"/>
        <w:ind w:left="2835" w:hanging="1701"/>
        <w:jc w:val="left"/>
      </w:pPr>
      <w:r w:rsidRPr="00B32C19">
        <w:rPr>
          <w:i/>
        </w:rPr>
        <w:t>Documentation</w:t>
      </w:r>
      <w:r w:rsidRPr="00B32C19">
        <w:t>:</w:t>
      </w:r>
      <w:r w:rsidRPr="00B32C19">
        <w:tab/>
        <w:t>Informal document GRB-6</w:t>
      </w:r>
      <w:r w:rsidR="001500AE" w:rsidRPr="00B32C19">
        <w:t>7</w:t>
      </w:r>
      <w:r w:rsidRPr="00B32C19">
        <w:t>-</w:t>
      </w:r>
      <w:r w:rsidR="001500AE" w:rsidRPr="00B32C19">
        <w:t>19</w:t>
      </w:r>
    </w:p>
    <w:p w:rsidR="00050536" w:rsidRPr="00B32C19" w:rsidRDefault="003373CC" w:rsidP="00213D75">
      <w:pPr>
        <w:pStyle w:val="SingleTxtG"/>
      </w:pPr>
      <w:r w:rsidRPr="00B32C19">
        <w:t>2</w:t>
      </w:r>
      <w:r w:rsidR="001F7AAC" w:rsidRPr="00B32C19">
        <w:t>2</w:t>
      </w:r>
      <w:r w:rsidR="00F30247" w:rsidRPr="00B32C19">
        <w:t>.</w:t>
      </w:r>
      <w:r w:rsidR="00F30247" w:rsidRPr="00B32C19">
        <w:tab/>
      </w:r>
      <w:r w:rsidR="00050536" w:rsidRPr="00B32C19">
        <w:t xml:space="preserve">The expert from the Netherlands </w:t>
      </w:r>
      <w:r w:rsidR="00D50855" w:rsidRPr="00B32C19">
        <w:t>presented</w:t>
      </w:r>
      <w:r w:rsidR="00446F2E" w:rsidRPr="00B32C19">
        <w:t xml:space="preserve"> </w:t>
      </w:r>
      <w:r w:rsidR="00770C1E" w:rsidRPr="00B32C19">
        <w:t xml:space="preserve">an update of the </w:t>
      </w:r>
      <w:r w:rsidR="00446F2E" w:rsidRPr="00B32C19">
        <w:t>project on l</w:t>
      </w:r>
      <w:r w:rsidR="00050536" w:rsidRPr="00B32C19">
        <w:t>abelling road surfaces</w:t>
      </w:r>
      <w:r w:rsidR="00446F2E" w:rsidRPr="00B32C19">
        <w:t xml:space="preserve"> </w:t>
      </w:r>
      <w:r w:rsidR="004321B4" w:rsidRPr="00B32C19">
        <w:t>(GRB-6</w:t>
      </w:r>
      <w:r w:rsidR="00770C1E" w:rsidRPr="00B32C19">
        <w:t>7</w:t>
      </w:r>
      <w:r w:rsidR="004321B4" w:rsidRPr="00B32C19">
        <w:t>-</w:t>
      </w:r>
      <w:r w:rsidR="00770C1E" w:rsidRPr="00B32C19">
        <w:t>19</w:t>
      </w:r>
      <w:r w:rsidR="004321B4" w:rsidRPr="00B32C19">
        <w:t>)</w:t>
      </w:r>
      <w:r w:rsidR="00770C1E" w:rsidRPr="00B32C19">
        <w:t>,</w:t>
      </w:r>
      <w:r w:rsidR="004321B4" w:rsidRPr="00B32C19">
        <w:t xml:space="preserve"> based on </w:t>
      </w:r>
      <w:r w:rsidR="006F2374" w:rsidRPr="00B32C19">
        <w:t>the following</w:t>
      </w:r>
      <w:r w:rsidR="004321B4" w:rsidRPr="00B32C19">
        <w:t xml:space="preserve"> criteria: skid resistance, noise reduction, rolling resistance and lifespan.</w:t>
      </w:r>
      <w:r w:rsidR="00F5686A" w:rsidRPr="00B32C19">
        <w:t xml:space="preserve"> </w:t>
      </w:r>
      <w:r w:rsidR="00C7229C" w:rsidRPr="00B32C19">
        <w:t>GRB recalled its view that labelling road surfaces could only be introduced as a non-legally binding document, e.g. a recommendation or resolution, and its intention to find the most appropriate body to adopt such a document. In this context, t</w:t>
      </w:r>
      <w:r w:rsidR="00770C1E" w:rsidRPr="00B32C19">
        <w:t xml:space="preserve">he Chair informed GRB about the AC.2 considerations of this issue, at its November 2017 session. The secretariat further reported </w:t>
      </w:r>
      <w:r w:rsidR="00C7229C" w:rsidRPr="00B32C19">
        <w:t xml:space="preserve">that the Working Party on Road Transport (SC.1), at its September 2017 session, had indicated that the project was beyond the </w:t>
      </w:r>
      <w:r w:rsidR="006B44AC">
        <w:t>SC</w:t>
      </w:r>
      <w:r w:rsidR="00C7229C" w:rsidRPr="00B32C19">
        <w:t>.1 Terms of Reference. The Chair invited the Netherlands, in cooperation with the Chair, secretariat and other</w:t>
      </w:r>
      <w:r w:rsidR="00820683" w:rsidRPr="00B32C19">
        <w:t xml:space="preserve"> interested partie</w:t>
      </w:r>
      <w:r w:rsidR="00C7229C" w:rsidRPr="00B32C19">
        <w:t xml:space="preserve">s, to draft a recommendation or resolution for consideration at the next session of GRB.  </w:t>
      </w:r>
      <w:r w:rsidR="002B77BD" w:rsidRPr="00B32C19">
        <w:t xml:space="preserve">  </w:t>
      </w:r>
      <w:r w:rsidR="004D433C" w:rsidRPr="00B32C19">
        <w:t xml:space="preserve"> </w:t>
      </w:r>
      <w:r w:rsidR="00A66331" w:rsidRPr="00B32C19">
        <w:t xml:space="preserve">  </w:t>
      </w:r>
      <w:r w:rsidR="00E50896" w:rsidRPr="00B32C19">
        <w:t xml:space="preserve">  </w:t>
      </w:r>
      <w:r w:rsidR="0048690E" w:rsidRPr="00B32C19">
        <w:t xml:space="preserve"> </w:t>
      </w:r>
    </w:p>
    <w:p w:rsidR="00252800" w:rsidRPr="00B32C19" w:rsidRDefault="007416CB" w:rsidP="007B535E">
      <w:pPr>
        <w:pStyle w:val="HChG"/>
        <w:ind w:right="993"/>
      </w:pPr>
      <w:r w:rsidRPr="00B32C19">
        <w:tab/>
      </w:r>
      <w:r w:rsidR="00252800" w:rsidRPr="00B32C19">
        <w:t>XI</w:t>
      </w:r>
      <w:r w:rsidR="00882056" w:rsidRPr="00B32C19">
        <w:t>I</w:t>
      </w:r>
      <w:r w:rsidR="00252800" w:rsidRPr="00B32C19">
        <w:t>I.</w:t>
      </w:r>
      <w:r w:rsidR="00252800" w:rsidRPr="00B32C19">
        <w:tab/>
      </w:r>
      <w:r w:rsidR="00B14414" w:rsidRPr="00B32C19">
        <w:t>A</w:t>
      </w:r>
      <w:r w:rsidR="00252800" w:rsidRPr="00B32C19">
        <w:t>cronyms</w:t>
      </w:r>
      <w:r w:rsidR="00B14414" w:rsidRPr="00B32C19">
        <w:t xml:space="preserve"> and abbreviations</w:t>
      </w:r>
      <w:r w:rsidR="00252800" w:rsidRPr="00B32C19">
        <w:t xml:space="preserve"> in Regulations under</w:t>
      </w:r>
      <w:r w:rsidR="00880E8D" w:rsidRPr="00B32C19">
        <w:t xml:space="preserve"> the responsibility of</w:t>
      </w:r>
      <w:r w:rsidR="00252800" w:rsidRPr="00B32C19">
        <w:t xml:space="preserve"> </w:t>
      </w:r>
      <w:r w:rsidR="00B14414" w:rsidRPr="00B32C19">
        <w:t>the Working Party on Noise</w:t>
      </w:r>
      <w:r w:rsidR="00252800" w:rsidRPr="00B32C19">
        <w:t xml:space="preserve"> </w:t>
      </w:r>
      <w:r w:rsidR="00E86C77" w:rsidRPr="00B32C19">
        <w:br/>
      </w:r>
      <w:r w:rsidR="00252800" w:rsidRPr="00B32C19">
        <w:t>(agenda item 1</w:t>
      </w:r>
      <w:r w:rsidR="00882056" w:rsidRPr="00B32C19">
        <w:t>2</w:t>
      </w:r>
      <w:r w:rsidR="00252800" w:rsidRPr="00B32C19">
        <w:t>)</w:t>
      </w:r>
    </w:p>
    <w:p w:rsidR="00677BFE" w:rsidRPr="00B32C19" w:rsidRDefault="006406EF" w:rsidP="00252800">
      <w:pPr>
        <w:pStyle w:val="SingleTxtG"/>
        <w:rPr>
          <w:highlight w:val="yellow"/>
        </w:rPr>
      </w:pPr>
      <w:r w:rsidRPr="00B32C19">
        <w:t>2</w:t>
      </w:r>
      <w:r w:rsidR="001F7AAC" w:rsidRPr="00B32C19">
        <w:t>3</w:t>
      </w:r>
      <w:r w:rsidR="00252800" w:rsidRPr="00B32C19">
        <w:t>.</w:t>
      </w:r>
      <w:r w:rsidR="00252800" w:rsidRPr="00B32C19">
        <w:tab/>
      </w:r>
      <w:r w:rsidR="002D0AC7" w:rsidRPr="00B32C19">
        <w:t xml:space="preserve">No issues were considered under this item. </w:t>
      </w:r>
    </w:p>
    <w:p w:rsidR="0026631F" w:rsidRPr="00B32C19" w:rsidRDefault="0026631F" w:rsidP="007B535E">
      <w:pPr>
        <w:pStyle w:val="HChG"/>
        <w:ind w:right="993"/>
      </w:pPr>
      <w:r w:rsidRPr="00B32C19">
        <w:lastRenderedPageBreak/>
        <w:tab/>
        <w:t>XI</w:t>
      </w:r>
      <w:r w:rsidR="00882056" w:rsidRPr="00B32C19">
        <w:t>V</w:t>
      </w:r>
      <w:r w:rsidRPr="00B32C19">
        <w:t>.</w:t>
      </w:r>
      <w:r w:rsidRPr="00B32C19">
        <w:tab/>
        <w:t>Proposal for amendments to the Consolidated Resolution on the Construction of Vehicles (agenda item 1</w:t>
      </w:r>
      <w:r w:rsidR="00882056" w:rsidRPr="00B32C19">
        <w:t>3</w:t>
      </w:r>
      <w:r w:rsidRPr="00B32C19">
        <w:t>)</w:t>
      </w:r>
    </w:p>
    <w:p w:rsidR="00AC3457" w:rsidRPr="006B44AC" w:rsidRDefault="00AC3457" w:rsidP="00AC3457">
      <w:pPr>
        <w:pStyle w:val="SingleTxtG"/>
        <w:rPr>
          <w:i/>
          <w:lang w:val="fr-FR"/>
        </w:rPr>
      </w:pPr>
      <w:r w:rsidRPr="006B44AC">
        <w:rPr>
          <w:i/>
          <w:lang w:val="fr-FR"/>
        </w:rPr>
        <w:t>Documentation:</w:t>
      </w:r>
      <w:r w:rsidRPr="006B44AC">
        <w:rPr>
          <w:i/>
          <w:lang w:val="fr-FR"/>
        </w:rPr>
        <w:tab/>
      </w:r>
      <w:r w:rsidR="001024DF" w:rsidRPr="006B44AC">
        <w:rPr>
          <w:lang w:val="fr-FR"/>
        </w:rPr>
        <w:t xml:space="preserve">ECE/TRANS/WP.29/GRSG/2017/20 </w:t>
      </w:r>
      <w:r w:rsidR="008C3B7E" w:rsidRPr="006B44AC">
        <w:rPr>
          <w:lang w:val="fr-FR"/>
        </w:rPr>
        <w:t xml:space="preserve"> </w:t>
      </w:r>
    </w:p>
    <w:p w:rsidR="00B02136" w:rsidRPr="00B32C19" w:rsidRDefault="0078412D" w:rsidP="00D34A18">
      <w:pPr>
        <w:pStyle w:val="SingleTxtG"/>
      </w:pPr>
      <w:r w:rsidRPr="00B32C19">
        <w:t>2</w:t>
      </w:r>
      <w:r w:rsidR="001F7AAC" w:rsidRPr="00B32C19">
        <w:t>4</w:t>
      </w:r>
      <w:r w:rsidRPr="00B32C19">
        <w:t>.</w:t>
      </w:r>
      <w:r w:rsidRPr="00B32C19">
        <w:tab/>
      </w:r>
      <w:r w:rsidR="000E00BF" w:rsidRPr="00B32C19">
        <w:t xml:space="preserve">GRB noted that </w:t>
      </w:r>
      <w:r w:rsidR="006E0C51" w:rsidRPr="00B32C19">
        <w:t xml:space="preserve">its </w:t>
      </w:r>
      <w:r w:rsidR="000E00BF" w:rsidRPr="00B32C19">
        <w:t xml:space="preserve">proposal </w:t>
      </w:r>
      <w:r w:rsidR="003C0CEC" w:rsidRPr="00B32C19">
        <w:t xml:space="preserve">to change the measuring units for vehicle masses from tonnes to kilograms </w:t>
      </w:r>
      <w:r w:rsidR="006E0C51" w:rsidRPr="00B32C19">
        <w:t xml:space="preserve">had been agreed at the </w:t>
      </w:r>
      <w:r w:rsidR="000E00BF" w:rsidRPr="00B32C19">
        <w:t>October 2017 session of</w:t>
      </w:r>
      <w:r w:rsidR="006E0C51" w:rsidRPr="00B32C19">
        <w:t xml:space="preserve"> the Working Party on General Safety Provisions (</w:t>
      </w:r>
      <w:r w:rsidR="003C0CEC" w:rsidRPr="00B32C19">
        <w:t>GRSG</w:t>
      </w:r>
      <w:r w:rsidR="006E0C51" w:rsidRPr="00B32C19">
        <w:t>)</w:t>
      </w:r>
      <w:r w:rsidR="000E00BF" w:rsidRPr="00B32C19">
        <w:t xml:space="preserve"> (ECE/TRANS/WP.29/GRSG/2017/20)</w:t>
      </w:r>
      <w:r w:rsidR="006E0C51" w:rsidRPr="00B32C19">
        <w:t xml:space="preserve"> and would be submitted to the March 2018 session of WP.29 for adoption</w:t>
      </w:r>
      <w:r w:rsidR="000E00BF" w:rsidRPr="00B32C19">
        <w:t xml:space="preserve">. </w:t>
      </w:r>
      <w:r w:rsidR="003C0CEC" w:rsidRPr="00B32C19">
        <w:t xml:space="preserve">  </w:t>
      </w:r>
      <w:r w:rsidR="0000552F" w:rsidRPr="00B32C19">
        <w:t xml:space="preserve">  </w:t>
      </w:r>
    </w:p>
    <w:p w:rsidR="004265A2" w:rsidRPr="00B32C19" w:rsidRDefault="004265A2" w:rsidP="0026631F">
      <w:pPr>
        <w:pStyle w:val="HChG"/>
        <w:jc w:val="both"/>
      </w:pPr>
      <w:r w:rsidRPr="00B32C19">
        <w:tab/>
        <w:t>XV.</w:t>
      </w:r>
      <w:r w:rsidRPr="00B32C19">
        <w:tab/>
        <w:t xml:space="preserve">Development of the International Whole Vehicle Type Approval </w:t>
      </w:r>
      <w:r w:rsidR="008722F7" w:rsidRPr="00B32C19">
        <w:t>s</w:t>
      </w:r>
      <w:r w:rsidRPr="00B32C19">
        <w:t>ystem and involvement of the Working Parties in it (agenda item 1</w:t>
      </w:r>
      <w:r w:rsidR="00882056" w:rsidRPr="00B32C19">
        <w:t>4</w:t>
      </w:r>
      <w:r w:rsidRPr="00B32C19">
        <w:t>)</w:t>
      </w:r>
    </w:p>
    <w:p w:rsidR="006C04BC" w:rsidRPr="00B32C19" w:rsidRDefault="009434C4" w:rsidP="00526485">
      <w:pPr>
        <w:pStyle w:val="SingleTxtG"/>
      </w:pPr>
      <w:r w:rsidRPr="00B32C19">
        <w:t>2</w:t>
      </w:r>
      <w:r w:rsidR="001F7AAC" w:rsidRPr="00B32C19">
        <w:t>5</w:t>
      </w:r>
      <w:r w:rsidR="005743B0" w:rsidRPr="00B32C19">
        <w:t>.</w:t>
      </w:r>
      <w:r w:rsidR="004265A2" w:rsidRPr="00B32C19">
        <w:tab/>
      </w:r>
      <w:r w:rsidR="00406A01" w:rsidRPr="00B32C19">
        <w:t xml:space="preserve">GRB </w:t>
      </w:r>
      <w:r w:rsidR="00763704" w:rsidRPr="00B32C19">
        <w:t xml:space="preserve">was informed </w:t>
      </w:r>
      <w:r w:rsidR="00406A01" w:rsidRPr="00B32C19">
        <w:t xml:space="preserve">that Revision 3 of the 1958 Agreement </w:t>
      </w:r>
      <w:r w:rsidR="00763704" w:rsidRPr="00B32C19">
        <w:t xml:space="preserve">had </w:t>
      </w:r>
      <w:r w:rsidR="00406A01" w:rsidRPr="00B32C19">
        <w:t>enter</w:t>
      </w:r>
      <w:r w:rsidR="00763704" w:rsidRPr="00B32C19">
        <w:t>ed</w:t>
      </w:r>
      <w:r w:rsidR="00406A01" w:rsidRPr="00B32C19">
        <w:t xml:space="preserve"> into force on 14 September 2017</w:t>
      </w:r>
      <w:r w:rsidR="00763704" w:rsidRPr="00B32C19">
        <w:t xml:space="preserve"> and that WP.29, at its November 2017 session, had adopted </w:t>
      </w:r>
      <w:r w:rsidR="00406A01" w:rsidRPr="00B32C19">
        <w:t>Draft General Guidelines for U</w:t>
      </w:r>
      <w:r w:rsidR="009B3275">
        <w:t xml:space="preserve">nited </w:t>
      </w:r>
      <w:r w:rsidR="00406A01" w:rsidRPr="00B32C19">
        <w:t>N</w:t>
      </w:r>
      <w:r w:rsidR="009B3275">
        <w:t>ations</w:t>
      </w:r>
      <w:r w:rsidR="00406A01" w:rsidRPr="00B32C19">
        <w:t xml:space="preserve"> regulatory procedures and transitional provisions in UN</w:t>
      </w:r>
      <w:r w:rsidR="00763704" w:rsidRPr="00B32C19">
        <w:t xml:space="preserve"> </w:t>
      </w:r>
      <w:r w:rsidR="00406A01" w:rsidRPr="00B32C19">
        <w:t>Regulations</w:t>
      </w:r>
      <w:r w:rsidR="00763704" w:rsidRPr="00B32C19">
        <w:t xml:space="preserve"> and a new UN Regulation No. 0 on the International Whole Vehicle Type Approval (IWVTA). </w:t>
      </w:r>
    </w:p>
    <w:p w:rsidR="006D142A" w:rsidRPr="00B32C19" w:rsidRDefault="006D142A" w:rsidP="006D142A">
      <w:pPr>
        <w:pStyle w:val="HChG"/>
        <w:jc w:val="both"/>
      </w:pPr>
      <w:r w:rsidRPr="00B32C19">
        <w:tab/>
        <w:t>XVI.</w:t>
      </w:r>
      <w:r w:rsidRPr="00B32C19">
        <w:tab/>
        <w:t>Highlights of the</w:t>
      </w:r>
      <w:r w:rsidR="00E6013D" w:rsidRPr="00B32C19">
        <w:t xml:space="preserve"> </w:t>
      </w:r>
      <w:r w:rsidR="00621E0F" w:rsidRPr="00B32C19">
        <w:t xml:space="preserve">November </w:t>
      </w:r>
      <w:r w:rsidR="00F66EB6" w:rsidRPr="00B32C19">
        <w:t>201</w:t>
      </w:r>
      <w:r w:rsidR="008722F7" w:rsidRPr="00B32C19">
        <w:t>7</w:t>
      </w:r>
      <w:r w:rsidR="00F66EB6" w:rsidRPr="00B32C19">
        <w:t xml:space="preserve"> session</w:t>
      </w:r>
      <w:r w:rsidRPr="00B32C19">
        <w:t xml:space="preserve"> of WP.29 </w:t>
      </w:r>
      <w:r w:rsidR="00E86C77" w:rsidRPr="00B32C19">
        <w:br/>
      </w:r>
      <w:r w:rsidRPr="00B32C19">
        <w:t>(agenda item 1</w:t>
      </w:r>
      <w:r w:rsidR="00880E8D" w:rsidRPr="00B32C19">
        <w:t>5</w:t>
      </w:r>
      <w:r w:rsidRPr="00B32C19">
        <w:t>)</w:t>
      </w:r>
    </w:p>
    <w:p w:rsidR="002F6879" w:rsidRPr="00B32C19" w:rsidRDefault="002F6879" w:rsidP="008C3B7E">
      <w:pPr>
        <w:pStyle w:val="SingleTxtG"/>
      </w:pPr>
      <w:r w:rsidRPr="00B32C19">
        <w:rPr>
          <w:i/>
        </w:rPr>
        <w:t>Documentation:</w:t>
      </w:r>
      <w:r w:rsidRPr="00B32C19">
        <w:tab/>
      </w:r>
      <w:r w:rsidR="009C4B01" w:rsidRPr="00B32C19">
        <w:t>Informal document GRB-6</w:t>
      </w:r>
      <w:r w:rsidR="00621E0F" w:rsidRPr="00B32C19">
        <w:t>7</w:t>
      </w:r>
      <w:r w:rsidR="009C4B01" w:rsidRPr="00B32C19">
        <w:t>-</w:t>
      </w:r>
      <w:r w:rsidR="008C3B7E" w:rsidRPr="00B32C19">
        <w:t>0</w:t>
      </w:r>
      <w:r w:rsidR="00621E0F" w:rsidRPr="00B32C19">
        <w:t>5</w:t>
      </w:r>
    </w:p>
    <w:p w:rsidR="006D142A" w:rsidRPr="00B32C19" w:rsidRDefault="001F7AAC" w:rsidP="00526485">
      <w:pPr>
        <w:pStyle w:val="SingleTxtG"/>
      </w:pPr>
      <w:r w:rsidRPr="00B32C19">
        <w:t>26</w:t>
      </w:r>
      <w:r w:rsidR="005743B0" w:rsidRPr="00B32C19">
        <w:t>.</w:t>
      </w:r>
      <w:r w:rsidR="00254928" w:rsidRPr="00B32C19">
        <w:tab/>
      </w:r>
      <w:r w:rsidR="00F40BE0" w:rsidRPr="00B32C19">
        <w:t xml:space="preserve">The </w:t>
      </w:r>
      <w:r w:rsidR="009C4B01" w:rsidRPr="00B32C19">
        <w:t>s</w:t>
      </w:r>
      <w:r w:rsidR="00F40BE0" w:rsidRPr="00B32C19">
        <w:t>ecretar</w:t>
      </w:r>
      <w:r w:rsidR="009C4B01" w:rsidRPr="00B32C19">
        <w:t>iat</w:t>
      </w:r>
      <w:r w:rsidR="00F40BE0" w:rsidRPr="00B32C19">
        <w:t xml:space="preserve"> reported on the highlights of the </w:t>
      </w:r>
      <w:r w:rsidR="008C3B7E" w:rsidRPr="00B32C19">
        <w:t>17</w:t>
      </w:r>
      <w:r w:rsidR="00621E0F" w:rsidRPr="00B32C19">
        <w:t>3rd</w:t>
      </w:r>
      <w:r w:rsidR="00A62201" w:rsidRPr="00B32C19">
        <w:t xml:space="preserve"> </w:t>
      </w:r>
      <w:r w:rsidR="00F40BE0" w:rsidRPr="00B32C19">
        <w:t>session of WP.29</w:t>
      </w:r>
      <w:r w:rsidR="00AC3457" w:rsidRPr="00B32C19">
        <w:t>.</w:t>
      </w:r>
      <w:r w:rsidR="00F40BE0" w:rsidRPr="00B32C19">
        <w:t xml:space="preserve"> </w:t>
      </w:r>
    </w:p>
    <w:p w:rsidR="00882056" w:rsidRPr="00B32C19" w:rsidRDefault="00882056" w:rsidP="00882056">
      <w:pPr>
        <w:pStyle w:val="HChG"/>
        <w:jc w:val="both"/>
      </w:pPr>
      <w:r w:rsidRPr="00B32C19">
        <w:tab/>
        <w:t>XVII.</w:t>
      </w:r>
      <w:r w:rsidRPr="00B32C19">
        <w:tab/>
        <w:t>Exchange of views regarding the future work of GRB (agenda item 16)</w:t>
      </w:r>
    </w:p>
    <w:p w:rsidR="00730FCF" w:rsidRPr="00B32C19" w:rsidRDefault="003373CC" w:rsidP="00526485">
      <w:pPr>
        <w:pStyle w:val="SingleTxtG"/>
      </w:pPr>
      <w:r w:rsidRPr="00B32C19">
        <w:t>2</w:t>
      </w:r>
      <w:r w:rsidR="001F7AAC" w:rsidRPr="00B32C19">
        <w:t>7</w:t>
      </w:r>
      <w:r w:rsidR="009A496A" w:rsidRPr="00B32C19">
        <w:t>.</w:t>
      </w:r>
      <w:r w:rsidR="009A496A" w:rsidRPr="00B32C19">
        <w:tab/>
      </w:r>
      <w:r w:rsidR="00730A2A" w:rsidRPr="00B32C19">
        <w:t xml:space="preserve">The Chair indicated that, before March 2018, he would again solicit views of GRB experts on this issue. </w:t>
      </w:r>
    </w:p>
    <w:p w:rsidR="0026631F" w:rsidRPr="00B32C19" w:rsidRDefault="0026631F" w:rsidP="0026631F">
      <w:pPr>
        <w:pStyle w:val="HChG"/>
        <w:jc w:val="both"/>
      </w:pPr>
      <w:r w:rsidRPr="00B32C19">
        <w:tab/>
        <w:t>XV</w:t>
      </w:r>
      <w:r w:rsidR="004265A2" w:rsidRPr="00B32C19">
        <w:t>I</w:t>
      </w:r>
      <w:r w:rsidR="006D142A" w:rsidRPr="00B32C19">
        <w:t>I</w:t>
      </w:r>
      <w:r w:rsidR="00882056" w:rsidRPr="00B32C19">
        <w:t>I</w:t>
      </w:r>
      <w:r w:rsidRPr="00B32C19">
        <w:t>.</w:t>
      </w:r>
      <w:r w:rsidRPr="00B32C19">
        <w:tab/>
        <w:t>Other business (agen</w:t>
      </w:r>
      <w:r w:rsidR="006D142A" w:rsidRPr="00B32C19">
        <w:t>da item 17</w:t>
      </w:r>
      <w:r w:rsidRPr="00B32C19">
        <w:t>)</w:t>
      </w:r>
    </w:p>
    <w:p w:rsidR="001500AE" w:rsidRPr="006B44AC" w:rsidRDefault="001024DF" w:rsidP="001500AE">
      <w:pPr>
        <w:pStyle w:val="SingleTxtG"/>
        <w:spacing w:after="0"/>
        <w:rPr>
          <w:lang w:val="fr-FR"/>
        </w:rPr>
      </w:pPr>
      <w:r w:rsidRPr="006B44AC">
        <w:rPr>
          <w:i/>
          <w:lang w:val="fr-FR"/>
        </w:rPr>
        <w:t>Documentation:</w:t>
      </w:r>
      <w:r w:rsidRPr="006B44AC">
        <w:rPr>
          <w:i/>
          <w:lang w:val="fr-FR"/>
        </w:rPr>
        <w:tab/>
      </w:r>
      <w:r w:rsidRPr="006B44AC">
        <w:rPr>
          <w:lang w:val="fr-FR"/>
        </w:rPr>
        <w:t>Informal document</w:t>
      </w:r>
      <w:r w:rsidR="001500AE" w:rsidRPr="006B44AC">
        <w:rPr>
          <w:lang w:val="fr-FR"/>
        </w:rPr>
        <w:t>s</w:t>
      </w:r>
      <w:r w:rsidRPr="006B44AC">
        <w:rPr>
          <w:lang w:val="fr-FR"/>
        </w:rPr>
        <w:t xml:space="preserve"> GRB-6</w:t>
      </w:r>
      <w:r w:rsidR="001500AE" w:rsidRPr="006B44AC">
        <w:rPr>
          <w:lang w:val="fr-FR"/>
        </w:rPr>
        <w:t>7</w:t>
      </w:r>
      <w:r w:rsidRPr="006B44AC">
        <w:rPr>
          <w:lang w:val="fr-FR"/>
        </w:rPr>
        <w:t>-0</w:t>
      </w:r>
      <w:r w:rsidR="001500AE" w:rsidRPr="006B44AC">
        <w:rPr>
          <w:lang w:val="fr-FR"/>
        </w:rPr>
        <w:t>2, GRB-67-03, GRB-67-04</w:t>
      </w:r>
      <w:r w:rsidR="006A64FE" w:rsidRPr="006B44AC">
        <w:rPr>
          <w:lang w:val="fr-FR"/>
        </w:rPr>
        <w:t xml:space="preserve"> and </w:t>
      </w:r>
      <w:r w:rsidR="001500AE" w:rsidRPr="006B44AC">
        <w:rPr>
          <w:lang w:val="fr-FR"/>
        </w:rPr>
        <w:t xml:space="preserve"> </w:t>
      </w:r>
    </w:p>
    <w:p w:rsidR="001024DF" w:rsidRPr="00B32C19" w:rsidRDefault="001500AE" w:rsidP="001500AE">
      <w:pPr>
        <w:pStyle w:val="SingleTxtG"/>
        <w:ind w:left="2268" w:firstLine="567"/>
        <w:rPr>
          <w:i/>
        </w:rPr>
      </w:pPr>
      <w:r w:rsidRPr="00B32C19">
        <w:t>GRB-67-11</w:t>
      </w:r>
      <w:r w:rsidR="001024DF" w:rsidRPr="00B32C19">
        <w:t xml:space="preserve">  </w:t>
      </w:r>
    </w:p>
    <w:p w:rsidR="002C2265" w:rsidRPr="00B32C19" w:rsidRDefault="001F7AAC" w:rsidP="00526485">
      <w:pPr>
        <w:pStyle w:val="SingleTxtG"/>
      </w:pPr>
      <w:r w:rsidRPr="00B32C19">
        <w:t>28</w:t>
      </w:r>
      <w:r w:rsidR="00FD1880" w:rsidRPr="00B32C19">
        <w:t>.</w:t>
      </w:r>
      <w:r w:rsidR="00FD1880" w:rsidRPr="00B32C19">
        <w:tab/>
      </w:r>
      <w:r w:rsidR="00DA6A5A" w:rsidRPr="00B32C19">
        <w:t>The expert from EC pr</w:t>
      </w:r>
      <w:r w:rsidR="006A64FE" w:rsidRPr="00B32C19">
        <w:t xml:space="preserve">esented updated </w:t>
      </w:r>
      <w:r w:rsidR="00DA6A5A" w:rsidRPr="00B32C19">
        <w:t xml:space="preserve">amendments </w:t>
      </w:r>
      <w:r w:rsidR="006A64FE" w:rsidRPr="00B32C19">
        <w:t xml:space="preserve">for a new series of amendments </w:t>
      </w:r>
      <w:r w:rsidR="00DA6A5A" w:rsidRPr="00B32C19">
        <w:t>to Regulation No</w:t>
      </w:r>
      <w:r w:rsidR="00473117" w:rsidRPr="00B32C19">
        <w:t>.</w:t>
      </w:r>
      <w:r w:rsidR="00DA6A5A" w:rsidRPr="00B32C19">
        <w:t xml:space="preserve"> 9 with the aim to introduce ASEP requirements for L</w:t>
      </w:r>
      <w:r w:rsidR="00DA6A5A" w:rsidRPr="00B32C19">
        <w:rPr>
          <w:vertAlign w:val="subscript"/>
        </w:rPr>
        <w:t>4</w:t>
      </w:r>
      <w:r w:rsidR="00DA6A5A" w:rsidRPr="00B32C19">
        <w:t xml:space="preserve"> and L</w:t>
      </w:r>
      <w:r w:rsidR="00DA6A5A" w:rsidRPr="00B32C19">
        <w:rPr>
          <w:vertAlign w:val="subscript"/>
        </w:rPr>
        <w:t>5</w:t>
      </w:r>
      <w:r w:rsidR="00DA6A5A" w:rsidRPr="00B32C19">
        <w:t xml:space="preserve"> category vehicles with the power-to-mass ratio (PMR) </w:t>
      </w:r>
      <w:r w:rsidR="00473117" w:rsidRPr="00B32C19">
        <w:t xml:space="preserve">of </w:t>
      </w:r>
      <w:r w:rsidR="00DA6A5A" w:rsidRPr="00B32C19">
        <w:t>more than 50 W/kg (GRB-6</w:t>
      </w:r>
      <w:r w:rsidR="00600FAB" w:rsidRPr="00B32C19">
        <w:t>7</w:t>
      </w:r>
      <w:r w:rsidR="00DA6A5A" w:rsidRPr="00B32C19">
        <w:t>-0</w:t>
      </w:r>
      <w:r w:rsidR="00600FAB" w:rsidRPr="00B32C19">
        <w:t>4</w:t>
      </w:r>
      <w:r w:rsidR="00DA6A5A" w:rsidRPr="00B32C19">
        <w:t xml:space="preserve">). </w:t>
      </w:r>
      <w:r w:rsidR="006A64FE" w:rsidRPr="00B32C19">
        <w:t xml:space="preserve">The expert of IMMA was of the view that the industry would need much longer transitional periods for implementing the amendments. The secretariat pointed out that the references to standard ISO 10844 should be updated. GRB invited the expert from EC to update the proposals and submit them as an official document for consideration at the next session.        </w:t>
      </w:r>
      <w:r w:rsidR="00853D6A" w:rsidRPr="00B32C19">
        <w:t xml:space="preserve"> </w:t>
      </w:r>
    </w:p>
    <w:p w:rsidR="00DF4B2B" w:rsidRPr="00B32C19" w:rsidRDefault="001F7AAC" w:rsidP="00DF4B2B">
      <w:pPr>
        <w:pStyle w:val="SingleTxtG"/>
      </w:pPr>
      <w:r w:rsidRPr="00B32C19">
        <w:t>29.</w:t>
      </w:r>
      <w:r w:rsidRPr="00B32C19">
        <w:tab/>
      </w:r>
      <w:r w:rsidR="00DF4B2B" w:rsidRPr="00B32C19">
        <w:t xml:space="preserve">The expert from Germany presented an overview of issues with noise emissions of non-original replacement exhaust silencer systems (NORESS) for L-category vehicles (GRB-67-03), as well as a possible solution in the form of a Supplement 3 to the 01 series </w:t>
      </w:r>
      <w:r w:rsidR="009B3275">
        <w:t>to</w:t>
      </w:r>
      <w:r w:rsidR="009B3275" w:rsidRPr="00B32C19">
        <w:t xml:space="preserve"> </w:t>
      </w:r>
      <w:r w:rsidR="00DF4B2B" w:rsidRPr="00B32C19">
        <w:t>UN Regulation No.</w:t>
      </w:r>
      <w:r w:rsidR="009B3275">
        <w:t xml:space="preserve"> </w:t>
      </w:r>
      <w:r w:rsidR="00DF4B2B" w:rsidRPr="00B32C19">
        <w:t xml:space="preserve">92 (GRB-67-02). Following a brief exchange of views, GRB </w:t>
      </w:r>
      <w:r w:rsidR="00DF4B2B" w:rsidRPr="00B32C19">
        <w:lastRenderedPageBreak/>
        <w:t xml:space="preserve">generally supported the approach and agreed that the proposed modifications should become a new series of amendments. GRB experts were invited to transmit their comments, if any, directly to the expert of Germany, so that he would be able to submit an official document for consideration at the next session.  </w:t>
      </w:r>
    </w:p>
    <w:p w:rsidR="00820683" w:rsidRPr="00B32C19" w:rsidRDefault="001F7AAC" w:rsidP="00DF4B2B">
      <w:pPr>
        <w:pStyle w:val="SingleTxtG"/>
      </w:pPr>
      <w:r w:rsidRPr="00B32C19">
        <w:t>30.</w:t>
      </w:r>
      <w:r w:rsidRPr="00B32C19">
        <w:tab/>
      </w:r>
      <w:r w:rsidR="000E5A6A" w:rsidRPr="00B32C19">
        <w:t xml:space="preserve">GRB noted that Ms. M. Prémillieu (France), Messrs. B. Despujols and T. Miyachi (both OICA) </w:t>
      </w:r>
      <w:r w:rsidR="005D2D28">
        <w:t xml:space="preserve">had </w:t>
      </w:r>
      <w:r w:rsidR="000E5A6A" w:rsidRPr="00B32C19">
        <w:t xml:space="preserve">assumed new functions and would no longer attend GRB meetings. GRB thanked them for their contributions and wished </w:t>
      </w:r>
      <w:r w:rsidR="005D2D28">
        <w:t xml:space="preserve">them </w:t>
      </w:r>
      <w:r w:rsidR="000E5A6A" w:rsidRPr="00B32C19">
        <w:t xml:space="preserve">success in the future.       </w:t>
      </w:r>
    </w:p>
    <w:p w:rsidR="002C00F5" w:rsidRPr="00B32C19" w:rsidRDefault="00631A63" w:rsidP="00CF2696">
      <w:pPr>
        <w:pStyle w:val="HChG"/>
      </w:pPr>
      <w:r w:rsidRPr="00B32C19">
        <w:tab/>
      </w:r>
      <w:r w:rsidR="00882056" w:rsidRPr="00B32C19">
        <w:t>XIX</w:t>
      </w:r>
      <w:r w:rsidRPr="00B32C19">
        <w:t>.</w:t>
      </w:r>
      <w:r w:rsidRPr="00B32C19">
        <w:tab/>
        <w:t>Provisional agenda for the sixt</w:t>
      </w:r>
      <w:r w:rsidR="00882056" w:rsidRPr="00B32C19">
        <w:t>y-</w:t>
      </w:r>
      <w:r w:rsidR="00056200" w:rsidRPr="00B32C19">
        <w:t xml:space="preserve">eighth </w:t>
      </w:r>
      <w:r w:rsidR="00EF49E5" w:rsidRPr="00B32C19">
        <w:t>s</w:t>
      </w:r>
      <w:r w:rsidRPr="00B32C19">
        <w:t>ession</w:t>
      </w:r>
      <w:r w:rsidR="00DB258D" w:rsidRPr="00B32C19">
        <w:t xml:space="preserve"> </w:t>
      </w:r>
      <w:r w:rsidR="00E86C77" w:rsidRPr="00B32C19">
        <w:br/>
      </w:r>
      <w:r w:rsidR="00DB258D" w:rsidRPr="00B32C19">
        <w:t>(agenda item 18)</w:t>
      </w:r>
      <w:r w:rsidR="00254928" w:rsidRPr="00B32C19">
        <w:tab/>
      </w:r>
    </w:p>
    <w:p w:rsidR="00F2362C" w:rsidRPr="00B32C19" w:rsidRDefault="00EA6D52" w:rsidP="000E7032">
      <w:pPr>
        <w:pStyle w:val="SingleTxtG"/>
      </w:pPr>
      <w:r w:rsidRPr="00B32C19">
        <w:t>3</w:t>
      </w:r>
      <w:r w:rsidR="001F7AAC" w:rsidRPr="00B32C19">
        <w:t>1</w:t>
      </w:r>
      <w:r w:rsidR="002C00F5" w:rsidRPr="00B32C19">
        <w:t>.</w:t>
      </w:r>
      <w:r w:rsidR="002C00F5" w:rsidRPr="00B32C19">
        <w:tab/>
      </w:r>
      <w:r w:rsidR="00F2362C" w:rsidRPr="00B32C19">
        <w:t xml:space="preserve">For its </w:t>
      </w:r>
      <w:r w:rsidR="00BD24B1" w:rsidRPr="00B32C19">
        <w:t>sixt</w:t>
      </w:r>
      <w:r w:rsidR="00534AD1" w:rsidRPr="00B32C19">
        <w:t>y-</w:t>
      </w:r>
      <w:r w:rsidR="001F7AAC" w:rsidRPr="00B32C19">
        <w:t xml:space="preserve">eighth </w:t>
      </w:r>
      <w:r w:rsidR="00061363" w:rsidRPr="00B32C19">
        <w:t>session</w:t>
      </w:r>
      <w:r w:rsidR="00F2362C" w:rsidRPr="00B32C19">
        <w:t xml:space="preserve">, scheduled to be held in Geneva from </w:t>
      </w:r>
      <w:r w:rsidR="00CB3DDB" w:rsidRPr="00B32C19">
        <w:t>1</w:t>
      </w:r>
      <w:r w:rsidR="001643F4" w:rsidRPr="00B32C19">
        <w:t>2</w:t>
      </w:r>
      <w:r w:rsidR="00631A63" w:rsidRPr="00B32C19">
        <w:t xml:space="preserve"> </w:t>
      </w:r>
      <w:r w:rsidR="00F2362C" w:rsidRPr="00B32C19">
        <w:t xml:space="preserve">(starting at 2.30 p.m.) to </w:t>
      </w:r>
      <w:r w:rsidR="00CB3DDB" w:rsidRPr="00B32C19">
        <w:t>14</w:t>
      </w:r>
      <w:r w:rsidR="00457BFF" w:rsidRPr="00B32C19">
        <w:t xml:space="preserve"> </w:t>
      </w:r>
      <w:r w:rsidR="00F2362C" w:rsidRPr="00B32C19">
        <w:t xml:space="preserve">(concluding at 5.30 p.m.) </w:t>
      </w:r>
      <w:r w:rsidR="00CB3DDB" w:rsidRPr="00B32C19">
        <w:t xml:space="preserve">September </w:t>
      </w:r>
      <w:r w:rsidR="004D71C6" w:rsidRPr="00B32C19">
        <w:t>201</w:t>
      </w:r>
      <w:r w:rsidR="001643F4" w:rsidRPr="00B32C19">
        <w:t>8</w:t>
      </w:r>
      <w:r w:rsidR="00F2362C" w:rsidRPr="00B32C19">
        <w:t xml:space="preserve">, </w:t>
      </w:r>
      <w:r w:rsidR="00A346FF" w:rsidRPr="00B32C19">
        <w:t>GRB decided to keep the same structure of the provisional agenda</w:t>
      </w:r>
      <w:r w:rsidR="00CB3DDB" w:rsidRPr="00B32C19">
        <w:t>, subject to the deletion of item 12 and adding two new items on Regulations Nos. 9 and 92</w:t>
      </w:r>
      <w:r w:rsidR="00A346FF" w:rsidRPr="00B32C19">
        <w:t xml:space="preserve">. </w:t>
      </w:r>
      <w:r w:rsidR="00F2362C" w:rsidRPr="00B32C19">
        <w:t>GRB noted that the deadline for</w:t>
      </w:r>
      <w:r w:rsidR="00B63BFE" w:rsidRPr="00B32C19">
        <w:t xml:space="preserve"> the</w:t>
      </w:r>
      <w:r w:rsidR="00F2362C" w:rsidRPr="00B32C19">
        <w:t xml:space="preserve"> submission of official documents to the secretariat </w:t>
      </w:r>
      <w:r w:rsidR="00D2428D" w:rsidRPr="00B32C19">
        <w:t xml:space="preserve">would be </w:t>
      </w:r>
      <w:r w:rsidR="00CB3DDB" w:rsidRPr="00B32C19">
        <w:t xml:space="preserve">18 June </w:t>
      </w:r>
      <w:r w:rsidR="006402B1" w:rsidRPr="00B32C19">
        <w:t>201</w:t>
      </w:r>
      <w:r w:rsidR="00CB3DDB" w:rsidRPr="00B32C19">
        <w:t>8</w:t>
      </w:r>
      <w:r w:rsidR="00F2362C" w:rsidRPr="00B32C19">
        <w:t xml:space="preserve">, twelve weeks prior to the session. </w:t>
      </w:r>
    </w:p>
    <w:p w:rsidR="00D343CA" w:rsidRPr="00B32C19" w:rsidRDefault="00D343CA" w:rsidP="001740F5">
      <w:pPr>
        <w:pStyle w:val="HChG"/>
        <w:jc w:val="both"/>
        <w:rPr>
          <w:szCs w:val="24"/>
        </w:rPr>
      </w:pPr>
    </w:p>
    <w:p w:rsidR="00F424A5" w:rsidRPr="00B32C19" w:rsidRDefault="008F7BFE" w:rsidP="007D7C57">
      <w:pPr>
        <w:pStyle w:val="HChG"/>
      </w:pPr>
      <w:r w:rsidRPr="00B32C19">
        <w:br w:type="page"/>
      </w:r>
      <w:r w:rsidRPr="00B32C19">
        <w:lastRenderedPageBreak/>
        <w:t>Annex I</w:t>
      </w:r>
    </w:p>
    <w:p w:rsidR="000E7032" w:rsidRPr="00B32C19" w:rsidRDefault="000E7032" w:rsidP="0093049F">
      <w:pPr>
        <w:pStyle w:val="HChG"/>
      </w:pPr>
      <w:r w:rsidRPr="00B32C19">
        <w:tab/>
      </w:r>
      <w:r w:rsidRPr="00B32C19">
        <w:tab/>
        <w:t>List of informal documents (GRB-</w:t>
      </w:r>
      <w:r w:rsidR="009C5E3B" w:rsidRPr="00B32C19">
        <w:t>6</w:t>
      </w:r>
      <w:r w:rsidR="00901DBA" w:rsidRPr="00B32C19">
        <w:t>7</w:t>
      </w:r>
      <w:r w:rsidRPr="00B32C19">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B32C19" w:rsidTr="003666E4">
        <w:trPr>
          <w:cantSplit/>
          <w:tblHeader/>
        </w:trPr>
        <w:tc>
          <w:tcPr>
            <w:tcW w:w="660" w:type="dxa"/>
            <w:tcBorders>
              <w:top w:val="single" w:sz="4" w:space="0" w:color="auto"/>
              <w:bottom w:val="single" w:sz="12" w:space="0" w:color="auto"/>
            </w:tcBorders>
            <w:shd w:val="clear" w:color="auto" w:fill="auto"/>
          </w:tcPr>
          <w:p w:rsidR="000E7032" w:rsidRPr="00B32C19" w:rsidRDefault="004E2890" w:rsidP="00E86C77">
            <w:pPr>
              <w:spacing w:before="80" w:after="80"/>
              <w:rPr>
                <w:i/>
                <w:sz w:val="16"/>
                <w:szCs w:val="16"/>
              </w:rPr>
            </w:pPr>
            <w:r w:rsidRPr="00B32C19">
              <w:rPr>
                <w:i/>
                <w:sz w:val="16"/>
                <w:szCs w:val="16"/>
              </w:rPr>
              <w:t>Symbol</w:t>
            </w:r>
          </w:p>
        </w:tc>
        <w:tc>
          <w:tcPr>
            <w:tcW w:w="1062" w:type="dxa"/>
            <w:tcBorders>
              <w:top w:val="single" w:sz="4" w:space="0" w:color="auto"/>
              <w:bottom w:val="single" w:sz="12" w:space="0" w:color="auto"/>
            </w:tcBorders>
            <w:shd w:val="clear" w:color="auto" w:fill="auto"/>
          </w:tcPr>
          <w:p w:rsidR="000E7032" w:rsidRPr="00B32C19" w:rsidRDefault="000E7032" w:rsidP="003666E4">
            <w:pPr>
              <w:spacing w:before="80" w:after="80"/>
              <w:ind w:left="57"/>
              <w:rPr>
                <w:i/>
                <w:sz w:val="16"/>
                <w:szCs w:val="16"/>
              </w:rPr>
            </w:pPr>
            <w:r w:rsidRPr="00B32C19">
              <w:rPr>
                <w:i/>
                <w:sz w:val="16"/>
                <w:szCs w:val="16"/>
              </w:rPr>
              <w:t>Transmitted by</w:t>
            </w:r>
          </w:p>
        </w:tc>
        <w:tc>
          <w:tcPr>
            <w:tcW w:w="738" w:type="dxa"/>
            <w:tcBorders>
              <w:top w:val="single" w:sz="4" w:space="0" w:color="auto"/>
              <w:bottom w:val="single" w:sz="12" w:space="0" w:color="auto"/>
            </w:tcBorders>
            <w:shd w:val="clear" w:color="auto" w:fill="auto"/>
          </w:tcPr>
          <w:p w:rsidR="000E7032" w:rsidRPr="00B32C19" w:rsidRDefault="000E7032" w:rsidP="00E86C77">
            <w:pPr>
              <w:spacing w:before="80" w:after="80"/>
              <w:jc w:val="center"/>
              <w:rPr>
                <w:i/>
                <w:sz w:val="16"/>
                <w:szCs w:val="16"/>
              </w:rPr>
            </w:pPr>
            <w:r w:rsidRPr="00B32C19">
              <w:rPr>
                <w:i/>
                <w:sz w:val="16"/>
                <w:szCs w:val="16"/>
              </w:rPr>
              <w:t xml:space="preserve">Agenda </w:t>
            </w:r>
            <w:r w:rsidR="00A4219D" w:rsidRPr="00B32C19">
              <w:rPr>
                <w:i/>
                <w:sz w:val="16"/>
                <w:szCs w:val="16"/>
              </w:rPr>
              <w:t>i</w:t>
            </w:r>
            <w:r w:rsidRPr="00B32C19">
              <w:rPr>
                <w:i/>
                <w:sz w:val="16"/>
                <w:szCs w:val="16"/>
              </w:rPr>
              <w:t>tem</w:t>
            </w:r>
          </w:p>
        </w:tc>
        <w:tc>
          <w:tcPr>
            <w:tcW w:w="709" w:type="dxa"/>
            <w:tcBorders>
              <w:top w:val="single" w:sz="4" w:space="0" w:color="auto"/>
              <w:bottom w:val="single" w:sz="12" w:space="0" w:color="auto"/>
            </w:tcBorders>
            <w:shd w:val="clear" w:color="auto" w:fill="auto"/>
          </w:tcPr>
          <w:p w:rsidR="000E7032" w:rsidRPr="00B32C19" w:rsidRDefault="000E7032" w:rsidP="00E86C77">
            <w:pPr>
              <w:spacing w:before="80" w:after="80"/>
              <w:jc w:val="center"/>
              <w:rPr>
                <w:i/>
                <w:sz w:val="16"/>
                <w:szCs w:val="16"/>
              </w:rPr>
            </w:pPr>
            <w:r w:rsidRPr="00B32C19">
              <w:rPr>
                <w:i/>
                <w:sz w:val="16"/>
                <w:szCs w:val="16"/>
              </w:rPr>
              <w:t>Language</w:t>
            </w:r>
          </w:p>
        </w:tc>
        <w:tc>
          <w:tcPr>
            <w:tcW w:w="3597" w:type="dxa"/>
            <w:tcBorders>
              <w:top w:val="single" w:sz="4" w:space="0" w:color="auto"/>
              <w:bottom w:val="single" w:sz="12" w:space="0" w:color="auto"/>
            </w:tcBorders>
            <w:shd w:val="clear" w:color="auto" w:fill="auto"/>
          </w:tcPr>
          <w:p w:rsidR="000E7032" w:rsidRPr="00B32C19" w:rsidRDefault="00D2428D" w:rsidP="003666E4">
            <w:pPr>
              <w:pStyle w:val="FootnoteText"/>
              <w:tabs>
                <w:tab w:val="clear" w:pos="1021"/>
              </w:tabs>
              <w:spacing w:before="80" w:after="80" w:line="240" w:lineRule="atLeast"/>
              <w:ind w:left="57" w:right="34" w:firstLine="0"/>
              <w:rPr>
                <w:i/>
                <w:sz w:val="16"/>
                <w:szCs w:val="16"/>
              </w:rPr>
            </w:pPr>
            <w:r w:rsidRPr="00B32C19">
              <w:rPr>
                <w:i/>
                <w:sz w:val="16"/>
                <w:szCs w:val="16"/>
              </w:rPr>
              <w:t>Title</w:t>
            </w:r>
          </w:p>
        </w:tc>
        <w:tc>
          <w:tcPr>
            <w:tcW w:w="705" w:type="dxa"/>
            <w:tcBorders>
              <w:top w:val="single" w:sz="4" w:space="0" w:color="auto"/>
              <w:bottom w:val="single" w:sz="12" w:space="0" w:color="auto"/>
            </w:tcBorders>
            <w:shd w:val="clear" w:color="auto" w:fill="auto"/>
          </w:tcPr>
          <w:p w:rsidR="000E7032" w:rsidRPr="00B32C19" w:rsidRDefault="000E7032" w:rsidP="00E86C77">
            <w:pPr>
              <w:spacing w:before="80" w:after="80"/>
              <w:rPr>
                <w:i/>
                <w:sz w:val="16"/>
                <w:szCs w:val="16"/>
              </w:rPr>
            </w:pPr>
            <w:r w:rsidRPr="00B32C19">
              <w:rPr>
                <w:i/>
                <w:sz w:val="16"/>
                <w:szCs w:val="16"/>
              </w:rPr>
              <w:t>Follow-up</w:t>
            </w:r>
          </w:p>
        </w:tc>
      </w:tr>
      <w:tr w:rsidR="007416CB" w:rsidRPr="00B32C19" w:rsidTr="0019240C">
        <w:tc>
          <w:tcPr>
            <w:tcW w:w="660" w:type="dxa"/>
            <w:tcBorders>
              <w:top w:val="single" w:sz="12" w:space="0" w:color="auto"/>
            </w:tcBorders>
            <w:shd w:val="clear" w:color="auto" w:fill="auto"/>
          </w:tcPr>
          <w:p w:rsidR="007416CB" w:rsidRPr="00B32C19" w:rsidRDefault="007416CB" w:rsidP="00E86C77">
            <w:pPr>
              <w:spacing w:before="40"/>
              <w:rPr>
                <w:sz w:val="18"/>
                <w:szCs w:val="18"/>
              </w:rPr>
            </w:pPr>
            <w:r w:rsidRPr="00B32C19">
              <w:rPr>
                <w:sz w:val="18"/>
                <w:szCs w:val="18"/>
              </w:rPr>
              <w:t>1</w:t>
            </w:r>
            <w:r w:rsidR="00BE1404" w:rsidRPr="00B32C19">
              <w:rPr>
                <w:sz w:val="18"/>
                <w:szCs w:val="18"/>
              </w:rPr>
              <w:t>-Rev.1</w:t>
            </w:r>
          </w:p>
        </w:tc>
        <w:tc>
          <w:tcPr>
            <w:tcW w:w="1062" w:type="dxa"/>
            <w:tcBorders>
              <w:top w:val="single" w:sz="12" w:space="0" w:color="auto"/>
            </w:tcBorders>
            <w:shd w:val="clear" w:color="auto" w:fill="auto"/>
          </w:tcPr>
          <w:p w:rsidR="008A3C28" w:rsidRPr="00B32C19" w:rsidRDefault="00BE1404" w:rsidP="009D4D38">
            <w:pPr>
              <w:spacing w:before="40"/>
              <w:ind w:left="57"/>
              <w:rPr>
                <w:sz w:val="18"/>
                <w:szCs w:val="18"/>
              </w:rPr>
            </w:pPr>
            <w:r w:rsidRPr="00B32C19">
              <w:rPr>
                <w:sz w:val="18"/>
                <w:szCs w:val="18"/>
              </w:rPr>
              <w:t>Russian Federation</w:t>
            </w:r>
          </w:p>
        </w:tc>
        <w:tc>
          <w:tcPr>
            <w:tcW w:w="738" w:type="dxa"/>
            <w:tcBorders>
              <w:top w:val="single" w:sz="12" w:space="0" w:color="auto"/>
            </w:tcBorders>
            <w:shd w:val="clear" w:color="auto" w:fill="auto"/>
          </w:tcPr>
          <w:p w:rsidR="007416CB" w:rsidRPr="00B32C19" w:rsidRDefault="00BE1404" w:rsidP="00BE1404">
            <w:pPr>
              <w:spacing w:before="40"/>
              <w:jc w:val="center"/>
              <w:rPr>
                <w:sz w:val="18"/>
                <w:szCs w:val="18"/>
              </w:rPr>
            </w:pPr>
            <w:r w:rsidRPr="00B32C19">
              <w:rPr>
                <w:sz w:val="18"/>
                <w:szCs w:val="18"/>
              </w:rPr>
              <w:t>4 (a)</w:t>
            </w:r>
          </w:p>
        </w:tc>
        <w:tc>
          <w:tcPr>
            <w:tcW w:w="709" w:type="dxa"/>
            <w:tcBorders>
              <w:top w:val="single" w:sz="12" w:space="0" w:color="auto"/>
            </w:tcBorders>
            <w:shd w:val="clear" w:color="auto" w:fill="auto"/>
          </w:tcPr>
          <w:p w:rsidR="007416CB" w:rsidRPr="00B32C19" w:rsidRDefault="007416CB" w:rsidP="00B92E9B">
            <w:pPr>
              <w:spacing w:before="40"/>
              <w:jc w:val="center"/>
              <w:rPr>
                <w:sz w:val="18"/>
                <w:szCs w:val="18"/>
              </w:rPr>
            </w:pPr>
            <w:r w:rsidRPr="00B32C19">
              <w:rPr>
                <w:sz w:val="18"/>
                <w:szCs w:val="18"/>
              </w:rPr>
              <w:t>E</w:t>
            </w:r>
          </w:p>
        </w:tc>
        <w:tc>
          <w:tcPr>
            <w:tcW w:w="3597" w:type="dxa"/>
            <w:tcBorders>
              <w:top w:val="single" w:sz="12" w:space="0" w:color="auto"/>
            </w:tcBorders>
            <w:shd w:val="clear" w:color="auto" w:fill="auto"/>
          </w:tcPr>
          <w:p w:rsidR="00CB675A" w:rsidRPr="00B32C19" w:rsidRDefault="00BE1404" w:rsidP="0019240C">
            <w:pPr>
              <w:spacing w:before="40"/>
              <w:ind w:left="57"/>
              <w:rPr>
                <w:sz w:val="18"/>
                <w:szCs w:val="18"/>
              </w:rPr>
            </w:pPr>
            <w:r w:rsidRPr="00B32C19">
              <w:rPr>
                <w:sz w:val="18"/>
                <w:szCs w:val="18"/>
              </w:rPr>
              <w:t xml:space="preserve">Proposal for additional amendments to UN Regulation No. 51 with </w:t>
            </w:r>
            <w:r w:rsidR="00901DBA" w:rsidRPr="00B32C19">
              <w:rPr>
                <w:sz w:val="18"/>
                <w:szCs w:val="18"/>
              </w:rPr>
              <w:t xml:space="preserve">the </w:t>
            </w:r>
            <w:r w:rsidRPr="00B32C19">
              <w:rPr>
                <w:sz w:val="18"/>
                <w:szCs w:val="18"/>
              </w:rPr>
              <w:t>introduction of indoor test methods (ECE/TRANS/WP.29/GRB/2018/3)</w:t>
            </w:r>
          </w:p>
        </w:tc>
        <w:tc>
          <w:tcPr>
            <w:tcW w:w="705" w:type="dxa"/>
            <w:tcBorders>
              <w:top w:val="single" w:sz="12" w:space="0" w:color="auto"/>
            </w:tcBorders>
            <w:shd w:val="clear" w:color="auto" w:fill="auto"/>
          </w:tcPr>
          <w:p w:rsidR="007416CB" w:rsidRPr="00B32C19" w:rsidRDefault="008663D6" w:rsidP="007017DE">
            <w:pPr>
              <w:spacing w:before="40"/>
              <w:jc w:val="center"/>
              <w:rPr>
                <w:sz w:val="18"/>
                <w:szCs w:val="18"/>
              </w:rPr>
            </w:pPr>
            <w:r w:rsidRPr="00B32C19">
              <w:rPr>
                <w:sz w:val="18"/>
                <w:szCs w:val="18"/>
              </w:rPr>
              <w:t>(</w:t>
            </w:r>
            <w:r w:rsidR="007017DE" w:rsidRPr="00B32C19">
              <w:rPr>
                <w:sz w:val="18"/>
                <w:szCs w:val="18"/>
              </w:rPr>
              <w:t>d</w:t>
            </w:r>
            <w:r w:rsidR="00B469AD" w:rsidRPr="00B32C19">
              <w:rPr>
                <w:sz w:val="18"/>
                <w:szCs w:val="18"/>
              </w:rPr>
              <w:t>)</w:t>
            </w:r>
          </w:p>
        </w:tc>
      </w:tr>
      <w:tr w:rsidR="001C3BF1" w:rsidRPr="00B32C19" w:rsidTr="003666E4">
        <w:tc>
          <w:tcPr>
            <w:tcW w:w="660" w:type="dxa"/>
            <w:shd w:val="clear" w:color="auto" w:fill="auto"/>
          </w:tcPr>
          <w:p w:rsidR="001C3BF1" w:rsidRPr="00B32C19" w:rsidRDefault="001C3BF1" w:rsidP="00E86C77">
            <w:pPr>
              <w:spacing w:before="40"/>
              <w:rPr>
                <w:sz w:val="18"/>
                <w:szCs w:val="18"/>
              </w:rPr>
            </w:pPr>
            <w:r w:rsidRPr="00B32C19">
              <w:rPr>
                <w:sz w:val="18"/>
                <w:szCs w:val="18"/>
              </w:rPr>
              <w:t>2</w:t>
            </w:r>
          </w:p>
        </w:tc>
        <w:tc>
          <w:tcPr>
            <w:tcW w:w="1062" w:type="dxa"/>
            <w:shd w:val="clear" w:color="auto" w:fill="auto"/>
          </w:tcPr>
          <w:p w:rsidR="001C3BF1" w:rsidRPr="00B32C19" w:rsidRDefault="00901DBA" w:rsidP="00901DBA">
            <w:pPr>
              <w:spacing w:before="40"/>
              <w:ind w:left="57"/>
              <w:rPr>
                <w:sz w:val="18"/>
                <w:szCs w:val="18"/>
              </w:rPr>
            </w:pPr>
            <w:r w:rsidRPr="00B32C19">
              <w:rPr>
                <w:sz w:val="18"/>
                <w:szCs w:val="18"/>
              </w:rPr>
              <w:t>Germany</w:t>
            </w:r>
            <w:r w:rsidR="0019240C" w:rsidRPr="00B32C19">
              <w:rPr>
                <w:sz w:val="18"/>
                <w:szCs w:val="18"/>
              </w:rPr>
              <w:t xml:space="preserve"> </w:t>
            </w:r>
          </w:p>
        </w:tc>
        <w:tc>
          <w:tcPr>
            <w:tcW w:w="738" w:type="dxa"/>
            <w:shd w:val="clear" w:color="auto" w:fill="auto"/>
          </w:tcPr>
          <w:p w:rsidR="001C3BF1" w:rsidRPr="00B32C19" w:rsidRDefault="00901DBA" w:rsidP="00901DBA">
            <w:pPr>
              <w:spacing w:before="40"/>
              <w:jc w:val="center"/>
              <w:rPr>
                <w:sz w:val="18"/>
                <w:szCs w:val="18"/>
              </w:rPr>
            </w:pPr>
            <w:r w:rsidRPr="00B32C19">
              <w:rPr>
                <w:sz w:val="18"/>
                <w:szCs w:val="18"/>
              </w:rPr>
              <w:t>17</w:t>
            </w:r>
          </w:p>
        </w:tc>
        <w:tc>
          <w:tcPr>
            <w:tcW w:w="709" w:type="dxa"/>
            <w:shd w:val="clear" w:color="auto" w:fill="auto"/>
          </w:tcPr>
          <w:p w:rsidR="001C3BF1" w:rsidRPr="00B32C19" w:rsidRDefault="001C3BF1" w:rsidP="000C4F08">
            <w:pPr>
              <w:spacing w:before="40"/>
              <w:jc w:val="center"/>
              <w:rPr>
                <w:sz w:val="18"/>
                <w:szCs w:val="18"/>
              </w:rPr>
            </w:pPr>
            <w:r w:rsidRPr="00B32C19">
              <w:rPr>
                <w:sz w:val="18"/>
                <w:szCs w:val="18"/>
              </w:rPr>
              <w:t>E</w:t>
            </w:r>
          </w:p>
        </w:tc>
        <w:tc>
          <w:tcPr>
            <w:tcW w:w="3597" w:type="dxa"/>
            <w:shd w:val="clear" w:color="auto" w:fill="auto"/>
          </w:tcPr>
          <w:p w:rsidR="001C3BF1" w:rsidRPr="00B32C19" w:rsidRDefault="00901DBA" w:rsidP="0019240C">
            <w:pPr>
              <w:spacing w:before="40"/>
              <w:ind w:left="57"/>
              <w:rPr>
                <w:sz w:val="18"/>
                <w:szCs w:val="18"/>
              </w:rPr>
            </w:pPr>
            <w:r w:rsidRPr="00B32C19">
              <w:rPr>
                <w:sz w:val="18"/>
                <w:szCs w:val="18"/>
              </w:rPr>
              <w:t>Proposal for a Supplement 3 to the 01 series of UN Regulation No. 92 (Replacement exhaust silencing systems)</w:t>
            </w:r>
          </w:p>
        </w:tc>
        <w:tc>
          <w:tcPr>
            <w:tcW w:w="705" w:type="dxa"/>
            <w:shd w:val="clear" w:color="auto" w:fill="auto"/>
          </w:tcPr>
          <w:p w:rsidR="001C3BF1" w:rsidRPr="00B32C19" w:rsidRDefault="001C3BF1" w:rsidP="007017DE">
            <w:pPr>
              <w:spacing w:before="40"/>
              <w:jc w:val="center"/>
              <w:rPr>
                <w:sz w:val="18"/>
                <w:szCs w:val="18"/>
              </w:rPr>
            </w:pPr>
            <w:r w:rsidRPr="00B32C19">
              <w:rPr>
                <w:sz w:val="18"/>
                <w:szCs w:val="18"/>
              </w:rPr>
              <w:t>(</w:t>
            </w:r>
            <w:r w:rsidR="007017DE" w:rsidRPr="00B32C19">
              <w:rPr>
                <w:sz w:val="18"/>
                <w:szCs w:val="18"/>
              </w:rPr>
              <w:t>b</w:t>
            </w:r>
            <w:r w:rsidRPr="00B32C19">
              <w:rPr>
                <w:sz w:val="18"/>
                <w:szCs w:val="18"/>
              </w:rPr>
              <w:t>)</w:t>
            </w:r>
          </w:p>
        </w:tc>
      </w:tr>
      <w:tr w:rsidR="001C3BF1" w:rsidRPr="00B32C19" w:rsidTr="003666E4">
        <w:tc>
          <w:tcPr>
            <w:tcW w:w="660" w:type="dxa"/>
            <w:shd w:val="clear" w:color="auto" w:fill="auto"/>
          </w:tcPr>
          <w:p w:rsidR="001C3BF1" w:rsidRPr="00B32C19" w:rsidRDefault="001C3BF1" w:rsidP="0019240C">
            <w:pPr>
              <w:spacing w:before="40"/>
              <w:rPr>
                <w:sz w:val="18"/>
                <w:szCs w:val="18"/>
              </w:rPr>
            </w:pPr>
            <w:r w:rsidRPr="00B32C19">
              <w:rPr>
                <w:sz w:val="18"/>
                <w:szCs w:val="18"/>
              </w:rPr>
              <w:t>3</w:t>
            </w:r>
          </w:p>
        </w:tc>
        <w:tc>
          <w:tcPr>
            <w:tcW w:w="1062" w:type="dxa"/>
            <w:shd w:val="clear" w:color="auto" w:fill="auto"/>
          </w:tcPr>
          <w:p w:rsidR="001C3BF1" w:rsidRPr="00B32C19" w:rsidRDefault="007017DE" w:rsidP="007017DE">
            <w:pPr>
              <w:spacing w:before="40"/>
              <w:ind w:left="57"/>
              <w:rPr>
                <w:sz w:val="18"/>
                <w:szCs w:val="18"/>
              </w:rPr>
            </w:pPr>
            <w:r w:rsidRPr="00B32C19">
              <w:rPr>
                <w:sz w:val="18"/>
                <w:szCs w:val="18"/>
              </w:rPr>
              <w:t>Germany</w:t>
            </w:r>
            <w:r w:rsidR="0019240C" w:rsidRPr="00B32C19">
              <w:rPr>
                <w:sz w:val="18"/>
                <w:szCs w:val="18"/>
              </w:rPr>
              <w:t xml:space="preserve"> </w:t>
            </w:r>
          </w:p>
        </w:tc>
        <w:tc>
          <w:tcPr>
            <w:tcW w:w="738" w:type="dxa"/>
            <w:shd w:val="clear" w:color="auto" w:fill="auto"/>
          </w:tcPr>
          <w:p w:rsidR="001C3BF1" w:rsidRPr="00B32C19" w:rsidRDefault="00901DBA" w:rsidP="00901DBA">
            <w:pPr>
              <w:spacing w:before="40"/>
              <w:jc w:val="center"/>
              <w:rPr>
                <w:sz w:val="18"/>
                <w:szCs w:val="18"/>
              </w:rPr>
            </w:pPr>
            <w:r w:rsidRPr="00B32C19">
              <w:rPr>
                <w:sz w:val="18"/>
                <w:szCs w:val="18"/>
              </w:rPr>
              <w:t>17</w:t>
            </w:r>
          </w:p>
        </w:tc>
        <w:tc>
          <w:tcPr>
            <w:tcW w:w="709" w:type="dxa"/>
            <w:shd w:val="clear" w:color="auto" w:fill="auto"/>
          </w:tcPr>
          <w:p w:rsidR="001C3BF1" w:rsidRPr="00B32C19" w:rsidRDefault="001C3BF1" w:rsidP="00B92E9B">
            <w:pPr>
              <w:spacing w:before="40"/>
              <w:jc w:val="center"/>
              <w:rPr>
                <w:sz w:val="18"/>
                <w:szCs w:val="18"/>
              </w:rPr>
            </w:pPr>
            <w:r w:rsidRPr="00B32C19">
              <w:rPr>
                <w:sz w:val="18"/>
                <w:szCs w:val="18"/>
              </w:rPr>
              <w:t>E</w:t>
            </w:r>
          </w:p>
        </w:tc>
        <w:tc>
          <w:tcPr>
            <w:tcW w:w="3597" w:type="dxa"/>
            <w:shd w:val="clear" w:color="auto" w:fill="auto"/>
          </w:tcPr>
          <w:p w:rsidR="001C3BF1" w:rsidRPr="00B32C19" w:rsidRDefault="00901DBA" w:rsidP="0019240C">
            <w:pPr>
              <w:spacing w:before="40"/>
              <w:ind w:left="57"/>
              <w:rPr>
                <w:sz w:val="18"/>
                <w:szCs w:val="18"/>
              </w:rPr>
            </w:pPr>
            <w:r w:rsidRPr="00B32C19">
              <w:rPr>
                <w:sz w:val="18"/>
                <w:szCs w:val="18"/>
              </w:rPr>
              <w:t xml:space="preserve">Problems with noise emissions of L-category vehicles  </w:t>
            </w:r>
          </w:p>
        </w:tc>
        <w:tc>
          <w:tcPr>
            <w:tcW w:w="705" w:type="dxa"/>
            <w:shd w:val="clear" w:color="auto" w:fill="auto"/>
          </w:tcPr>
          <w:p w:rsidR="001C3BF1" w:rsidRPr="00B32C19" w:rsidRDefault="00473AE3" w:rsidP="0014586F">
            <w:pPr>
              <w:spacing w:before="40"/>
              <w:jc w:val="center"/>
              <w:rPr>
                <w:sz w:val="18"/>
                <w:szCs w:val="18"/>
              </w:rPr>
            </w:pPr>
            <w:r w:rsidRPr="00B32C19">
              <w:rPr>
                <w:sz w:val="18"/>
                <w:szCs w:val="18"/>
              </w:rPr>
              <w:t>(</w:t>
            </w:r>
            <w:r w:rsidR="00657C63" w:rsidRPr="00B32C19">
              <w:rPr>
                <w:sz w:val="18"/>
                <w:szCs w:val="18"/>
              </w:rPr>
              <w:t>c</w:t>
            </w:r>
            <w:r w:rsidRPr="00B32C19">
              <w:rPr>
                <w:sz w:val="18"/>
                <w:szCs w:val="18"/>
              </w:rPr>
              <w:t>)</w:t>
            </w:r>
          </w:p>
        </w:tc>
      </w:tr>
      <w:tr w:rsidR="00BE1404" w:rsidRPr="00B32C19" w:rsidTr="00A95628">
        <w:tc>
          <w:tcPr>
            <w:tcW w:w="660" w:type="dxa"/>
            <w:shd w:val="clear" w:color="auto" w:fill="auto"/>
          </w:tcPr>
          <w:p w:rsidR="00BE1404" w:rsidRPr="00B32C19" w:rsidRDefault="00BE1404" w:rsidP="00BE1404">
            <w:pPr>
              <w:spacing w:before="40"/>
              <w:rPr>
                <w:sz w:val="18"/>
                <w:szCs w:val="18"/>
              </w:rPr>
            </w:pPr>
            <w:r w:rsidRPr="00B32C19">
              <w:rPr>
                <w:sz w:val="18"/>
                <w:szCs w:val="18"/>
              </w:rPr>
              <w:t>4</w:t>
            </w:r>
          </w:p>
        </w:tc>
        <w:tc>
          <w:tcPr>
            <w:tcW w:w="1062" w:type="dxa"/>
            <w:shd w:val="clear" w:color="auto" w:fill="auto"/>
          </w:tcPr>
          <w:p w:rsidR="00BE1404" w:rsidRPr="00B32C19" w:rsidRDefault="00901DBA" w:rsidP="00A95628">
            <w:pPr>
              <w:spacing w:before="40"/>
              <w:ind w:left="57"/>
              <w:rPr>
                <w:sz w:val="18"/>
                <w:szCs w:val="18"/>
              </w:rPr>
            </w:pPr>
            <w:r w:rsidRPr="00B32C19">
              <w:rPr>
                <w:sz w:val="18"/>
                <w:szCs w:val="18"/>
              </w:rPr>
              <w:t>European Commission</w:t>
            </w:r>
          </w:p>
        </w:tc>
        <w:tc>
          <w:tcPr>
            <w:tcW w:w="738" w:type="dxa"/>
            <w:shd w:val="clear" w:color="auto" w:fill="auto"/>
          </w:tcPr>
          <w:p w:rsidR="00BE1404" w:rsidRPr="00B32C19" w:rsidRDefault="00901DBA" w:rsidP="00A95628">
            <w:pPr>
              <w:spacing w:before="40"/>
              <w:jc w:val="center"/>
              <w:rPr>
                <w:sz w:val="18"/>
                <w:szCs w:val="18"/>
              </w:rPr>
            </w:pPr>
            <w:r w:rsidRPr="00B32C19">
              <w:rPr>
                <w:sz w:val="18"/>
                <w:szCs w:val="18"/>
              </w:rPr>
              <w:t>17</w:t>
            </w:r>
          </w:p>
        </w:tc>
        <w:tc>
          <w:tcPr>
            <w:tcW w:w="709" w:type="dxa"/>
            <w:shd w:val="clear" w:color="auto" w:fill="auto"/>
          </w:tcPr>
          <w:p w:rsidR="00BE1404" w:rsidRPr="00B32C19" w:rsidRDefault="00901DBA" w:rsidP="00A95628">
            <w:pPr>
              <w:spacing w:before="40"/>
              <w:jc w:val="center"/>
              <w:rPr>
                <w:sz w:val="18"/>
                <w:szCs w:val="18"/>
              </w:rPr>
            </w:pPr>
            <w:r w:rsidRPr="00B32C19">
              <w:rPr>
                <w:sz w:val="18"/>
                <w:szCs w:val="18"/>
              </w:rPr>
              <w:t>E</w:t>
            </w:r>
          </w:p>
        </w:tc>
        <w:tc>
          <w:tcPr>
            <w:tcW w:w="3597" w:type="dxa"/>
            <w:shd w:val="clear" w:color="auto" w:fill="auto"/>
          </w:tcPr>
          <w:p w:rsidR="00BE1404" w:rsidRPr="00B32C19" w:rsidRDefault="00901DBA" w:rsidP="00C4765E">
            <w:pPr>
              <w:spacing w:before="40"/>
              <w:ind w:left="57"/>
              <w:rPr>
                <w:sz w:val="18"/>
                <w:szCs w:val="18"/>
              </w:rPr>
            </w:pPr>
            <w:r w:rsidRPr="00B32C19">
              <w:rPr>
                <w:sz w:val="18"/>
                <w:szCs w:val="18"/>
              </w:rPr>
              <w:t xml:space="preserve">Proposal for amendments to UN Regulation No 9 to introduce ASEP requirements for L4 and L5 category vehicles with </w:t>
            </w:r>
            <w:r w:rsidR="00C4765E" w:rsidRPr="00B32C19">
              <w:rPr>
                <w:sz w:val="18"/>
                <w:szCs w:val="18"/>
              </w:rPr>
              <w:t>the power-to-mass ratio (</w:t>
            </w:r>
            <w:r w:rsidRPr="00B32C19">
              <w:rPr>
                <w:sz w:val="18"/>
                <w:szCs w:val="18"/>
              </w:rPr>
              <w:t>PMR</w:t>
            </w:r>
            <w:r w:rsidR="00C4765E" w:rsidRPr="00B32C19">
              <w:rPr>
                <w:sz w:val="18"/>
                <w:szCs w:val="18"/>
              </w:rPr>
              <w:t xml:space="preserve">) </w:t>
            </w:r>
            <w:r w:rsidRPr="00B32C19">
              <w:rPr>
                <w:sz w:val="18"/>
                <w:szCs w:val="18"/>
              </w:rPr>
              <w:t xml:space="preserve"> &gt; 50 W/kg</w:t>
            </w:r>
          </w:p>
        </w:tc>
        <w:tc>
          <w:tcPr>
            <w:tcW w:w="705" w:type="dxa"/>
            <w:shd w:val="clear" w:color="auto" w:fill="auto"/>
          </w:tcPr>
          <w:p w:rsidR="00BE1404" w:rsidRPr="00B32C19" w:rsidRDefault="007017DE" w:rsidP="0014586F">
            <w:pPr>
              <w:spacing w:before="40"/>
              <w:jc w:val="center"/>
              <w:rPr>
                <w:sz w:val="18"/>
                <w:szCs w:val="18"/>
              </w:rPr>
            </w:pPr>
            <w:r w:rsidRPr="00B32C19">
              <w:rPr>
                <w:sz w:val="18"/>
                <w:szCs w:val="18"/>
              </w:rPr>
              <w:t>(b)</w:t>
            </w:r>
          </w:p>
        </w:tc>
      </w:tr>
      <w:tr w:rsidR="0019240C" w:rsidRPr="00B32C19" w:rsidTr="00A95628">
        <w:tc>
          <w:tcPr>
            <w:tcW w:w="660" w:type="dxa"/>
            <w:shd w:val="clear" w:color="auto" w:fill="auto"/>
          </w:tcPr>
          <w:p w:rsidR="0019240C" w:rsidRPr="00B32C19" w:rsidRDefault="00BE1404" w:rsidP="00BE1404">
            <w:pPr>
              <w:spacing w:before="40"/>
              <w:rPr>
                <w:sz w:val="18"/>
                <w:szCs w:val="18"/>
              </w:rPr>
            </w:pPr>
            <w:r w:rsidRPr="00B32C19">
              <w:rPr>
                <w:sz w:val="18"/>
                <w:szCs w:val="18"/>
              </w:rPr>
              <w:t>5</w:t>
            </w:r>
          </w:p>
        </w:tc>
        <w:tc>
          <w:tcPr>
            <w:tcW w:w="1062" w:type="dxa"/>
            <w:shd w:val="clear" w:color="auto" w:fill="auto"/>
          </w:tcPr>
          <w:p w:rsidR="0019240C" w:rsidRPr="00B32C19" w:rsidRDefault="0019240C" w:rsidP="00A95628">
            <w:pPr>
              <w:spacing w:before="40"/>
              <w:ind w:left="57"/>
              <w:rPr>
                <w:sz w:val="18"/>
                <w:szCs w:val="18"/>
              </w:rPr>
            </w:pPr>
            <w:r w:rsidRPr="00B32C19">
              <w:rPr>
                <w:sz w:val="18"/>
                <w:szCs w:val="18"/>
              </w:rPr>
              <w:t>Secretariat</w:t>
            </w:r>
          </w:p>
        </w:tc>
        <w:tc>
          <w:tcPr>
            <w:tcW w:w="738" w:type="dxa"/>
            <w:shd w:val="clear" w:color="auto" w:fill="auto"/>
          </w:tcPr>
          <w:p w:rsidR="0019240C" w:rsidRPr="00B32C19" w:rsidRDefault="0019240C" w:rsidP="00A95628">
            <w:pPr>
              <w:spacing w:before="40"/>
              <w:jc w:val="center"/>
              <w:rPr>
                <w:sz w:val="18"/>
                <w:szCs w:val="18"/>
              </w:rPr>
            </w:pPr>
            <w:r w:rsidRPr="00B32C19">
              <w:rPr>
                <w:sz w:val="18"/>
                <w:szCs w:val="18"/>
              </w:rPr>
              <w:t>1, 15</w:t>
            </w:r>
          </w:p>
        </w:tc>
        <w:tc>
          <w:tcPr>
            <w:tcW w:w="709" w:type="dxa"/>
            <w:shd w:val="clear" w:color="auto" w:fill="auto"/>
          </w:tcPr>
          <w:p w:rsidR="0019240C" w:rsidRPr="00B32C19" w:rsidRDefault="0019240C" w:rsidP="00A95628">
            <w:pPr>
              <w:spacing w:before="40"/>
              <w:jc w:val="center"/>
              <w:rPr>
                <w:sz w:val="18"/>
                <w:szCs w:val="18"/>
              </w:rPr>
            </w:pPr>
            <w:r w:rsidRPr="00B32C19">
              <w:rPr>
                <w:sz w:val="18"/>
                <w:szCs w:val="18"/>
              </w:rPr>
              <w:t>E</w:t>
            </w:r>
          </w:p>
        </w:tc>
        <w:tc>
          <w:tcPr>
            <w:tcW w:w="3597" w:type="dxa"/>
            <w:shd w:val="clear" w:color="auto" w:fill="auto"/>
          </w:tcPr>
          <w:p w:rsidR="0019240C" w:rsidRPr="00B32C19" w:rsidRDefault="0019240C" w:rsidP="00A95628">
            <w:pPr>
              <w:spacing w:before="40"/>
              <w:ind w:left="57"/>
              <w:rPr>
                <w:sz w:val="18"/>
                <w:szCs w:val="18"/>
              </w:rPr>
            </w:pPr>
            <w:r w:rsidRPr="00B32C19">
              <w:rPr>
                <w:sz w:val="18"/>
                <w:szCs w:val="18"/>
              </w:rPr>
              <w:t>General information and WP.29 highlights</w:t>
            </w:r>
          </w:p>
        </w:tc>
        <w:tc>
          <w:tcPr>
            <w:tcW w:w="705" w:type="dxa"/>
            <w:shd w:val="clear" w:color="auto" w:fill="auto"/>
          </w:tcPr>
          <w:p w:rsidR="0019240C" w:rsidRPr="00B32C19" w:rsidRDefault="0019240C" w:rsidP="0014586F">
            <w:pPr>
              <w:spacing w:before="40"/>
              <w:jc w:val="center"/>
              <w:rPr>
                <w:sz w:val="18"/>
                <w:szCs w:val="18"/>
              </w:rPr>
            </w:pPr>
            <w:r w:rsidRPr="00B32C19">
              <w:rPr>
                <w:sz w:val="18"/>
                <w:szCs w:val="18"/>
              </w:rPr>
              <w:t>(</w:t>
            </w:r>
            <w:r w:rsidR="00657C63" w:rsidRPr="00B32C19">
              <w:rPr>
                <w:sz w:val="18"/>
                <w:szCs w:val="18"/>
              </w:rPr>
              <w:t>a</w:t>
            </w:r>
            <w:r w:rsidRPr="00B32C19">
              <w:rPr>
                <w:sz w:val="18"/>
                <w:szCs w:val="18"/>
              </w:rPr>
              <w:t>)</w:t>
            </w:r>
          </w:p>
        </w:tc>
      </w:tr>
      <w:tr w:rsidR="005166F6" w:rsidRPr="00B32C19" w:rsidTr="00DA7500">
        <w:tc>
          <w:tcPr>
            <w:tcW w:w="660" w:type="dxa"/>
            <w:shd w:val="clear" w:color="auto" w:fill="auto"/>
          </w:tcPr>
          <w:p w:rsidR="005166F6" w:rsidRPr="00B32C19" w:rsidRDefault="005166F6" w:rsidP="00DA7500">
            <w:pPr>
              <w:spacing w:before="40"/>
              <w:rPr>
                <w:sz w:val="18"/>
                <w:szCs w:val="18"/>
              </w:rPr>
            </w:pPr>
            <w:r w:rsidRPr="00B32C19">
              <w:rPr>
                <w:sz w:val="18"/>
                <w:szCs w:val="18"/>
              </w:rPr>
              <w:t>6</w:t>
            </w:r>
          </w:p>
        </w:tc>
        <w:tc>
          <w:tcPr>
            <w:tcW w:w="1062" w:type="dxa"/>
            <w:shd w:val="clear" w:color="auto" w:fill="auto"/>
          </w:tcPr>
          <w:p w:rsidR="005166F6" w:rsidRPr="00B32C19" w:rsidRDefault="00901DBA" w:rsidP="00901DBA">
            <w:pPr>
              <w:spacing w:before="40"/>
              <w:ind w:left="57"/>
              <w:rPr>
                <w:sz w:val="18"/>
                <w:szCs w:val="18"/>
              </w:rPr>
            </w:pPr>
            <w:r w:rsidRPr="00B32C19">
              <w:rPr>
                <w:sz w:val="18"/>
                <w:szCs w:val="18"/>
              </w:rPr>
              <w:t>OICA</w:t>
            </w:r>
          </w:p>
        </w:tc>
        <w:tc>
          <w:tcPr>
            <w:tcW w:w="738" w:type="dxa"/>
            <w:shd w:val="clear" w:color="auto" w:fill="auto"/>
          </w:tcPr>
          <w:p w:rsidR="005166F6" w:rsidRPr="00B32C19" w:rsidRDefault="001E3175" w:rsidP="00901DBA">
            <w:pPr>
              <w:spacing w:before="40"/>
              <w:jc w:val="center"/>
              <w:rPr>
                <w:sz w:val="18"/>
                <w:szCs w:val="18"/>
              </w:rPr>
            </w:pPr>
            <w:r w:rsidRPr="00B32C19">
              <w:rPr>
                <w:sz w:val="18"/>
                <w:szCs w:val="18"/>
              </w:rPr>
              <w:t>4 (</w:t>
            </w:r>
            <w:r w:rsidR="00901DBA" w:rsidRPr="00B32C19">
              <w:rPr>
                <w:sz w:val="18"/>
                <w:szCs w:val="18"/>
              </w:rPr>
              <w:t>a</w:t>
            </w:r>
            <w:r w:rsidRPr="00B32C19">
              <w:rPr>
                <w:sz w:val="18"/>
                <w:szCs w:val="18"/>
              </w:rPr>
              <w:t>)</w:t>
            </w:r>
          </w:p>
        </w:tc>
        <w:tc>
          <w:tcPr>
            <w:tcW w:w="709" w:type="dxa"/>
            <w:shd w:val="clear" w:color="auto" w:fill="auto"/>
          </w:tcPr>
          <w:p w:rsidR="005166F6" w:rsidRPr="00B32C19" w:rsidRDefault="001E3175" w:rsidP="00DA7500">
            <w:pPr>
              <w:spacing w:before="40"/>
              <w:jc w:val="center"/>
              <w:rPr>
                <w:sz w:val="18"/>
                <w:szCs w:val="18"/>
              </w:rPr>
            </w:pPr>
            <w:r w:rsidRPr="00B32C19">
              <w:rPr>
                <w:sz w:val="18"/>
                <w:szCs w:val="18"/>
              </w:rPr>
              <w:t>E</w:t>
            </w:r>
          </w:p>
        </w:tc>
        <w:tc>
          <w:tcPr>
            <w:tcW w:w="3597" w:type="dxa"/>
            <w:shd w:val="clear" w:color="auto" w:fill="auto"/>
          </w:tcPr>
          <w:p w:rsidR="005166F6" w:rsidRPr="00B32C19" w:rsidRDefault="00901DBA" w:rsidP="00901DBA">
            <w:pPr>
              <w:spacing w:before="40"/>
              <w:ind w:left="57"/>
              <w:rPr>
                <w:sz w:val="18"/>
                <w:szCs w:val="18"/>
              </w:rPr>
            </w:pPr>
            <w:r w:rsidRPr="00B32C19">
              <w:rPr>
                <w:sz w:val="18"/>
                <w:szCs w:val="18"/>
              </w:rPr>
              <w:t xml:space="preserve">Proposal for a corrigendum to ECE/TRANS/WP.29/2018/7  </w:t>
            </w:r>
          </w:p>
        </w:tc>
        <w:tc>
          <w:tcPr>
            <w:tcW w:w="705" w:type="dxa"/>
            <w:shd w:val="clear" w:color="auto" w:fill="auto"/>
          </w:tcPr>
          <w:p w:rsidR="005166F6" w:rsidRPr="00B32C19" w:rsidRDefault="005166F6" w:rsidP="0014586F">
            <w:pPr>
              <w:spacing w:before="40"/>
              <w:jc w:val="center"/>
              <w:rPr>
                <w:sz w:val="18"/>
                <w:szCs w:val="18"/>
              </w:rPr>
            </w:pPr>
            <w:r w:rsidRPr="00B32C19">
              <w:rPr>
                <w:sz w:val="18"/>
                <w:szCs w:val="18"/>
              </w:rPr>
              <w:t>(</w:t>
            </w:r>
            <w:r w:rsidR="00657C63" w:rsidRPr="00B32C19">
              <w:rPr>
                <w:sz w:val="18"/>
                <w:szCs w:val="18"/>
              </w:rPr>
              <w:t>d</w:t>
            </w:r>
            <w:r w:rsidRPr="00B32C19">
              <w:rPr>
                <w:sz w:val="18"/>
                <w:szCs w:val="18"/>
              </w:rPr>
              <w:t>)</w:t>
            </w:r>
          </w:p>
        </w:tc>
      </w:tr>
      <w:tr w:rsidR="00B47027" w:rsidRPr="00B32C19" w:rsidTr="003666E4">
        <w:tc>
          <w:tcPr>
            <w:tcW w:w="660" w:type="dxa"/>
            <w:shd w:val="clear" w:color="auto" w:fill="auto"/>
          </w:tcPr>
          <w:p w:rsidR="00B47027" w:rsidRPr="00B32C19" w:rsidRDefault="003C54D2" w:rsidP="001E3175">
            <w:pPr>
              <w:spacing w:before="40"/>
              <w:rPr>
                <w:sz w:val="18"/>
                <w:szCs w:val="18"/>
              </w:rPr>
            </w:pPr>
            <w:r w:rsidRPr="00B32C19">
              <w:rPr>
                <w:sz w:val="18"/>
                <w:szCs w:val="18"/>
              </w:rPr>
              <w:t>7</w:t>
            </w:r>
          </w:p>
        </w:tc>
        <w:tc>
          <w:tcPr>
            <w:tcW w:w="1062" w:type="dxa"/>
            <w:shd w:val="clear" w:color="auto" w:fill="auto"/>
          </w:tcPr>
          <w:p w:rsidR="00B47027" w:rsidRPr="00B32C19" w:rsidRDefault="00901DBA" w:rsidP="00901DBA">
            <w:pPr>
              <w:spacing w:before="40"/>
              <w:ind w:left="57"/>
              <w:rPr>
                <w:sz w:val="18"/>
                <w:szCs w:val="18"/>
              </w:rPr>
            </w:pPr>
            <w:r w:rsidRPr="00B32C19">
              <w:rPr>
                <w:sz w:val="18"/>
                <w:szCs w:val="18"/>
              </w:rPr>
              <w:t>China</w:t>
            </w:r>
          </w:p>
        </w:tc>
        <w:tc>
          <w:tcPr>
            <w:tcW w:w="738" w:type="dxa"/>
            <w:shd w:val="clear" w:color="auto" w:fill="auto"/>
          </w:tcPr>
          <w:p w:rsidR="00B47027" w:rsidRPr="00B32C19" w:rsidRDefault="00901DBA" w:rsidP="00901DBA">
            <w:pPr>
              <w:spacing w:before="40"/>
              <w:jc w:val="center"/>
              <w:rPr>
                <w:sz w:val="18"/>
                <w:szCs w:val="18"/>
              </w:rPr>
            </w:pPr>
            <w:r w:rsidRPr="00B32C19">
              <w:rPr>
                <w:sz w:val="18"/>
                <w:szCs w:val="18"/>
              </w:rPr>
              <w:t>4 (a)</w:t>
            </w:r>
          </w:p>
        </w:tc>
        <w:tc>
          <w:tcPr>
            <w:tcW w:w="709" w:type="dxa"/>
            <w:shd w:val="clear" w:color="auto" w:fill="auto"/>
          </w:tcPr>
          <w:p w:rsidR="00B47027" w:rsidRPr="00B32C19" w:rsidRDefault="003C54D2" w:rsidP="00B92E9B">
            <w:pPr>
              <w:spacing w:before="40"/>
              <w:jc w:val="center"/>
              <w:rPr>
                <w:sz w:val="18"/>
                <w:szCs w:val="18"/>
              </w:rPr>
            </w:pPr>
            <w:r w:rsidRPr="00B32C19">
              <w:rPr>
                <w:sz w:val="18"/>
                <w:szCs w:val="18"/>
              </w:rPr>
              <w:t>E</w:t>
            </w:r>
          </w:p>
        </w:tc>
        <w:tc>
          <w:tcPr>
            <w:tcW w:w="3597" w:type="dxa"/>
            <w:shd w:val="clear" w:color="auto" w:fill="auto"/>
          </w:tcPr>
          <w:p w:rsidR="00B47027" w:rsidRPr="00B32C19" w:rsidRDefault="00901DBA" w:rsidP="00901DBA">
            <w:pPr>
              <w:spacing w:before="40"/>
              <w:ind w:left="57"/>
              <w:rPr>
                <w:sz w:val="18"/>
                <w:szCs w:val="18"/>
              </w:rPr>
            </w:pPr>
            <w:r w:rsidRPr="00B32C19">
              <w:rPr>
                <w:sz w:val="18"/>
                <w:szCs w:val="18"/>
              </w:rPr>
              <w:t>Suggestions for development of UN Regulation No. 51</w:t>
            </w:r>
          </w:p>
        </w:tc>
        <w:tc>
          <w:tcPr>
            <w:tcW w:w="705" w:type="dxa"/>
            <w:shd w:val="clear" w:color="auto" w:fill="auto"/>
          </w:tcPr>
          <w:p w:rsidR="00B47027" w:rsidRPr="00B32C19" w:rsidRDefault="00B47027" w:rsidP="0014586F">
            <w:pPr>
              <w:spacing w:before="40"/>
              <w:jc w:val="center"/>
              <w:rPr>
                <w:sz w:val="18"/>
                <w:szCs w:val="18"/>
              </w:rPr>
            </w:pPr>
            <w:r w:rsidRPr="00B32C19">
              <w:rPr>
                <w:sz w:val="18"/>
                <w:szCs w:val="18"/>
              </w:rPr>
              <w:t>(</w:t>
            </w:r>
            <w:r w:rsidR="00657C63" w:rsidRPr="00B32C19">
              <w:rPr>
                <w:sz w:val="18"/>
                <w:szCs w:val="18"/>
              </w:rPr>
              <w:t>a</w:t>
            </w:r>
            <w:r w:rsidRPr="00B32C19">
              <w:rPr>
                <w:sz w:val="18"/>
                <w:szCs w:val="18"/>
              </w:rPr>
              <w:t>)</w:t>
            </w:r>
          </w:p>
        </w:tc>
      </w:tr>
      <w:tr w:rsidR="003C54D2" w:rsidRPr="00B32C19" w:rsidTr="003666E4">
        <w:tc>
          <w:tcPr>
            <w:tcW w:w="660" w:type="dxa"/>
            <w:shd w:val="clear" w:color="auto" w:fill="auto"/>
          </w:tcPr>
          <w:p w:rsidR="003C54D2" w:rsidRPr="00B32C19" w:rsidRDefault="001E3175" w:rsidP="001E3175">
            <w:pPr>
              <w:spacing w:before="40"/>
              <w:rPr>
                <w:sz w:val="18"/>
                <w:szCs w:val="18"/>
              </w:rPr>
            </w:pPr>
            <w:r w:rsidRPr="00B32C19">
              <w:rPr>
                <w:sz w:val="18"/>
                <w:szCs w:val="18"/>
              </w:rPr>
              <w:t>8</w:t>
            </w:r>
          </w:p>
        </w:tc>
        <w:tc>
          <w:tcPr>
            <w:tcW w:w="1062" w:type="dxa"/>
            <w:shd w:val="clear" w:color="auto" w:fill="auto"/>
          </w:tcPr>
          <w:p w:rsidR="003C54D2" w:rsidRPr="00B32C19" w:rsidRDefault="00C4765E" w:rsidP="00C4765E">
            <w:pPr>
              <w:spacing w:before="40"/>
              <w:ind w:left="57"/>
              <w:rPr>
                <w:sz w:val="18"/>
                <w:szCs w:val="18"/>
              </w:rPr>
            </w:pPr>
            <w:r w:rsidRPr="00B32C19">
              <w:rPr>
                <w:sz w:val="18"/>
                <w:szCs w:val="18"/>
              </w:rPr>
              <w:t>ETRTO</w:t>
            </w:r>
          </w:p>
        </w:tc>
        <w:tc>
          <w:tcPr>
            <w:tcW w:w="738" w:type="dxa"/>
            <w:shd w:val="clear" w:color="auto" w:fill="auto"/>
          </w:tcPr>
          <w:p w:rsidR="003C54D2" w:rsidRPr="00B32C19" w:rsidRDefault="00C4765E" w:rsidP="000C4F08">
            <w:pPr>
              <w:spacing w:before="40"/>
              <w:jc w:val="center"/>
              <w:rPr>
                <w:sz w:val="18"/>
                <w:szCs w:val="18"/>
              </w:rPr>
            </w:pPr>
            <w:r w:rsidRPr="00B32C19">
              <w:rPr>
                <w:sz w:val="18"/>
                <w:szCs w:val="18"/>
              </w:rPr>
              <w:t>6</w:t>
            </w:r>
          </w:p>
        </w:tc>
        <w:tc>
          <w:tcPr>
            <w:tcW w:w="709" w:type="dxa"/>
            <w:shd w:val="clear" w:color="auto" w:fill="auto"/>
          </w:tcPr>
          <w:p w:rsidR="003C54D2" w:rsidRPr="00B32C19" w:rsidRDefault="001E3175" w:rsidP="000C4F08">
            <w:pPr>
              <w:spacing w:before="40"/>
              <w:jc w:val="center"/>
              <w:rPr>
                <w:sz w:val="18"/>
                <w:szCs w:val="18"/>
              </w:rPr>
            </w:pPr>
            <w:r w:rsidRPr="00B32C19">
              <w:rPr>
                <w:sz w:val="18"/>
                <w:szCs w:val="18"/>
              </w:rPr>
              <w:t>E</w:t>
            </w:r>
          </w:p>
        </w:tc>
        <w:tc>
          <w:tcPr>
            <w:tcW w:w="3597" w:type="dxa"/>
            <w:shd w:val="clear" w:color="auto" w:fill="auto"/>
          </w:tcPr>
          <w:p w:rsidR="003C54D2" w:rsidRPr="00B32C19" w:rsidRDefault="00C4765E" w:rsidP="00C4765E">
            <w:pPr>
              <w:spacing w:before="40"/>
              <w:ind w:left="57"/>
              <w:rPr>
                <w:sz w:val="18"/>
                <w:szCs w:val="18"/>
              </w:rPr>
            </w:pPr>
            <w:r w:rsidRPr="00B32C19">
              <w:rPr>
                <w:sz w:val="18"/>
                <w:szCs w:val="18"/>
              </w:rPr>
              <w:t>Assessment of the latest proposal by the Netherlands presented at the sixty-sixth session of GRB</w:t>
            </w:r>
          </w:p>
        </w:tc>
        <w:tc>
          <w:tcPr>
            <w:tcW w:w="705" w:type="dxa"/>
            <w:shd w:val="clear" w:color="auto" w:fill="auto"/>
          </w:tcPr>
          <w:p w:rsidR="003C54D2" w:rsidRPr="00B32C19" w:rsidRDefault="003C54D2" w:rsidP="00870D44">
            <w:pPr>
              <w:spacing w:before="40"/>
              <w:jc w:val="center"/>
              <w:rPr>
                <w:sz w:val="18"/>
                <w:szCs w:val="18"/>
              </w:rPr>
            </w:pPr>
            <w:r w:rsidRPr="00B32C19">
              <w:rPr>
                <w:sz w:val="18"/>
                <w:szCs w:val="18"/>
              </w:rPr>
              <w:t>(</w:t>
            </w:r>
            <w:r w:rsidR="00870D44" w:rsidRPr="00B32C19">
              <w:rPr>
                <w:sz w:val="18"/>
                <w:szCs w:val="18"/>
              </w:rPr>
              <w:t>c</w:t>
            </w:r>
            <w:r w:rsidRPr="00B32C19">
              <w:rPr>
                <w:sz w:val="18"/>
                <w:szCs w:val="18"/>
              </w:rPr>
              <w:t>)</w:t>
            </w:r>
          </w:p>
        </w:tc>
      </w:tr>
      <w:tr w:rsidR="001E3175" w:rsidRPr="00B32C19" w:rsidTr="00A95628">
        <w:tc>
          <w:tcPr>
            <w:tcW w:w="660" w:type="dxa"/>
            <w:shd w:val="clear" w:color="auto" w:fill="auto"/>
          </w:tcPr>
          <w:p w:rsidR="001E3175" w:rsidRPr="00B32C19" w:rsidRDefault="001E3175" w:rsidP="001E3175">
            <w:pPr>
              <w:spacing w:before="40"/>
              <w:rPr>
                <w:sz w:val="18"/>
                <w:szCs w:val="18"/>
              </w:rPr>
            </w:pPr>
            <w:r w:rsidRPr="00B32C19">
              <w:rPr>
                <w:sz w:val="18"/>
                <w:szCs w:val="18"/>
              </w:rPr>
              <w:t>9</w:t>
            </w:r>
          </w:p>
        </w:tc>
        <w:tc>
          <w:tcPr>
            <w:tcW w:w="1062" w:type="dxa"/>
            <w:shd w:val="clear" w:color="auto" w:fill="auto"/>
          </w:tcPr>
          <w:p w:rsidR="001E3175" w:rsidRPr="00B32C19" w:rsidRDefault="00C4765E" w:rsidP="00C4765E">
            <w:pPr>
              <w:spacing w:before="40"/>
              <w:ind w:left="57"/>
              <w:rPr>
                <w:sz w:val="18"/>
                <w:szCs w:val="18"/>
              </w:rPr>
            </w:pPr>
            <w:r w:rsidRPr="00B32C19">
              <w:rPr>
                <w:sz w:val="18"/>
                <w:szCs w:val="18"/>
              </w:rPr>
              <w:t>OICA</w:t>
            </w:r>
          </w:p>
        </w:tc>
        <w:tc>
          <w:tcPr>
            <w:tcW w:w="738" w:type="dxa"/>
            <w:shd w:val="clear" w:color="auto" w:fill="auto"/>
          </w:tcPr>
          <w:p w:rsidR="001E3175" w:rsidRPr="00B32C19" w:rsidRDefault="00C4765E" w:rsidP="00C4765E">
            <w:pPr>
              <w:spacing w:before="40"/>
              <w:jc w:val="center"/>
              <w:rPr>
                <w:sz w:val="18"/>
                <w:szCs w:val="18"/>
              </w:rPr>
            </w:pPr>
            <w:r w:rsidRPr="00B32C19">
              <w:rPr>
                <w:sz w:val="18"/>
                <w:szCs w:val="18"/>
              </w:rPr>
              <w:t>7</w:t>
            </w:r>
            <w:r w:rsidR="001E3175" w:rsidRPr="00B32C19">
              <w:rPr>
                <w:sz w:val="18"/>
                <w:szCs w:val="18"/>
              </w:rPr>
              <w:t xml:space="preserve"> </w:t>
            </w:r>
          </w:p>
        </w:tc>
        <w:tc>
          <w:tcPr>
            <w:tcW w:w="709" w:type="dxa"/>
            <w:shd w:val="clear" w:color="auto" w:fill="auto"/>
          </w:tcPr>
          <w:p w:rsidR="001E3175" w:rsidRPr="00B32C19" w:rsidRDefault="001E3175" w:rsidP="00A95628">
            <w:pPr>
              <w:spacing w:before="40"/>
              <w:jc w:val="center"/>
              <w:rPr>
                <w:sz w:val="18"/>
                <w:szCs w:val="18"/>
              </w:rPr>
            </w:pPr>
            <w:r w:rsidRPr="00B32C19">
              <w:rPr>
                <w:sz w:val="18"/>
                <w:szCs w:val="18"/>
              </w:rPr>
              <w:t>E</w:t>
            </w:r>
          </w:p>
        </w:tc>
        <w:tc>
          <w:tcPr>
            <w:tcW w:w="3597" w:type="dxa"/>
            <w:shd w:val="clear" w:color="auto" w:fill="auto"/>
          </w:tcPr>
          <w:p w:rsidR="001E3175" w:rsidRPr="00B32C19" w:rsidRDefault="00C4765E" w:rsidP="001E3175">
            <w:pPr>
              <w:spacing w:before="40"/>
              <w:ind w:left="57"/>
              <w:rPr>
                <w:sz w:val="18"/>
                <w:szCs w:val="18"/>
              </w:rPr>
            </w:pPr>
            <w:r w:rsidRPr="00B32C19">
              <w:rPr>
                <w:sz w:val="18"/>
                <w:szCs w:val="18"/>
              </w:rPr>
              <w:t>Proposal for Supplement 2 to the 01 series of amendments to UN Regulation No. 138</w:t>
            </w:r>
          </w:p>
        </w:tc>
        <w:tc>
          <w:tcPr>
            <w:tcW w:w="705" w:type="dxa"/>
            <w:shd w:val="clear" w:color="auto" w:fill="auto"/>
          </w:tcPr>
          <w:p w:rsidR="001E3175" w:rsidRPr="00B32C19" w:rsidRDefault="001E3175" w:rsidP="0014586F">
            <w:pPr>
              <w:spacing w:before="40"/>
              <w:jc w:val="center"/>
              <w:rPr>
                <w:sz w:val="18"/>
                <w:szCs w:val="18"/>
              </w:rPr>
            </w:pPr>
            <w:r w:rsidRPr="00B32C19">
              <w:rPr>
                <w:sz w:val="18"/>
                <w:szCs w:val="18"/>
              </w:rPr>
              <w:t>(</w:t>
            </w:r>
            <w:r w:rsidR="00657C63" w:rsidRPr="00B32C19">
              <w:rPr>
                <w:sz w:val="18"/>
                <w:szCs w:val="18"/>
              </w:rPr>
              <w:t>b</w:t>
            </w:r>
            <w:r w:rsidRPr="00B32C19">
              <w:rPr>
                <w:sz w:val="18"/>
                <w:szCs w:val="18"/>
              </w:rPr>
              <w:t>)</w:t>
            </w:r>
          </w:p>
        </w:tc>
      </w:tr>
      <w:tr w:rsidR="003C54D2" w:rsidRPr="00B32C19" w:rsidTr="003666E4">
        <w:tc>
          <w:tcPr>
            <w:tcW w:w="660" w:type="dxa"/>
            <w:shd w:val="clear" w:color="auto" w:fill="auto"/>
          </w:tcPr>
          <w:p w:rsidR="003C54D2" w:rsidRPr="00B32C19" w:rsidRDefault="001E3175" w:rsidP="001E3175">
            <w:pPr>
              <w:spacing w:before="40"/>
              <w:rPr>
                <w:sz w:val="18"/>
                <w:szCs w:val="18"/>
              </w:rPr>
            </w:pPr>
            <w:r w:rsidRPr="00B32C19">
              <w:rPr>
                <w:sz w:val="18"/>
                <w:szCs w:val="18"/>
              </w:rPr>
              <w:t>10</w:t>
            </w:r>
          </w:p>
        </w:tc>
        <w:tc>
          <w:tcPr>
            <w:tcW w:w="1062" w:type="dxa"/>
            <w:shd w:val="clear" w:color="auto" w:fill="auto"/>
          </w:tcPr>
          <w:p w:rsidR="003C54D2" w:rsidRPr="00B32C19" w:rsidRDefault="00C4765E" w:rsidP="00C4765E">
            <w:pPr>
              <w:spacing w:before="40"/>
              <w:ind w:left="57"/>
              <w:rPr>
                <w:sz w:val="18"/>
                <w:szCs w:val="18"/>
              </w:rPr>
            </w:pPr>
            <w:r w:rsidRPr="00B32C19">
              <w:rPr>
                <w:sz w:val="18"/>
                <w:szCs w:val="18"/>
              </w:rPr>
              <w:t>TF RA</w:t>
            </w:r>
          </w:p>
        </w:tc>
        <w:tc>
          <w:tcPr>
            <w:tcW w:w="738" w:type="dxa"/>
            <w:shd w:val="clear" w:color="auto" w:fill="auto"/>
          </w:tcPr>
          <w:p w:rsidR="003C54D2" w:rsidRPr="00B32C19" w:rsidRDefault="00C4765E" w:rsidP="003C54D2">
            <w:pPr>
              <w:spacing w:before="40"/>
              <w:jc w:val="center"/>
              <w:rPr>
                <w:sz w:val="18"/>
                <w:szCs w:val="18"/>
              </w:rPr>
            </w:pPr>
            <w:r w:rsidRPr="00B32C19">
              <w:rPr>
                <w:sz w:val="18"/>
                <w:szCs w:val="18"/>
              </w:rPr>
              <w:t>8</w:t>
            </w:r>
          </w:p>
        </w:tc>
        <w:tc>
          <w:tcPr>
            <w:tcW w:w="709" w:type="dxa"/>
            <w:shd w:val="clear" w:color="auto" w:fill="auto"/>
          </w:tcPr>
          <w:p w:rsidR="003C54D2" w:rsidRPr="00B32C19" w:rsidRDefault="001E3175" w:rsidP="000C4F08">
            <w:pPr>
              <w:spacing w:before="40"/>
              <w:jc w:val="center"/>
              <w:rPr>
                <w:sz w:val="18"/>
                <w:szCs w:val="18"/>
              </w:rPr>
            </w:pPr>
            <w:r w:rsidRPr="00B32C19">
              <w:rPr>
                <w:sz w:val="18"/>
                <w:szCs w:val="18"/>
              </w:rPr>
              <w:t>E</w:t>
            </w:r>
          </w:p>
        </w:tc>
        <w:tc>
          <w:tcPr>
            <w:tcW w:w="3597" w:type="dxa"/>
            <w:shd w:val="clear" w:color="auto" w:fill="auto"/>
          </w:tcPr>
          <w:p w:rsidR="003C54D2" w:rsidRPr="00B32C19" w:rsidRDefault="00C4765E" w:rsidP="00C4765E">
            <w:pPr>
              <w:spacing w:before="40"/>
              <w:ind w:left="57"/>
              <w:rPr>
                <w:sz w:val="18"/>
                <w:szCs w:val="18"/>
              </w:rPr>
            </w:pPr>
            <w:r w:rsidRPr="00B32C19">
              <w:rPr>
                <w:sz w:val="18"/>
                <w:szCs w:val="18"/>
              </w:rPr>
              <w:t>Status report</w:t>
            </w:r>
          </w:p>
        </w:tc>
        <w:tc>
          <w:tcPr>
            <w:tcW w:w="705" w:type="dxa"/>
            <w:shd w:val="clear" w:color="auto" w:fill="auto"/>
          </w:tcPr>
          <w:p w:rsidR="003C54D2" w:rsidRPr="00B32C19" w:rsidRDefault="003C54D2" w:rsidP="00870D44">
            <w:pPr>
              <w:spacing w:before="40"/>
              <w:jc w:val="center"/>
              <w:rPr>
                <w:sz w:val="18"/>
                <w:szCs w:val="18"/>
              </w:rPr>
            </w:pPr>
            <w:r w:rsidRPr="00B32C19">
              <w:rPr>
                <w:sz w:val="18"/>
                <w:szCs w:val="18"/>
              </w:rPr>
              <w:t>(</w:t>
            </w:r>
            <w:r w:rsidR="00870D44" w:rsidRPr="00B32C19">
              <w:rPr>
                <w:sz w:val="18"/>
                <w:szCs w:val="18"/>
              </w:rPr>
              <w:t>a</w:t>
            </w:r>
            <w:r w:rsidRPr="00B32C19">
              <w:rPr>
                <w:sz w:val="18"/>
                <w:szCs w:val="18"/>
              </w:rPr>
              <w:t>)</w:t>
            </w:r>
          </w:p>
        </w:tc>
      </w:tr>
      <w:tr w:rsidR="00356D81" w:rsidRPr="00B32C19" w:rsidTr="00A95628">
        <w:tc>
          <w:tcPr>
            <w:tcW w:w="660" w:type="dxa"/>
            <w:shd w:val="clear" w:color="auto" w:fill="auto"/>
          </w:tcPr>
          <w:p w:rsidR="00356D81" w:rsidRPr="00B32C19" w:rsidRDefault="00356D81" w:rsidP="00356D81">
            <w:pPr>
              <w:spacing w:before="40"/>
              <w:rPr>
                <w:sz w:val="18"/>
                <w:szCs w:val="18"/>
              </w:rPr>
            </w:pPr>
            <w:r w:rsidRPr="00B32C19">
              <w:rPr>
                <w:sz w:val="18"/>
                <w:szCs w:val="18"/>
              </w:rPr>
              <w:t>11</w:t>
            </w:r>
          </w:p>
        </w:tc>
        <w:tc>
          <w:tcPr>
            <w:tcW w:w="1062" w:type="dxa"/>
            <w:shd w:val="clear" w:color="auto" w:fill="auto"/>
          </w:tcPr>
          <w:p w:rsidR="00356D81" w:rsidRPr="00B32C19" w:rsidRDefault="00C4765E" w:rsidP="00C4765E">
            <w:pPr>
              <w:spacing w:before="40"/>
              <w:ind w:left="57"/>
              <w:rPr>
                <w:sz w:val="18"/>
                <w:szCs w:val="18"/>
              </w:rPr>
            </w:pPr>
            <w:r w:rsidRPr="00B32C19">
              <w:rPr>
                <w:sz w:val="18"/>
                <w:szCs w:val="18"/>
              </w:rPr>
              <w:t xml:space="preserve">France </w:t>
            </w:r>
          </w:p>
        </w:tc>
        <w:tc>
          <w:tcPr>
            <w:tcW w:w="738" w:type="dxa"/>
            <w:shd w:val="clear" w:color="auto" w:fill="auto"/>
          </w:tcPr>
          <w:p w:rsidR="00356D81" w:rsidRPr="00B32C19" w:rsidRDefault="00356D81" w:rsidP="00356D81">
            <w:pPr>
              <w:spacing w:before="40"/>
              <w:jc w:val="center"/>
              <w:rPr>
                <w:sz w:val="18"/>
                <w:szCs w:val="18"/>
              </w:rPr>
            </w:pPr>
            <w:r w:rsidRPr="00B32C19">
              <w:rPr>
                <w:sz w:val="18"/>
                <w:szCs w:val="18"/>
              </w:rPr>
              <w:t>4 (a)</w:t>
            </w:r>
          </w:p>
        </w:tc>
        <w:tc>
          <w:tcPr>
            <w:tcW w:w="709" w:type="dxa"/>
            <w:shd w:val="clear" w:color="auto" w:fill="auto"/>
          </w:tcPr>
          <w:p w:rsidR="00356D81" w:rsidRPr="00B32C19" w:rsidRDefault="00356D81" w:rsidP="00A95628">
            <w:pPr>
              <w:spacing w:before="40"/>
              <w:jc w:val="center"/>
              <w:rPr>
                <w:sz w:val="18"/>
                <w:szCs w:val="18"/>
              </w:rPr>
            </w:pPr>
            <w:r w:rsidRPr="00B32C19">
              <w:rPr>
                <w:sz w:val="18"/>
                <w:szCs w:val="18"/>
              </w:rPr>
              <w:t>E</w:t>
            </w:r>
          </w:p>
        </w:tc>
        <w:tc>
          <w:tcPr>
            <w:tcW w:w="3597" w:type="dxa"/>
            <w:shd w:val="clear" w:color="auto" w:fill="auto"/>
          </w:tcPr>
          <w:p w:rsidR="00356D81" w:rsidRPr="00B32C19" w:rsidRDefault="00C4765E" w:rsidP="00C4765E">
            <w:pPr>
              <w:spacing w:before="40"/>
              <w:ind w:left="57"/>
              <w:rPr>
                <w:sz w:val="18"/>
                <w:szCs w:val="18"/>
              </w:rPr>
            </w:pPr>
            <w:r w:rsidRPr="00B32C19">
              <w:rPr>
                <w:sz w:val="18"/>
                <w:szCs w:val="18"/>
              </w:rPr>
              <w:t xml:space="preserve">Indoor pass-by noise </w:t>
            </w:r>
          </w:p>
        </w:tc>
        <w:tc>
          <w:tcPr>
            <w:tcW w:w="705" w:type="dxa"/>
            <w:shd w:val="clear" w:color="auto" w:fill="auto"/>
          </w:tcPr>
          <w:p w:rsidR="00356D81" w:rsidRPr="00B32C19" w:rsidRDefault="00356D81" w:rsidP="00870D44">
            <w:pPr>
              <w:spacing w:before="40"/>
              <w:jc w:val="center"/>
              <w:rPr>
                <w:sz w:val="18"/>
                <w:szCs w:val="18"/>
              </w:rPr>
            </w:pPr>
            <w:r w:rsidRPr="00B32C19">
              <w:rPr>
                <w:sz w:val="18"/>
                <w:szCs w:val="18"/>
              </w:rPr>
              <w:t>(</w:t>
            </w:r>
            <w:r w:rsidR="00870D44" w:rsidRPr="00B32C19">
              <w:rPr>
                <w:sz w:val="18"/>
                <w:szCs w:val="18"/>
              </w:rPr>
              <w:t>a</w:t>
            </w:r>
            <w:r w:rsidRPr="00B32C19">
              <w:rPr>
                <w:sz w:val="18"/>
                <w:szCs w:val="18"/>
              </w:rPr>
              <w:t>)</w:t>
            </w:r>
          </w:p>
        </w:tc>
      </w:tr>
      <w:tr w:rsidR="00A30F7E" w:rsidRPr="00B32C19" w:rsidTr="00DA7500">
        <w:tc>
          <w:tcPr>
            <w:tcW w:w="660" w:type="dxa"/>
            <w:shd w:val="clear" w:color="auto" w:fill="auto"/>
          </w:tcPr>
          <w:p w:rsidR="00A30F7E" w:rsidRPr="00B32C19" w:rsidRDefault="00A30F7E" w:rsidP="00DA7500">
            <w:pPr>
              <w:spacing w:before="40"/>
              <w:rPr>
                <w:sz w:val="18"/>
                <w:szCs w:val="18"/>
              </w:rPr>
            </w:pPr>
            <w:r w:rsidRPr="00B32C19">
              <w:rPr>
                <w:sz w:val="18"/>
                <w:szCs w:val="18"/>
              </w:rPr>
              <w:t>12</w:t>
            </w:r>
          </w:p>
        </w:tc>
        <w:tc>
          <w:tcPr>
            <w:tcW w:w="1062" w:type="dxa"/>
            <w:shd w:val="clear" w:color="auto" w:fill="auto"/>
          </w:tcPr>
          <w:p w:rsidR="00A30F7E" w:rsidRPr="00B32C19" w:rsidRDefault="00C4765E" w:rsidP="00C4765E">
            <w:pPr>
              <w:spacing w:before="40"/>
              <w:ind w:left="57"/>
              <w:rPr>
                <w:sz w:val="18"/>
                <w:szCs w:val="18"/>
              </w:rPr>
            </w:pPr>
            <w:r w:rsidRPr="00B32C19">
              <w:rPr>
                <w:sz w:val="18"/>
                <w:szCs w:val="18"/>
              </w:rPr>
              <w:t>IMMA</w:t>
            </w:r>
          </w:p>
        </w:tc>
        <w:tc>
          <w:tcPr>
            <w:tcW w:w="738" w:type="dxa"/>
            <w:shd w:val="clear" w:color="auto" w:fill="auto"/>
          </w:tcPr>
          <w:p w:rsidR="00A30F7E" w:rsidRPr="00B32C19" w:rsidRDefault="006B3773" w:rsidP="006B3773">
            <w:pPr>
              <w:spacing w:before="40"/>
              <w:jc w:val="center"/>
              <w:rPr>
                <w:sz w:val="18"/>
                <w:szCs w:val="18"/>
              </w:rPr>
            </w:pPr>
            <w:r w:rsidRPr="00B32C19">
              <w:rPr>
                <w:sz w:val="18"/>
                <w:szCs w:val="18"/>
              </w:rPr>
              <w:t>3</w:t>
            </w:r>
          </w:p>
        </w:tc>
        <w:tc>
          <w:tcPr>
            <w:tcW w:w="709" w:type="dxa"/>
            <w:shd w:val="clear" w:color="auto" w:fill="auto"/>
          </w:tcPr>
          <w:p w:rsidR="00A30F7E" w:rsidRPr="00B32C19" w:rsidRDefault="00356D81" w:rsidP="00DA7500">
            <w:pPr>
              <w:spacing w:before="40"/>
              <w:jc w:val="center"/>
              <w:rPr>
                <w:sz w:val="18"/>
                <w:szCs w:val="18"/>
              </w:rPr>
            </w:pPr>
            <w:r w:rsidRPr="00B32C19">
              <w:rPr>
                <w:sz w:val="18"/>
                <w:szCs w:val="18"/>
              </w:rPr>
              <w:t>E</w:t>
            </w:r>
          </w:p>
        </w:tc>
        <w:tc>
          <w:tcPr>
            <w:tcW w:w="3597" w:type="dxa"/>
            <w:shd w:val="clear" w:color="auto" w:fill="auto"/>
          </w:tcPr>
          <w:p w:rsidR="00A30F7E" w:rsidRPr="00B32C19" w:rsidRDefault="00C4765E" w:rsidP="00356D81">
            <w:pPr>
              <w:spacing w:before="40"/>
              <w:ind w:left="57"/>
              <w:rPr>
                <w:sz w:val="18"/>
                <w:szCs w:val="18"/>
              </w:rPr>
            </w:pPr>
            <w:r w:rsidRPr="00B32C19">
              <w:rPr>
                <w:sz w:val="18"/>
                <w:szCs w:val="18"/>
              </w:rPr>
              <w:t>Proposal for amendments to the 04 series of amendments to UN Regulation No.41</w:t>
            </w:r>
          </w:p>
        </w:tc>
        <w:tc>
          <w:tcPr>
            <w:tcW w:w="705" w:type="dxa"/>
            <w:shd w:val="clear" w:color="auto" w:fill="auto"/>
          </w:tcPr>
          <w:p w:rsidR="00A30F7E" w:rsidRPr="00B32C19" w:rsidRDefault="00A30F7E" w:rsidP="0014586F">
            <w:pPr>
              <w:spacing w:before="40"/>
              <w:jc w:val="center"/>
              <w:rPr>
                <w:sz w:val="18"/>
                <w:szCs w:val="18"/>
              </w:rPr>
            </w:pPr>
            <w:r w:rsidRPr="00B32C19">
              <w:rPr>
                <w:sz w:val="18"/>
                <w:szCs w:val="18"/>
              </w:rPr>
              <w:t>(</w:t>
            </w:r>
            <w:r w:rsidR="00657C63" w:rsidRPr="00B32C19">
              <w:rPr>
                <w:sz w:val="18"/>
                <w:szCs w:val="18"/>
              </w:rPr>
              <w:t>a</w:t>
            </w:r>
            <w:r w:rsidRPr="00B32C19">
              <w:rPr>
                <w:sz w:val="18"/>
                <w:szCs w:val="18"/>
              </w:rPr>
              <w:t>)</w:t>
            </w:r>
          </w:p>
        </w:tc>
      </w:tr>
      <w:tr w:rsidR="00356D81" w:rsidRPr="00B32C19" w:rsidTr="00A95628">
        <w:tc>
          <w:tcPr>
            <w:tcW w:w="660" w:type="dxa"/>
            <w:shd w:val="clear" w:color="auto" w:fill="auto"/>
          </w:tcPr>
          <w:p w:rsidR="00356D81" w:rsidRPr="00B32C19" w:rsidRDefault="00356D81" w:rsidP="00356D81">
            <w:pPr>
              <w:spacing w:before="40"/>
              <w:rPr>
                <w:sz w:val="18"/>
                <w:szCs w:val="18"/>
              </w:rPr>
            </w:pPr>
            <w:r w:rsidRPr="00B32C19">
              <w:rPr>
                <w:sz w:val="18"/>
                <w:szCs w:val="18"/>
              </w:rPr>
              <w:t>13</w:t>
            </w:r>
          </w:p>
        </w:tc>
        <w:tc>
          <w:tcPr>
            <w:tcW w:w="1062" w:type="dxa"/>
            <w:shd w:val="clear" w:color="auto" w:fill="auto"/>
          </w:tcPr>
          <w:p w:rsidR="00356D81" w:rsidRPr="00B32C19" w:rsidRDefault="006B3773" w:rsidP="006B3773">
            <w:pPr>
              <w:spacing w:before="40"/>
              <w:ind w:left="57"/>
              <w:rPr>
                <w:sz w:val="18"/>
                <w:szCs w:val="18"/>
              </w:rPr>
            </w:pPr>
            <w:r w:rsidRPr="00B32C19">
              <w:rPr>
                <w:sz w:val="18"/>
                <w:szCs w:val="18"/>
              </w:rPr>
              <w:t>European Commission</w:t>
            </w:r>
          </w:p>
        </w:tc>
        <w:tc>
          <w:tcPr>
            <w:tcW w:w="738" w:type="dxa"/>
            <w:shd w:val="clear" w:color="auto" w:fill="auto"/>
          </w:tcPr>
          <w:p w:rsidR="00356D81" w:rsidRPr="00B32C19" w:rsidRDefault="006B3773" w:rsidP="006B3773">
            <w:pPr>
              <w:spacing w:before="40"/>
              <w:jc w:val="center"/>
              <w:rPr>
                <w:sz w:val="18"/>
                <w:szCs w:val="18"/>
              </w:rPr>
            </w:pPr>
            <w:r w:rsidRPr="00B32C19">
              <w:rPr>
                <w:sz w:val="18"/>
                <w:szCs w:val="18"/>
              </w:rPr>
              <w:t>3</w:t>
            </w:r>
            <w:r w:rsidR="007F256C" w:rsidRPr="00B32C19">
              <w:rPr>
                <w:sz w:val="18"/>
                <w:szCs w:val="18"/>
              </w:rPr>
              <w:t>, 10</w:t>
            </w:r>
          </w:p>
        </w:tc>
        <w:tc>
          <w:tcPr>
            <w:tcW w:w="709" w:type="dxa"/>
            <w:shd w:val="clear" w:color="auto" w:fill="auto"/>
          </w:tcPr>
          <w:p w:rsidR="00356D81" w:rsidRPr="00B32C19" w:rsidRDefault="00356D81" w:rsidP="00A95628">
            <w:pPr>
              <w:spacing w:before="40"/>
              <w:jc w:val="center"/>
              <w:rPr>
                <w:sz w:val="18"/>
                <w:szCs w:val="18"/>
              </w:rPr>
            </w:pPr>
            <w:r w:rsidRPr="00B32C19">
              <w:rPr>
                <w:sz w:val="18"/>
                <w:szCs w:val="18"/>
              </w:rPr>
              <w:t>E</w:t>
            </w:r>
          </w:p>
        </w:tc>
        <w:tc>
          <w:tcPr>
            <w:tcW w:w="3597" w:type="dxa"/>
            <w:shd w:val="clear" w:color="auto" w:fill="auto"/>
          </w:tcPr>
          <w:p w:rsidR="00356D81" w:rsidRPr="00B32C19" w:rsidRDefault="006B3773" w:rsidP="00A95628">
            <w:pPr>
              <w:spacing w:before="40"/>
              <w:ind w:left="57"/>
              <w:rPr>
                <w:sz w:val="18"/>
                <w:szCs w:val="18"/>
              </w:rPr>
            </w:pPr>
            <w:r w:rsidRPr="00B32C19">
              <w:rPr>
                <w:sz w:val="18"/>
                <w:szCs w:val="18"/>
              </w:rPr>
              <w:t>Study on Euro 5 sound level limits of L-category vehicles: progress and cost-benefit analysis (CBA) results</w:t>
            </w:r>
          </w:p>
        </w:tc>
        <w:tc>
          <w:tcPr>
            <w:tcW w:w="705" w:type="dxa"/>
            <w:shd w:val="clear" w:color="auto" w:fill="auto"/>
          </w:tcPr>
          <w:p w:rsidR="00356D81" w:rsidRPr="00B32C19" w:rsidRDefault="00356D81" w:rsidP="0014586F">
            <w:pPr>
              <w:spacing w:before="40"/>
              <w:jc w:val="center"/>
              <w:rPr>
                <w:sz w:val="18"/>
                <w:szCs w:val="18"/>
              </w:rPr>
            </w:pPr>
            <w:r w:rsidRPr="00B32C19">
              <w:rPr>
                <w:sz w:val="18"/>
                <w:szCs w:val="18"/>
              </w:rPr>
              <w:t>(</w:t>
            </w:r>
            <w:r w:rsidR="00657C63" w:rsidRPr="00B32C19">
              <w:rPr>
                <w:sz w:val="18"/>
                <w:szCs w:val="18"/>
              </w:rPr>
              <w:t>d</w:t>
            </w:r>
            <w:r w:rsidRPr="00B32C19">
              <w:rPr>
                <w:sz w:val="18"/>
                <w:szCs w:val="18"/>
              </w:rPr>
              <w:t>)</w:t>
            </w:r>
          </w:p>
        </w:tc>
      </w:tr>
      <w:tr w:rsidR="00901DBA" w:rsidRPr="00B32C19" w:rsidTr="003666E4">
        <w:tc>
          <w:tcPr>
            <w:tcW w:w="660" w:type="dxa"/>
            <w:shd w:val="clear" w:color="auto" w:fill="auto"/>
          </w:tcPr>
          <w:p w:rsidR="00901DBA" w:rsidRPr="00B32C19" w:rsidRDefault="00901DBA" w:rsidP="00901DBA">
            <w:pPr>
              <w:spacing w:before="40"/>
              <w:rPr>
                <w:sz w:val="18"/>
                <w:szCs w:val="18"/>
              </w:rPr>
            </w:pPr>
            <w:r w:rsidRPr="00B32C19">
              <w:rPr>
                <w:sz w:val="18"/>
                <w:szCs w:val="18"/>
              </w:rPr>
              <w:t>14</w:t>
            </w:r>
          </w:p>
        </w:tc>
        <w:tc>
          <w:tcPr>
            <w:tcW w:w="1062" w:type="dxa"/>
            <w:shd w:val="clear" w:color="auto" w:fill="auto"/>
          </w:tcPr>
          <w:p w:rsidR="00901DBA" w:rsidRPr="00B32C19" w:rsidRDefault="00901DBA" w:rsidP="00F753E6">
            <w:pPr>
              <w:spacing w:before="40"/>
              <w:ind w:left="57"/>
              <w:rPr>
                <w:sz w:val="18"/>
                <w:szCs w:val="18"/>
              </w:rPr>
            </w:pPr>
            <w:r w:rsidRPr="00B32C19">
              <w:rPr>
                <w:sz w:val="18"/>
                <w:szCs w:val="18"/>
              </w:rPr>
              <w:t>IWG ASEP</w:t>
            </w:r>
          </w:p>
        </w:tc>
        <w:tc>
          <w:tcPr>
            <w:tcW w:w="738" w:type="dxa"/>
            <w:shd w:val="clear" w:color="auto" w:fill="auto"/>
          </w:tcPr>
          <w:p w:rsidR="00901DBA" w:rsidRPr="00B32C19" w:rsidRDefault="00901DBA" w:rsidP="00901DBA">
            <w:pPr>
              <w:spacing w:before="40"/>
              <w:jc w:val="center"/>
              <w:rPr>
                <w:sz w:val="18"/>
                <w:szCs w:val="18"/>
              </w:rPr>
            </w:pPr>
            <w:r w:rsidRPr="00B32C19">
              <w:rPr>
                <w:sz w:val="18"/>
                <w:szCs w:val="18"/>
              </w:rPr>
              <w:t>4 (a)</w:t>
            </w:r>
          </w:p>
        </w:tc>
        <w:tc>
          <w:tcPr>
            <w:tcW w:w="709" w:type="dxa"/>
            <w:shd w:val="clear" w:color="auto" w:fill="auto"/>
          </w:tcPr>
          <w:p w:rsidR="00901DBA" w:rsidRPr="00B32C19" w:rsidRDefault="00C4765E" w:rsidP="00B92E9B">
            <w:pPr>
              <w:spacing w:before="40"/>
              <w:jc w:val="center"/>
              <w:rPr>
                <w:sz w:val="18"/>
                <w:szCs w:val="18"/>
              </w:rPr>
            </w:pPr>
            <w:r w:rsidRPr="00B32C19">
              <w:rPr>
                <w:sz w:val="18"/>
                <w:szCs w:val="18"/>
              </w:rPr>
              <w:t>E</w:t>
            </w:r>
          </w:p>
        </w:tc>
        <w:tc>
          <w:tcPr>
            <w:tcW w:w="3597" w:type="dxa"/>
            <w:shd w:val="clear" w:color="auto" w:fill="auto"/>
          </w:tcPr>
          <w:p w:rsidR="00901DBA" w:rsidRPr="00B32C19" w:rsidRDefault="006B3773" w:rsidP="006B3773">
            <w:pPr>
              <w:spacing w:before="40"/>
              <w:ind w:left="57"/>
              <w:rPr>
                <w:sz w:val="18"/>
                <w:szCs w:val="18"/>
              </w:rPr>
            </w:pPr>
            <w:r w:rsidRPr="00B32C19">
              <w:rPr>
                <w:sz w:val="18"/>
                <w:szCs w:val="18"/>
              </w:rPr>
              <w:t>Proposal for a Corrigendum to ECE/TRANS/WP.29/2018/7 and GRB-67-06</w:t>
            </w:r>
          </w:p>
        </w:tc>
        <w:tc>
          <w:tcPr>
            <w:tcW w:w="705" w:type="dxa"/>
            <w:shd w:val="clear" w:color="auto" w:fill="auto"/>
          </w:tcPr>
          <w:p w:rsidR="00901DBA" w:rsidRPr="00B32C19" w:rsidRDefault="00870D44" w:rsidP="0014586F">
            <w:pPr>
              <w:spacing w:before="40"/>
              <w:jc w:val="center"/>
              <w:rPr>
                <w:sz w:val="18"/>
                <w:szCs w:val="18"/>
              </w:rPr>
            </w:pPr>
            <w:r w:rsidRPr="00B32C19">
              <w:rPr>
                <w:sz w:val="18"/>
                <w:szCs w:val="18"/>
              </w:rPr>
              <w:t>(d)</w:t>
            </w:r>
          </w:p>
        </w:tc>
      </w:tr>
      <w:tr w:rsidR="00B93E13" w:rsidRPr="00B32C19" w:rsidTr="003666E4">
        <w:tc>
          <w:tcPr>
            <w:tcW w:w="660" w:type="dxa"/>
            <w:shd w:val="clear" w:color="auto" w:fill="auto"/>
          </w:tcPr>
          <w:p w:rsidR="00B93E13" w:rsidRPr="00B32C19" w:rsidRDefault="00B93E13" w:rsidP="00901DBA">
            <w:pPr>
              <w:spacing w:before="40"/>
              <w:rPr>
                <w:sz w:val="18"/>
                <w:szCs w:val="18"/>
              </w:rPr>
            </w:pPr>
            <w:r w:rsidRPr="00B32C19">
              <w:rPr>
                <w:sz w:val="18"/>
                <w:szCs w:val="18"/>
              </w:rPr>
              <w:t>1</w:t>
            </w:r>
            <w:r w:rsidR="00901DBA" w:rsidRPr="00B32C19">
              <w:rPr>
                <w:sz w:val="18"/>
                <w:szCs w:val="18"/>
              </w:rPr>
              <w:t>5</w:t>
            </w:r>
            <w:r w:rsidR="006B3773" w:rsidRPr="00B32C19">
              <w:rPr>
                <w:sz w:val="18"/>
                <w:szCs w:val="18"/>
              </w:rPr>
              <w:t>-Rev.1</w:t>
            </w:r>
          </w:p>
        </w:tc>
        <w:tc>
          <w:tcPr>
            <w:tcW w:w="1062" w:type="dxa"/>
            <w:shd w:val="clear" w:color="auto" w:fill="auto"/>
          </w:tcPr>
          <w:p w:rsidR="00B93E13" w:rsidRPr="00B32C19" w:rsidRDefault="00356D81" w:rsidP="00F753E6">
            <w:pPr>
              <w:spacing w:before="40"/>
              <w:ind w:left="57"/>
              <w:rPr>
                <w:sz w:val="18"/>
                <w:szCs w:val="18"/>
              </w:rPr>
            </w:pPr>
            <w:r w:rsidRPr="00B32C19">
              <w:rPr>
                <w:sz w:val="18"/>
                <w:szCs w:val="18"/>
              </w:rPr>
              <w:t>IWG ASEP</w:t>
            </w:r>
          </w:p>
        </w:tc>
        <w:tc>
          <w:tcPr>
            <w:tcW w:w="738" w:type="dxa"/>
            <w:shd w:val="clear" w:color="auto" w:fill="auto"/>
          </w:tcPr>
          <w:p w:rsidR="00B93E13" w:rsidRPr="00B32C19" w:rsidRDefault="00356D81" w:rsidP="00B92E9B">
            <w:pPr>
              <w:spacing w:before="40"/>
              <w:jc w:val="center"/>
              <w:rPr>
                <w:sz w:val="18"/>
                <w:szCs w:val="18"/>
              </w:rPr>
            </w:pPr>
            <w:r w:rsidRPr="00B32C19">
              <w:rPr>
                <w:sz w:val="18"/>
                <w:szCs w:val="18"/>
              </w:rPr>
              <w:t>4 (b)</w:t>
            </w:r>
          </w:p>
        </w:tc>
        <w:tc>
          <w:tcPr>
            <w:tcW w:w="709" w:type="dxa"/>
            <w:shd w:val="clear" w:color="auto" w:fill="auto"/>
          </w:tcPr>
          <w:p w:rsidR="00B93E13" w:rsidRPr="00B32C19" w:rsidRDefault="00356D81" w:rsidP="00B92E9B">
            <w:pPr>
              <w:spacing w:before="40"/>
              <w:jc w:val="center"/>
              <w:rPr>
                <w:sz w:val="18"/>
                <w:szCs w:val="18"/>
              </w:rPr>
            </w:pPr>
            <w:r w:rsidRPr="00B32C19">
              <w:rPr>
                <w:sz w:val="18"/>
                <w:szCs w:val="18"/>
              </w:rPr>
              <w:t>E</w:t>
            </w:r>
          </w:p>
        </w:tc>
        <w:tc>
          <w:tcPr>
            <w:tcW w:w="3597" w:type="dxa"/>
            <w:shd w:val="clear" w:color="auto" w:fill="auto"/>
          </w:tcPr>
          <w:p w:rsidR="00B93E13" w:rsidRPr="00B32C19" w:rsidRDefault="00356D81" w:rsidP="00356D81">
            <w:pPr>
              <w:spacing w:before="40"/>
              <w:ind w:left="57"/>
              <w:rPr>
                <w:sz w:val="18"/>
                <w:szCs w:val="18"/>
              </w:rPr>
            </w:pPr>
            <w:r w:rsidRPr="00B32C19">
              <w:rPr>
                <w:sz w:val="18"/>
                <w:szCs w:val="18"/>
              </w:rPr>
              <w:t>Status report</w:t>
            </w:r>
          </w:p>
        </w:tc>
        <w:tc>
          <w:tcPr>
            <w:tcW w:w="705" w:type="dxa"/>
            <w:shd w:val="clear" w:color="auto" w:fill="auto"/>
          </w:tcPr>
          <w:p w:rsidR="00B93E13" w:rsidRPr="00B32C19" w:rsidRDefault="00473AE3" w:rsidP="0014586F">
            <w:pPr>
              <w:spacing w:before="40"/>
              <w:jc w:val="center"/>
              <w:rPr>
                <w:sz w:val="18"/>
                <w:szCs w:val="18"/>
              </w:rPr>
            </w:pPr>
            <w:r w:rsidRPr="00B32C19">
              <w:rPr>
                <w:sz w:val="18"/>
                <w:szCs w:val="18"/>
              </w:rPr>
              <w:t>(</w:t>
            </w:r>
            <w:r w:rsidR="00657C63" w:rsidRPr="00B32C19">
              <w:rPr>
                <w:sz w:val="18"/>
                <w:szCs w:val="18"/>
              </w:rPr>
              <w:t>a</w:t>
            </w:r>
            <w:r w:rsidRPr="00B32C19">
              <w:rPr>
                <w:sz w:val="18"/>
                <w:szCs w:val="18"/>
              </w:rPr>
              <w:t>)</w:t>
            </w:r>
          </w:p>
        </w:tc>
      </w:tr>
      <w:tr w:rsidR="00B93E13" w:rsidRPr="00B32C19" w:rsidTr="003666E4">
        <w:tc>
          <w:tcPr>
            <w:tcW w:w="660" w:type="dxa"/>
            <w:shd w:val="clear" w:color="auto" w:fill="auto"/>
          </w:tcPr>
          <w:p w:rsidR="00B93E13" w:rsidRPr="00B32C19" w:rsidRDefault="00B93E13" w:rsidP="00E86C77">
            <w:pPr>
              <w:spacing w:before="40"/>
              <w:rPr>
                <w:sz w:val="18"/>
                <w:szCs w:val="18"/>
              </w:rPr>
            </w:pPr>
            <w:r w:rsidRPr="00B32C19">
              <w:rPr>
                <w:sz w:val="18"/>
                <w:szCs w:val="18"/>
              </w:rPr>
              <w:t>16</w:t>
            </w:r>
            <w:r w:rsidR="006B3773" w:rsidRPr="00B32C19">
              <w:rPr>
                <w:sz w:val="18"/>
                <w:szCs w:val="18"/>
              </w:rPr>
              <w:t>-Rev.1</w:t>
            </w:r>
          </w:p>
        </w:tc>
        <w:tc>
          <w:tcPr>
            <w:tcW w:w="1062" w:type="dxa"/>
            <w:shd w:val="clear" w:color="auto" w:fill="auto"/>
          </w:tcPr>
          <w:p w:rsidR="00B93E13" w:rsidRPr="00B32C19" w:rsidRDefault="006B3773" w:rsidP="006B3773">
            <w:pPr>
              <w:spacing w:before="40"/>
              <w:ind w:left="57"/>
              <w:rPr>
                <w:sz w:val="18"/>
                <w:szCs w:val="18"/>
              </w:rPr>
            </w:pPr>
            <w:r w:rsidRPr="00B32C19">
              <w:rPr>
                <w:sz w:val="18"/>
                <w:szCs w:val="18"/>
              </w:rPr>
              <w:t>IMMA</w:t>
            </w:r>
          </w:p>
        </w:tc>
        <w:tc>
          <w:tcPr>
            <w:tcW w:w="738" w:type="dxa"/>
            <w:shd w:val="clear" w:color="auto" w:fill="auto"/>
          </w:tcPr>
          <w:p w:rsidR="00B93E13" w:rsidRPr="00B32C19" w:rsidRDefault="006B3773" w:rsidP="006B3773">
            <w:pPr>
              <w:spacing w:before="40"/>
              <w:jc w:val="center"/>
              <w:rPr>
                <w:sz w:val="18"/>
                <w:szCs w:val="18"/>
              </w:rPr>
            </w:pPr>
            <w:r w:rsidRPr="00B32C19">
              <w:rPr>
                <w:sz w:val="18"/>
                <w:szCs w:val="18"/>
              </w:rPr>
              <w:t>3</w:t>
            </w:r>
          </w:p>
        </w:tc>
        <w:tc>
          <w:tcPr>
            <w:tcW w:w="709" w:type="dxa"/>
            <w:shd w:val="clear" w:color="auto" w:fill="auto"/>
          </w:tcPr>
          <w:p w:rsidR="00B93E13" w:rsidRPr="00B32C19" w:rsidRDefault="00356D81" w:rsidP="00B92E9B">
            <w:pPr>
              <w:spacing w:before="40"/>
              <w:jc w:val="center"/>
              <w:rPr>
                <w:sz w:val="18"/>
                <w:szCs w:val="18"/>
              </w:rPr>
            </w:pPr>
            <w:r w:rsidRPr="00B32C19">
              <w:rPr>
                <w:sz w:val="18"/>
                <w:szCs w:val="18"/>
              </w:rPr>
              <w:t>E</w:t>
            </w:r>
          </w:p>
        </w:tc>
        <w:tc>
          <w:tcPr>
            <w:tcW w:w="3597" w:type="dxa"/>
            <w:shd w:val="clear" w:color="auto" w:fill="auto"/>
          </w:tcPr>
          <w:p w:rsidR="00B93E13" w:rsidRPr="00B32C19" w:rsidRDefault="006B3773" w:rsidP="006B3773">
            <w:pPr>
              <w:spacing w:before="40"/>
              <w:ind w:left="57"/>
              <w:rPr>
                <w:sz w:val="18"/>
                <w:szCs w:val="18"/>
              </w:rPr>
            </w:pPr>
            <w:r w:rsidRPr="00B32C19">
              <w:rPr>
                <w:sz w:val="18"/>
                <w:szCs w:val="18"/>
              </w:rPr>
              <w:t>Comments on the Euro 5 sound level study by EC</w:t>
            </w:r>
          </w:p>
        </w:tc>
        <w:tc>
          <w:tcPr>
            <w:tcW w:w="705" w:type="dxa"/>
            <w:shd w:val="clear" w:color="auto" w:fill="auto"/>
          </w:tcPr>
          <w:p w:rsidR="00B93E13" w:rsidRPr="00B32C19" w:rsidRDefault="00473AE3" w:rsidP="0014586F">
            <w:pPr>
              <w:spacing w:before="40"/>
              <w:jc w:val="center"/>
              <w:rPr>
                <w:sz w:val="18"/>
                <w:szCs w:val="18"/>
              </w:rPr>
            </w:pPr>
            <w:r w:rsidRPr="00B32C19">
              <w:rPr>
                <w:sz w:val="18"/>
                <w:szCs w:val="18"/>
              </w:rPr>
              <w:t>(</w:t>
            </w:r>
            <w:r w:rsidR="00657C63" w:rsidRPr="00B32C19">
              <w:rPr>
                <w:sz w:val="18"/>
                <w:szCs w:val="18"/>
              </w:rPr>
              <w:t>a</w:t>
            </w:r>
            <w:r w:rsidRPr="00B32C19">
              <w:rPr>
                <w:sz w:val="18"/>
                <w:szCs w:val="18"/>
              </w:rPr>
              <w:t>)</w:t>
            </w:r>
          </w:p>
        </w:tc>
      </w:tr>
      <w:tr w:rsidR="00D2428D" w:rsidRPr="00B32C19" w:rsidTr="003666E4">
        <w:tc>
          <w:tcPr>
            <w:tcW w:w="660" w:type="dxa"/>
            <w:shd w:val="clear" w:color="auto" w:fill="auto"/>
          </w:tcPr>
          <w:p w:rsidR="00D2428D" w:rsidRPr="00B32C19" w:rsidRDefault="00B93E13" w:rsidP="00E86C77">
            <w:pPr>
              <w:spacing w:before="40"/>
              <w:rPr>
                <w:sz w:val="18"/>
                <w:szCs w:val="18"/>
              </w:rPr>
            </w:pPr>
            <w:r w:rsidRPr="00B32C19">
              <w:rPr>
                <w:sz w:val="18"/>
                <w:szCs w:val="18"/>
              </w:rPr>
              <w:t>17</w:t>
            </w:r>
          </w:p>
        </w:tc>
        <w:tc>
          <w:tcPr>
            <w:tcW w:w="1062" w:type="dxa"/>
            <w:shd w:val="clear" w:color="auto" w:fill="auto"/>
          </w:tcPr>
          <w:p w:rsidR="00D2428D" w:rsidRPr="00B32C19" w:rsidRDefault="006B3773" w:rsidP="006B3773">
            <w:pPr>
              <w:spacing w:before="40"/>
              <w:ind w:left="57"/>
              <w:rPr>
                <w:sz w:val="18"/>
                <w:szCs w:val="18"/>
              </w:rPr>
            </w:pPr>
            <w:r w:rsidRPr="00B32C19">
              <w:rPr>
                <w:sz w:val="18"/>
                <w:szCs w:val="18"/>
              </w:rPr>
              <w:t>OICA</w:t>
            </w:r>
          </w:p>
        </w:tc>
        <w:tc>
          <w:tcPr>
            <w:tcW w:w="738" w:type="dxa"/>
            <w:shd w:val="clear" w:color="auto" w:fill="auto"/>
          </w:tcPr>
          <w:p w:rsidR="00D2428D" w:rsidRPr="00B32C19" w:rsidRDefault="006B3773" w:rsidP="002805E3">
            <w:pPr>
              <w:spacing w:before="40"/>
              <w:jc w:val="center"/>
              <w:rPr>
                <w:sz w:val="18"/>
                <w:szCs w:val="18"/>
              </w:rPr>
            </w:pPr>
            <w:r w:rsidRPr="00B32C19">
              <w:rPr>
                <w:sz w:val="18"/>
                <w:szCs w:val="18"/>
              </w:rPr>
              <w:t>4 (a)</w:t>
            </w:r>
          </w:p>
        </w:tc>
        <w:tc>
          <w:tcPr>
            <w:tcW w:w="709" w:type="dxa"/>
            <w:shd w:val="clear" w:color="auto" w:fill="auto"/>
          </w:tcPr>
          <w:p w:rsidR="00D2428D" w:rsidRPr="00B32C19" w:rsidRDefault="00356D81" w:rsidP="002805E3">
            <w:pPr>
              <w:spacing w:before="40"/>
              <w:jc w:val="center"/>
              <w:rPr>
                <w:sz w:val="18"/>
                <w:szCs w:val="18"/>
              </w:rPr>
            </w:pPr>
            <w:r w:rsidRPr="00B32C19">
              <w:rPr>
                <w:sz w:val="18"/>
                <w:szCs w:val="18"/>
              </w:rPr>
              <w:t>E</w:t>
            </w:r>
          </w:p>
        </w:tc>
        <w:tc>
          <w:tcPr>
            <w:tcW w:w="3597" w:type="dxa"/>
            <w:shd w:val="clear" w:color="auto" w:fill="auto"/>
          </w:tcPr>
          <w:p w:rsidR="00D2428D" w:rsidRPr="00B32C19" w:rsidRDefault="006B3773" w:rsidP="006B3773">
            <w:pPr>
              <w:spacing w:before="40"/>
              <w:ind w:left="57"/>
              <w:rPr>
                <w:sz w:val="18"/>
                <w:szCs w:val="18"/>
              </w:rPr>
            </w:pPr>
            <w:r w:rsidRPr="00B32C19">
              <w:rPr>
                <w:sz w:val="18"/>
                <w:szCs w:val="18"/>
              </w:rPr>
              <w:t xml:space="preserve">Proposal for amendments to ECE/TRANS/WP.29/GRB/2018/2  </w:t>
            </w:r>
          </w:p>
        </w:tc>
        <w:tc>
          <w:tcPr>
            <w:tcW w:w="705" w:type="dxa"/>
            <w:shd w:val="clear" w:color="auto" w:fill="auto"/>
          </w:tcPr>
          <w:p w:rsidR="00D2428D" w:rsidRPr="00B32C19" w:rsidRDefault="00D2428D" w:rsidP="0014586F">
            <w:pPr>
              <w:spacing w:before="40"/>
              <w:jc w:val="center"/>
              <w:rPr>
                <w:sz w:val="18"/>
                <w:szCs w:val="18"/>
              </w:rPr>
            </w:pPr>
            <w:r w:rsidRPr="00B32C19">
              <w:rPr>
                <w:sz w:val="18"/>
                <w:szCs w:val="18"/>
              </w:rPr>
              <w:t>(</w:t>
            </w:r>
            <w:r w:rsidR="0014586F" w:rsidRPr="00B32C19">
              <w:rPr>
                <w:sz w:val="18"/>
                <w:szCs w:val="18"/>
              </w:rPr>
              <w:t>a</w:t>
            </w:r>
            <w:r w:rsidRPr="00B32C19">
              <w:rPr>
                <w:sz w:val="18"/>
                <w:szCs w:val="18"/>
              </w:rPr>
              <w:t>)</w:t>
            </w:r>
          </w:p>
        </w:tc>
      </w:tr>
      <w:tr w:rsidR="00B47027" w:rsidRPr="00B32C19" w:rsidTr="006B3773">
        <w:trPr>
          <w:cantSplit/>
        </w:trPr>
        <w:tc>
          <w:tcPr>
            <w:tcW w:w="660" w:type="dxa"/>
            <w:shd w:val="clear" w:color="auto" w:fill="auto"/>
          </w:tcPr>
          <w:p w:rsidR="00B47027" w:rsidRPr="00B32C19" w:rsidRDefault="00B93E13" w:rsidP="00E86C77">
            <w:pPr>
              <w:spacing w:before="40"/>
              <w:rPr>
                <w:sz w:val="18"/>
                <w:szCs w:val="18"/>
              </w:rPr>
            </w:pPr>
            <w:r w:rsidRPr="00B32C19">
              <w:rPr>
                <w:sz w:val="18"/>
                <w:szCs w:val="18"/>
              </w:rPr>
              <w:t>18</w:t>
            </w:r>
          </w:p>
        </w:tc>
        <w:tc>
          <w:tcPr>
            <w:tcW w:w="1062" w:type="dxa"/>
            <w:shd w:val="clear" w:color="auto" w:fill="auto"/>
          </w:tcPr>
          <w:p w:rsidR="00B47027" w:rsidRPr="00B32C19" w:rsidRDefault="006B3773" w:rsidP="006B3773">
            <w:pPr>
              <w:spacing w:before="40"/>
              <w:ind w:left="57"/>
              <w:rPr>
                <w:sz w:val="18"/>
                <w:szCs w:val="18"/>
              </w:rPr>
            </w:pPr>
            <w:r w:rsidRPr="00B32C19">
              <w:rPr>
                <w:sz w:val="18"/>
                <w:szCs w:val="18"/>
              </w:rPr>
              <w:t xml:space="preserve">Netherlands </w:t>
            </w:r>
          </w:p>
        </w:tc>
        <w:tc>
          <w:tcPr>
            <w:tcW w:w="738" w:type="dxa"/>
            <w:shd w:val="clear" w:color="auto" w:fill="auto"/>
          </w:tcPr>
          <w:p w:rsidR="00B47027" w:rsidRPr="00B32C19" w:rsidRDefault="006B3773" w:rsidP="006B3773">
            <w:pPr>
              <w:spacing w:before="40"/>
              <w:jc w:val="center"/>
              <w:rPr>
                <w:sz w:val="18"/>
                <w:szCs w:val="18"/>
              </w:rPr>
            </w:pPr>
            <w:r w:rsidRPr="00B32C19">
              <w:rPr>
                <w:sz w:val="18"/>
                <w:szCs w:val="18"/>
              </w:rPr>
              <w:t>6</w:t>
            </w:r>
          </w:p>
        </w:tc>
        <w:tc>
          <w:tcPr>
            <w:tcW w:w="709" w:type="dxa"/>
            <w:shd w:val="clear" w:color="auto" w:fill="auto"/>
          </w:tcPr>
          <w:p w:rsidR="00B47027" w:rsidRPr="00B32C19" w:rsidRDefault="00356D81" w:rsidP="00B92E9B">
            <w:pPr>
              <w:spacing w:before="40"/>
              <w:jc w:val="center"/>
              <w:rPr>
                <w:sz w:val="18"/>
                <w:szCs w:val="18"/>
              </w:rPr>
            </w:pPr>
            <w:r w:rsidRPr="00B32C19">
              <w:rPr>
                <w:sz w:val="18"/>
                <w:szCs w:val="18"/>
              </w:rPr>
              <w:t>E</w:t>
            </w:r>
          </w:p>
        </w:tc>
        <w:tc>
          <w:tcPr>
            <w:tcW w:w="3597" w:type="dxa"/>
            <w:shd w:val="clear" w:color="auto" w:fill="auto"/>
          </w:tcPr>
          <w:p w:rsidR="00B47027" w:rsidRPr="00B32C19" w:rsidRDefault="006B3773" w:rsidP="006B3773">
            <w:pPr>
              <w:spacing w:before="40"/>
              <w:ind w:left="57"/>
              <w:rPr>
                <w:sz w:val="18"/>
                <w:szCs w:val="18"/>
              </w:rPr>
            </w:pPr>
            <w:r w:rsidRPr="00B32C19">
              <w:rPr>
                <w:sz w:val="18"/>
                <w:szCs w:val="18"/>
              </w:rPr>
              <w:t>Response to GRB-67-08</w:t>
            </w:r>
          </w:p>
        </w:tc>
        <w:tc>
          <w:tcPr>
            <w:tcW w:w="705" w:type="dxa"/>
            <w:shd w:val="clear" w:color="auto" w:fill="auto"/>
          </w:tcPr>
          <w:p w:rsidR="00B47027" w:rsidRPr="00B32C19" w:rsidRDefault="00B47027" w:rsidP="00870D44">
            <w:pPr>
              <w:spacing w:before="40"/>
              <w:jc w:val="center"/>
              <w:rPr>
                <w:sz w:val="18"/>
                <w:szCs w:val="18"/>
              </w:rPr>
            </w:pPr>
            <w:r w:rsidRPr="00B32C19">
              <w:rPr>
                <w:sz w:val="18"/>
                <w:szCs w:val="18"/>
              </w:rPr>
              <w:t>(</w:t>
            </w:r>
            <w:r w:rsidR="00870D44" w:rsidRPr="00B32C19">
              <w:rPr>
                <w:sz w:val="18"/>
                <w:szCs w:val="18"/>
              </w:rPr>
              <w:t>c</w:t>
            </w:r>
            <w:r w:rsidRPr="00B32C19">
              <w:rPr>
                <w:sz w:val="18"/>
                <w:szCs w:val="18"/>
              </w:rPr>
              <w:t>)</w:t>
            </w:r>
          </w:p>
        </w:tc>
      </w:tr>
      <w:tr w:rsidR="00ED76A4" w:rsidRPr="00B32C19" w:rsidTr="006B3773">
        <w:tc>
          <w:tcPr>
            <w:tcW w:w="660" w:type="dxa"/>
            <w:tcBorders>
              <w:bottom w:val="single" w:sz="12" w:space="0" w:color="auto"/>
            </w:tcBorders>
            <w:shd w:val="clear" w:color="auto" w:fill="auto"/>
          </w:tcPr>
          <w:p w:rsidR="00ED76A4" w:rsidRPr="00B32C19" w:rsidRDefault="00ED76A4" w:rsidP="00DA7500">
            <w:pPr>
              <w:spacing w:before="40"/>
              <w:rPr>
                <w:sz w:val="18"/>
                <w:szCs w:val="18"/>
              </w:rPr>
            </w:pPr>
            <w:r w:rsidRPr="00B32C19">
              <w:rPr>
                <w:sz w:val="18"/>
                <w:szCs w:val="18"/>
              </w:rPr>
              <w:t>19</w:t>
            </w:r>
          </w:p>
        </w:tc>
        <w:tc>
          <w:tcPr>
            <w:tcW w:w="1062" w:type="dxa"/>
            <w:tcBorders>
              <w:bottom w:val="single" w:sz="12" w:space="0" w:color="auto"/>
            </w:tcBorders>
            <w:shd w:val="clear" w:color="auto" w:fill="auto"/>
          </w:tcPr>
          <w:p w:rsidR="00ED76A4" w:rsidRPr="00B32C19" w:rsidRDefault="006B3773" w:rsidP="006B3773">
            <w:pPr>
              <w:spacing w:before="40"/>
              <w:ind w:left="57"/>
              <w:rPr>
                <w:sz w:val="18"/>
                <w:szCs w:val="18"/>
              </w:rPr>
            </w:pPr>
            <w:r w:rsidRPr="00B32C19">
              <w:rPr>
                <w:sz w:val="18"/>
                <w:szCs w:val="18"/>
              </w:rPr>
              <w:t>Netherlands</w:t>
            </w:r>
          </w:p>
        </w:tc>
        <w:tc>
          <w:tcPr>
            <w:tcW w:w="738" w:type="dxa"/>
            <w:tcBorders>
              <w:bottom w:val="single" w:sz="12" w:space="0" w:color="auto"/>
            </w:tcBorders>
            <w:shd w:val="clear" w:color="auto" w:fill="auto"/>
          </w:tcPr>
          <w:p w:rsidR="00ED76A4" w:rsidRPr="00B32C19" w:rsidRDefault="006B3773" w:rsidP="006B3773">
            <w:pPr>
              <w:spacing w:before="40"/>
              <w:jc w:val="center"/>
              <w:rPr>
                <w:sz w:val="18"/>
                <w:szCs w:val="18"/>
              </w:rPr>
            </w:pPr>
            <w:r w:rsidRPr="00B32C19">
              <w:rPr>
                <w:sz w:val="18"/>
                <w:szCs w:val="18"/>
              </w:rPr>
              <w:t>11</w:t>
            </w:r>
          </w:p>
        </w:tc>
        <w:tc>
          <w:tcPr>
            <w:tcW w:w="709" w:type="dxa"/>
            <w:tcBorders>
              <w:bottom w:val="single" w:sz="12" w:space="0" w:color="auto"/>
            </w:tcBorders>
            <w:shd w:val="clear" w:color="auto" w:fill="auto"/>
          </w:tcPr>
          <w:p w:rsidR="00ED76A4" w:rsidRPr="00B32C19" w:rsidRDefault="00356D81" w:rsidP="00DA7500">
            <w:pPr>
              <w:spacing w:before="40"/>
              <w:jc w:val="center"/>
              <w:rPr>
                <w:sz w:val="18"/>
                <w:szCs w:val="18"/>
              </w:rPr>
            </w:pPr>
            <w:r w:rsidRPr="00B32C19">
              <w:rPr>
                <w:sz w:val="18"/>
                <w:szCs w:val="18"/>
              </w:rPr>
              <w:t>E</w:t>
            </w:r>
          </w:p>
        </w:tc>
        <w:tc>
          <w:tcPr>
            <w:tcW w:w="3597" w:type="dxa"/>
            <w:tcBorders>
              <w:bottom w:val="single" w:sz="12" w:space="0" w:color="auto"/>
            </w:tcBorders>
            <w:shd w:val="clear" w:color="auto" w:fill="auto"/>
          </w:tcPr>
          <w:p w:rsidR="00ED76A4" w:rsidRPr="00B32C19" w:rsidRDefault="006B3773" w:rsidP="00870D44">
            <w:pPr>
              <w:spacing w:before="40"/>
              <w:ind w:left="57"/>
              <w:rPr>
                <w:sz w:val="18"/>
                <w:szCs w:val="18"/>
              </w:rPr>
            </w:pPr>
            <w:r w:rsidRPr="00B32C19">
              <w:rPr>
                <w:sz w:val="18"/>
                <w:szCs w:val="18"/>
              </w:rPr>
              <w:t>Labelling road surfaces</w:t>
            </w:r>
          </w:p>
        </w:tc>
        <w:tc>
          <w:tcPr>
            <w:tcW w:w="705" w:type="dxa"/>
            <w:tcBorders>
              <w:bottom w:val="single" w:sz="12" w:space="0" w:color="auto"/>
            </w:tcBorders>
            <w:shd w:val="clear" w:color="auto" w:fill="auto"/>
          </w:tcPr>
          <w:p w:rsidR="00ED76A4" w:rsidRPr="00B32C19" w:rsidRDefault="00ED76A4" w:rsidP="00870D44">
            <w:pPr>
              <w:spacing w:before="40"/>
              <w:jc w:val="center"/>
              <w:rPr>
                <w:sz w:val="18"/>
                <w:szCs w:val="18"/>
              </w:rPr>
            </w:pPr>
            <w:r w:rsidRPr="00B32C19">
              <w:rPr>
                <w:sz w:val="18"/>
                <w:szCs w:val="18"/>
              </w:rPr>
              <w:t>(</w:t>
            </w:r>
            <w:r w:rsidR="00870D44" w:rsidRPr="00B32C19">
              <w:rPr>
                <w:sz w:val="18"/>
                <w:szCs w:val="18"/>
              </w:rPr>
              <w:t>c</w:t>
            </w:r>
            <w:r w:rsidRPr="00B32C19">
              <w:rPr>
                <w:sz w:val="18"/>
                <w:szCs w:val="18"/>
              </w:rPr>
              <w:t>)</w:t>
            </w:r>
          </w:p>
        </w:tc>
      </w:tr>
      <w:tr w:rsidR="00ED76A4" w:rsidRPr="00B32C19" w:rsidTr="006B3773">
        <w:trPr>
          <w:cantSplit/>
        </w:trPr>
        <w:tc>
          <w:tcPr>
            <w:tcW w:w="660" w:type="dxa"/>
            <w:tcBorders>
              <w:top w:val="single" w:sz="12" w:space="0" w:color="auto"/>
            </w:tcBorders>
            <w:shd w:val="clear" w:color="auto" w:fill="auto"/>
          </w:tcPr>
          <w:p w:rsidR="00ED76A4" w:rsidRPr="00B32C19" w:rsidRDefault="00ED76A4" w:rsidP="00E86C77">
            <w:pPr>
              <w:spacing w:before="40"/>
              <w:rPr>
                <w:sz w:val="18"/>
                <w:szCs w:val="18"/>
              </w:rPr>
            </w:pPr>
            <w:r w:rsidRPr="00B32C19">
              <w:rPr>
                <w:sz w:val="18"/>
                <w:szCs w:val="18"/>
              </w:rPr>
              <w:lastRenderedPageBreak/>
              <w:t>20</w:t>
            </w:r>
          </w:p>
        </w:tc>
        <w:tc>
          <w:tcPr>
            <w:tcW w:w="1062" w:type="dxa"/>
            <w:tcBorders>
              <w:top w:val="single" w:sz="12" w:space="0" w:color="auto"/>
            </w:tcBorders>
            <w:shd w:val="clear" w:color="auto" w:fill="auto"/>
          </w:tcPr>
          <w:p w:rsidR="00ED76A4" w:rsidRPr="00B32C19" w:rsidRDefault="00356D81" w:rsidP="003666E4">
            <w:pPr>
              <w:spacing w:before="40"/>
              <w:ind w:left="57"/>
              <w:rPr>
                <w:sz w:val="18"/>
                <w:szCs w:val="18"/>
              </w:rPr>
            </w:pPr>
            <w:r w:rsidRPr="00B32C19">
              <w:rPr>
                <w:sz w:val="18"/>
                <w:szCs w:val="18"/>
              </w:rPr>
              <w:t>OICA</w:t>
            </w:r>
          </w:p>
        </w:tc>
        <w:tc>
          <w:tcPr>
            <w:tcW w:w="738" w:type="dxa"/>
            <w:tcBorders>
              <w:top w:val="single" w:sz="12" w:space="0" w:color="auto"/>
            </w:tcBorders>
            <w:shd w:val="clear" w:color="auto" w:fill="auto"/>
          </w:tcPr>
          <w:p w:rsidR="00ED76A4" w:rsidRPr="00B32C19" w:rsidRDefault="00D608E3" w:rsidP="00B92E9B">
            <w:pPr>
              <w:spacing w:before="40"/>
              <w:jc w:val="center"/>
              <w:rPr>
                <w:sz w:val="18"/>
                <w:szCs w:val="18"/>
              </w:rPr>
            </w:pPr>
            <w:r w:rsidRPr="00B32C19">
              <w:rPr>
                <w:sz w:val="18"/>
                <w:szCs w:val="18"/>
              </w:rPr>
              <w:t>4 (a)</w:t>
            </w:r>
          </w:p>
        </w:tc>
        <w:tc>
          <w:tcPr>
            <w:tcW w:w="709" w:type="dxa"/>
            <w:tcBorders>
              <w:top w:val="single" w:sz="12" w:space="0" w:color="auto"/>
            </w:tcBorders>
            <w:shd w:val="clear" w:color="auto" w:fill="auto"/>
          </w:tcPr>
          <w:p w:rsidR="00ED76A4" w:rsidRPr="00B32C19" w:rsidRDefault="00D608E3" w:rsidP="00973C9D">
            <w:pPr>
              <w:spacing w:before="40"/>
              <w:jc w:val="center"/>
              <w:rPr>
                <w:sz w:val="18"/>
                <w:szCs w:val="18"/>
              </w:rPr>
            </w:pPr>
            <w:r w:rsidRPr="00B32C19">
              <w:rPr>
                <w:sz w:val="18"/>
                <w:szCs w:val="18"/>
              </w:rPr>
              <w:t>E</w:t>
            </w:r>
          </w:p>
        </w:tc>
        <w:tc>
          <w:tcPr>
            <w:tcW w:w="3597" w:type="dxa"/>
            <w:tcBorders>
              <w:top w:val="single" w:sz="12" w:space="0" w:color="auto"/>
            </w:tcBorders>
            <w:shd w:val="clear" w:color="auto" w:fill="auto"/>
          </w:tcPr>
          <w:p w:rsidR="00ED76A4" w:rsidRPr="00B32C19" w:rsidRDefault="00356D81" w:rsidP="00D608E3">
            <w:pPr>
              <w:spacing w:before="40"/>
              <w:ind w:left="57"/>
              <w:rPr>
                <w:sz w:val="18"/>
                <w:szCs w:val="18"/>
              </w:rPr>
            </w:pPr>
            <w:r w:rsidRPr="00B32C19">
              <w:rPr>
                <w:sz w:val="18"/>
                <w:szCs w:val="18"/>
              </w:rPr>
              <w:t xml:space="preserve">Additional technical remarks and proposals for clarification on </w:t>
            </w:r>
            <w:r w:rsidR="00D608E3" w:rsidRPr="00B32C19">
              <w:rPr>
                <w:sz w:val="18"/>
                <w:szCs w:val="18"/>
              </w:rPr>
              <w:t>the 03 series of amendments to Regulation No. 51</w:t>
            </w:r>
          </w:p>
        </w:tc>
        <w:tc>
          <w:tcPr>
            <w:tcW w:w="705" w:type="dxa"/>
            <w:tcBorders>
              <w:top w:val="single" w:sz="12" w:space="0" w:color="auto"/>
            </w:tcBorders>
            <w:shd w:val="clear" w:color="auto" w:fill="auto"/>
          </w:tcPr>
          <w:p w:rsidR="00ED76A4" w:rsidRPr="00B32C19" w:rsidRDefault="00F952B7" w:rsidP="0014586F">
            <w:pPr>
              <w:spacing w:before="40"/>
              <w:jc w:val="center"/>
              <w:rPr>
                <w:sz w:val="18"/>
                <w:szCs w:val="18"/>
              </w:rPr>
            </w:pPr>
            <w:r w:rsidRPr="00B32C19">
              <w:rPr>
                <w:sz w:val="18"/>
                <w:szCs w:val="18"/>
              </w:rPr>
              <w:t>(</w:t>
            </w:r>
            <w:r w:rsidR="00657C63" w:rsidRPr="00B32C19">
              <w:rPr>
                <w:sz w:val="18"/>
                <w:szCs w:val="18"/>
              </w:rPr>
              <w:t>c</w:t>
            </w:r>
            <w:r w:rsidRPr="00B32C19">
              <w:rPr>
                <w:sz w:val="18"/>
                <w:szCs w:val="18"/>
              </w:rPr>
              <w:t>)</w:t>
            </w:r>
          </w:p>
        </w:tc>
      </w:tr>
      <w:tr w:rsidR="00ED76A4" w:rsidRPr="00B32C19" w:rsidTr="003666E4">
        <w:trPr>
          <w:cantSplit/>
        </w:trPr>
        <w:tc>
          <w:tcPr>
            <w:tcW w:w="660" w:type="dxa"/>
            <w:shd w:val="clear" w:color="auto" w:fill="auto"/>
          </w:tcPr>
          <w:p w:rsidR="00ED76A4" w:rsidRPr="00B32C19" w:rsidRDefault="00ED76A4" w:rsidP="00E86C77">
            <w:pPr>
              <w:spacing w:before="40"/>
              <w:rPr>
                <w:sz w:val="18"/>
                <w:szCs w:val="18"/>
              </w:rPr>
            </w:pPr>
            <w:r w:rsidRPr="00B32C19">
              <w:rPr>
                <w:sz w:val="18"/>
                <w:szCs w:val="18"/>
              </w:rPr>
              <w:t>21</w:t>
            </w:r>
          </w:p>
        </w:tc>
        <w:tc>
          <w:tcPr>
            <w:tcW w:w="1062" w:type="dxa"/>
            <w:shd w:val="clear" w:color="auto" w:fill="auto"/>
          </w:tcPr>
          <w:p w:rsidR="00ED76A4" w:rsidRPr="00B32C19" w:rsidRDefault="00D608E3" w:rsidP="003666E4">
            <w:pPr>
              <w:spacing w:before="40"/>
              <w:ind w:left="57"/>
              <w:rPr>
                <w:sz w:val="18"/>
                <w:szCs w:val="18"/>
              </w:rPr>
            </w:pPr>
            <w:r w:rsidRPr="00B32C19">
              <w:rPr>
                <w:sz w:val="18"/>
                <w:szCs w:val="18"/>
              </w:rPr>
              <w:t>China</w:t>
            </w:r>
          </w:p>
        </w:tc>
        <w:tc>
          <w:tcPr>
            <w:tcW w:w="738" w:type="dxa"/>
            <w:shd w:val="clear" w:color="auto" w:fill="auto"/>
          </w:tcPr>
          <w:p w:rsidR="00ED76A4" w:rsidRPr="00B32C19" w:rsidRDefault="00D608E3" w:rsidP="00B92E9B">
            <w:pPr>
              <w:spacing w:before="40"/>
              <w:jc w:val="center"/>
              <w:rPr>
                <w:sz w:val="18"/>
                <w:szCs w:val="18"/>
              </w:rPr>
            </w:pPr>
            <w:r w:rsidRPr="00B32C19">
              <w:rPr>
                <w:sz w:val="18"/>
                <w:szCs w:val="18"/>
              </w:rPr>
              <w:t>4 (a)</w:t>
            </w:r>
          </w:p>
        </w:tc>
        <w:tc>
          <w:tcPr>
            <w:tcW w:w="709" w:type="dxa"/>
            <w:shd w:val="clear" w:color="auto" w:fill="auto"/>
          </w:tcPr>
          <w:p w:rsidR="00ED76A4" w:rsidRPr="00B32C19" w:rsidRDefault="00D608E3" w:rsidP="00B92E9B">
            <w:pPr>
              <w:spacing w:before="40"/>
              <w:jc w:val="center"/>
              <w:rPr>
                <w:sz w:val="18"/>
                <w:szCs w:val="18"/>
              </w:rPr>
            </w:pPr>
            <w:r w:rsidRPr="00B32C19">
              <w:rPr>
                <w:sz w:val="18"/>
                <w:szCs w:val="18"/>
              </w:rPr>
              <w:t>E</w:t>
            </w:r>
          </w:p>
        </w:tc>
        <w:tc>
          <w:tcPr>
            <w:tcW w:w="3597" w:type="dxa"/>
            <w:shd w:val="clear" w:color="auto" w:fill="auto"/>
          </w:tcPr>
          <w:p w:rsidR="00ED76A4" w:rsidRPr="00B32C19" w:rsidRDefault="00D608E3" w:rsidP="00D608E3">
            <w:pPr>
              <w:spacing w:before="40"/>
              <w:ind w:left="57"/>
              <w:rPr>
                <w:sz w:val="18"/>
                <w:szCs w:val="18"/>
              </w:rPr>
            </w:pPr>
            <w:r w:rsidRPr="00B32C19">
              <w:rPr>
                <w:sz w:val="18"/>
                <w:szCs w:val="18"/>
              </w:rPr>
              <w:t>Noise problems and driving conditions in China based on the 03 series of amendments to Regulation No. 51</w:t>
            </w:r>
          </w:p>
        </w:tc>
        <w:tc>
          <w:tcPr>
            <w:tcW w:w="705" w:type="dxa"/>
            <w:shd w:val="clear" w:color="auto" w:fill="auto"/>
          </w:tcPr>
          <w:p w:rsidR="00ED76A4" w:rsidRPr="00B32C19" w:rsidRDefault="00F952B7" w:rsidP="008E49F0">
            <w:pPr>
              <w:spacing w:before="40"/>
              <w:jc w:val="center"/>
              <w:rPr>
                <w:sz w:val="18"/>
                <w:szCs w:val="18"/>
              </w:rPr>
            </w:pPr>
            <w:r w:rsidRPr="00B32C19">
              <w:rPr>
                <w:sz w:val="18"/>
                <w:szCs w:val="18"/>
              </w:rPr>
              <w:t>(a)</w:t>
            </w:r>
          </w:p>
        </w:tc>
      </w:tr>
      <w:tr w:rsidR="00503692" w:rsidRPr="00B32C19" w:rsidTr="003666E4">
        <w:tc>
          <w:tcPr>
            <w:tcW w:w="660" w:type="dxa"/>
            <w:tcBorders>
              <w:bottom w:val="single" w:sz="12" w:space="0" w:color="auto"/>
            </w:tcBorders>
            <w:shd w:val="clear" w:color="auto" w:fill="auto"/>
          </w:tcPr>
          <w:p w:rsidR="00503692" w:rsidRPr="00B32C19" w:rsidRDefault="00ED76A4" w:rsidP="00D608E3">
            <w:pPr>
              <w:spacing w:before="40"/>
              <w:rPr>
                <w:sz w:val="18"/>
                <w:szCs w:val="18"/>
              </w:rPr>
            </w:pPr>
            <w:r w:rsidRPr="00B32C19">
              <w:rPr>
                <w:sz w:val="18"/>
                <w:szCs w:val="18"/>
              </w:rPr>
              <w:t>2</w:t>
            </w:r>
            <w:r w:rsidR="00D608E3" w:rsidRPr="00B32C19">
              <w:rPr>
                <w:sz w:val="18"/>
                <w:szCs w:val="18"/>
              </w:rPr>
              <w:t>2</w:t>
            </w:r>
          </w:p>
        </w:tc>
        <w:tc>
          <w:tcPr>
            <w:tcW w:w="1062" w:type="dxa"/>
            <w:tcBorders>
              <w:bottom w:val="single" w:sz="12" w:space="0" w:color="auto"/>
            </w:tcBorders>
            <w:shd w:val="clear" w:color="auto" w:fill="auto"/>
          </w:tcPr>
          <w:p w:rsidR="00503692" w:rsidRPr="00B32C19" w:rsidRDefault="00D608E3" w:rsidP="007103F8">
            <w:pPr>
              <w:spacing w:before="40"/>
              <w:ind w:left="57"/>
              <w:rPr>
                <w:sz w:val="18"/>
                <w:szCs w:val="18"/>
              </w:rPr>
            </w:pPr>
            <w:r w:rsidRPr="00B32C19">
              <w:rPr>
                <w:sz w:val="18"/>
                <w:szCs w:val="18"/>
              </w:rPr>
              <w:t>OICA</w:t>
            </w:r>
          </w:p>
        </w:tc>
        <w:tc>
          <w:tcPr>
            <w:tcW w:w="738" w:type="dxa"/>
            <w:tcBorders>
              <w:bottom w:val="single" w:sz="12" w:space="0" w:color="auto"/>
            </w:tcBorders>
            <w:shd w:val="clear" w:color="auto" w:fill="auto"/>
          </w:tcPr>
          <w:p w:rsidR="00503692" w:rsidRPr="00B32C19" w:rsidRDefault="00D608E3" w:rsidP="007103F8">
            <w:pPr>
              <w:spacing w:before="40"/>
              <w:jc w:val="center"/>
              <w:rPr>
                <w:sz w:val="18"/>
                <w:szCs w:val="18"/>
              </w:rPr>
            </w:pPr>
            <w:r w:rsidRPr="00B32C19">
              <w:rPr>
                <w:sz w:val="18"/>
                <w:szCs w:val="18"/>
              </w:rPr>
              <w:t>6</w:t>
            </w:r>
          </w:p>
        </w:tc>
        <w:tc>
          <w:tcPr>
            <w:tcW w:w="709" w:type="dxa"/>
            <w:tcBorders>
              <w:bottom w:val="single" w:sz="12" w:space="0" w:color="auto"/>
            </w:tcBorders>
            <w:shd w:val="clear" w:color="auto" w:fill="auto"/>
          </w:tcPr>
          <w:p w:rsidR="00503692" w:rsidRPr="00B32C19" w:rsidRDefault="00D608E3" w:rsidP="00B92E9B">
            <w:pPr>
              <w:spacing w:before="40"/>
              <w:jc w:val="center"/>
              <w:rPr>
                <w:sz w:val="18"/>
                <w:szCs w:val="18"/>
              </w:rPr>
            </w:pPr>
            <w:r w:rsidRPr="00B32C19">
              <w:rPr>
                <w:sz w:val="18"/>
                <w:szCs w:val="18"/>
              </w:rPr>
              <w:t>E</w:t>
            </w:r>
          </w:p>
        </w:tc>
        <w:tc>
          <w:tcPr>
            <w:tcW w:w="3597" w:type="dxa"/>
            <w:tcBorders>
              <w:bottom w:val="single" w:sz="12" w:space="0" w:color="auto"/>
            </w:tcBorders>
            <w:shd w:val="clear" w:color="auto" w:fill="auto"/>
          </w:tcPr>
          <w:p w:rsidR="00503692" w:rsidRPr="00B32C19" w:rsidRDefault="00D608E3" w:rsidP="007D2FD9">
            <w:pPr>
              <w:spacing w:before="40"/>
              <w:ind w:left="57"/>
              <w:rPr>
                <w:sz w:val="18"/>
                <w:szCs w:val="18"/>
              </w:rPr>
            </w:pPr>
            <w:r w:rsidRPr="00B32C19">
              <w:rPr>
                <w:sz w:val="18"/>
                <w:szCs w:val="18"/>
              </w:rPr>
              <w:t>Tyre sound limits trade off</w:t>
            </w:r>
          </w:p>
        </w:tc>
        <w:tc>
          <w:tcPr>
            <w:tcW w:w="705" w:type="dxa"/>
            <w:tcBorders>
              <w:bottom w:val="single" w:sz="12" w:space="0" w:color="auto"/>
            </w:tcBorders>
            <w:shd w:val="clear" w:color="auto" w:fill="auto"/>
          </w:tcPr>
          <w:p w:rsidR="00503692" w:rsidRPr="00B32C19" w:rsidRDefault="009031F5" w:rsidP="0014586F">
            <w:pPr>
              <w:spacing w:before="40"/>
              <w:jc w:val="center"/>
              <w:rPr>
                <w:sz w:val="18"/>
                <w:szCs w:val="18"/>
              </w:rPr>
            </w:pPr>
            <w:r w:rsidRPr="00B32C19">
              <w:rPr>
                <w:sz w:val="18"/>
                <w:szCs w:val="18"/>
              </w:rPr>
              <w:t>(</w:t>
            </w:r>
            <w:r w:rsidR="00657C63" w:rsidRPr="00B32C19">
              <w:rPr>
                <w:sz w:val="18"/>
                <w:szCs w:val="18"/>
              </w:rPr>
              <w:t>a</w:t>
            </w:r>
            <w:r w:rsidRPr="00B32C19">
              <w:rPr>
                <w:sz w:val="18"/>
                <w:szCs w:val="18"/>
              </w:rPr>
              <w:t>)</w:t>
            </w:r>
          </w:p>
        </w:tc>
      </w:tr>
    </w:tbl>
    <w:p w:rsidR="007416CB" w:rsidRPr="00B32C19" w:rsidRDefault="007416CB" w:rsidP="003666E4">
      <w:pPr>
        <w:pStyle w:val="SingleTxtG"/>
        <w:spacing w:before="120" w:after="0" w:line="220" w:lineRule="atLeast"/>
        <w:rPr>
          <w:i/>
          <w:sz w:val="18"/>
          <w:szCs w:val="18"/>
        </w:rPr>
      </w:pPr>
      <w:r w:rsidRPr="00B32C19">
        <w:rPr>
          <w:i/>
          <w:sz w:val="18"/>
          <w:szCs w:val="18"/>
        </w:rPr>
        <w:t>Notes</w:t>
      </w:r>
      <w:r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(a)</w:t>
      </w:r>
      <w:r w:rsidRPr="00B32C19">
        <w:rPr>
          <w:sz w:val="18"/>
          <w:szCs w:val="18"/>
        </w:rPr>
        <w:tab/>
        <w:t>Consideration completed or superseded</w:t>
      </w:r>
      <w:r w:rsidR="00B670CC"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(b)</w:t>
      </w:r>
      <w:r w:rsidRPr="00B32C19">
        <w:rPr>
          <w:sz w:val="18"/>
          <w:szCs w:val="18"/>
        </w:rPr>
        <w:tab/>
        <w:t>Continue consideration at the next session with an official symbol</w:t>
      </w:r>
      <w:r w:rsidR="00B670CC"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(c)</w:t>
      </w:r>
      <w:r w:rsidRPr="00B32C19">
        <w:rPr>
          <w:sz w:val="18"/>
          <w:szCs w:val="18"/>
        </w:rPr>
        <w:tab/>
        <w:t xml:space="preserve">Continue consideration at the next session as </w:t>
      </w:r>
      <w:r w:rsidR="007103F8" w:rsidRPr="00B32C19">
        <w:rPr>
          <w:sz w:val="18"/>
          <w:szCs w:val="18"/>
        </w:rPr>
        <w:t xml:space="preserve">an </w:t>
      </w:r>
      <w:r w:rsidRPr="00B32C19">
        <w:rPr>
          <w:sz w:val="18"/>
          <w:szCs w:val="18"/>
        </w:rPr>
        <w:t>informal document</w:t>
      </w:r>
      <w:r w:rsidR="00B670CC" w:rsidRPr="00B32C19">
        <w:rPr>
          <w:sz w:val="18"/>
          <w:szCs w:val="18"/>
        </w:rPr>
        <w:t>.</w:t>
      </w:r>
    </w:p>
    <w:p w:rsidR="008663D6" w:rsidRPr="00B32C19" w:rsidRDefault="008663D6" w:rsidP="00E14105">
      <w:pPr>
        <w:pStyle w:val="SingleTxtG"/>
        <w:spacing w:after="0" w:line="220" w:lineRule="atLeast"/>
        <w:rPr>
          <w:sz w:val="18"/>
          <w:szCs w:val="18"/>
        </w:rPr>
      </w:pPr>
      <w:r w:rsidRPr="00B32C19">
        <w:rPr>
          <w:sz w:val="18"/>
          <w:szCs w:val="18"/>
        </w:rPr>
        <w:t>(d)</w:t>
      </w:r>
      <w:r w:rsidRPr="00B32C19">
        <w:rPr>
          <w:sz w:val="18"/>
          <w:szCs w:val="18"/>
        </w:rPr>
        <w:tab/>
        <w:t>Adopted and to be submitted to WP.29</w:t>
      </w:r>
      <w:r w:rsidR="00B670CC" w:rsidRPr="00B32C19">
        <w:rPr>
          <w:sz w:val="18"/>
          <w:szCs w:val="18"/>
        </w:rPr>
        <w:t>.</w:t>
      </w:r>
    </w:p>
    <w:p w:rsidR="00D77BA0" w:rsidRPr="00B32C19" w:rsidRDefault="00EB5323" w:rsidP="00A063E8">
      <w:pPr>
        <w:pStyle w:val="HChG"/>
      </w:pPr>
      <w:r w:rsidRPr="00B32C19">
        <w:br w:type="page"/>
      </w:r>
      <w:r w:rsidR="00914BDC" w:rsidRPr="00B32C19">
        <w:lastRenderedPageBreak/>
        <w:t>Annex II</w:t>
      </w:r>
      <w:r w:rsidR="00726029" w:rsidRPr="00B32C19">
        <w:tab/>
      </w:r>
    </w:p>
    <w:p w:rsidR="00D77BA0" w:rsidRPr="00B32C19" w:rsidRDefault="00726029" w:rsidP="00D77BA0">
      <w:pPr>
        <w:pStyle w:val="HChG"/>
        <w:rPr>
          <w:szCs w:val="28"/>
        </w:rPr>
      </w:pPr>
      <w:r w:rsidRPr="00B32C19">
        <w:rPr>
          <w:szCs w:val="28"/>
        </w:rPr>
        <w:tab/>
      </w:r>
      <w:r w:rsidR="00D77BA0" w:rsidRPr="00B32C19">
        <w:rPr>
          <w:szCs w:val="28"/>
        </w:rPr>
        <w:tab/>
        <w:t xml:space="preserve">Adopted amendments to </w:t>
      </w:r>
      <w:r w:rsidR="0036512F" w:rsidRPr="00B32C19">
        <w:rPr>
          <w:szCs w:val="28"/>
        </w:rPr>
        <w:t>Regulation No. 51</w:t>
      </w:r>
      <w:r w:rsidR="00F43B8D" w:rsidRPr="00B32C19">
        <w:rPr>
          <w:szCs w:val="28"/>
        </w:rPr>
        <w:t xml:space="preserve"> (based on ECE/TRANS/WP.29/GRB/201</w:t>
      </w:r>
      <w:r w:rsidR="00044B52" w:rsidRPr="00B32C19">
        <w:rPr>
          <w:szCs w:val="28"/>
        </w:rPr>
        <w:t>8</w:t>
      </w:r>
      <w:r w:rsidR="00F43B8D" w:rsidRPr="00B32C19">
        <w:rPr>
          <w:szCs w:val="28"/>
        </w:rPr>
        <w:t>/</w:t>
      </w:r>
      <w:r w:rsidR="00044B52" w:rsidRPr="00B32C19">
        <w:rPr>
          <w:szCs w:val="28"/>
        </w:rPr>
        <w:t>3</w:t>
      </w:r>
      <w:r w:rsidR="00F43B8D" w:rsidRPr="00B32C19">
        <w:rPr>
          <w:szCs w:val="28"/>
        </w:rPr>
        <w:t>)</w:t>
      </w:r>
    </w:p>
    <w:p w:rsidR="00044B52" w:rsidRPr="00B32C19" w:rsidRDefault="00044B52" w:rsidP="00044B52">
      <w:pPr>
        <w:spacing w:after="120"/>
        <w:ind w:left="1134" w:right="1134"/>
      </w:pPr>
      <w:r w:rsidRPr="00B32C19">
        <w:rPr>
          <w:i/>
        </w:rPr>
        <w:t xml:space="preserve">Table of </w:t>
      </w:r>
      <w:r w:rsidR="00FB7304" w:rsidRPr="00B32C19">
        <w:rPr>
          <w:i/>
        </w:rPr>
        <w:t>C</w:t>
      </w:r>
      <w:r w:rsidRPr="00B32C19">
        <w:rPr>
          <w:i/>
        </w:rPr>
        <w:t xml:space="preserve">ontents, </w:t>
      </w:r>
      <w:r w:rsidR="00123F23" w:rsidRPr="00B32C19">
        <w:rPr>
          <w:i/>
        </w:rPr>
        <w:t xml:space="preserve">Annexes, </w:t>
      </w:r>
      <w:r w:rsidR="00123F23" w:rsidRPr="00B32C19">
        <w:t>add a new Annex 8:</w:t>
      </w:r>
    </w:p>
    <w:p w:rsidR="00123F23" w:rsidRPr="00B32C19" w:rsidRDefault="00123F23" w:rsidP="00123F23">
      <w:pPr>
        <w:pStyle w:val="TOC1"/>
        <w:tabs>
          <w:tab w:val="clear" w:pos="8505"/>
          <w:tab w:val="right" w:leader="dot" w:pos="8789"/>
          <w:tab w:val="right" w:pos="9639"/>
        </w:tabs>
        <w:rPr>
          <w:rStyle w:val="Hyperlink"/>
        </w:rPr>
      </w:pPr>
      <w:r w:rsidRPr="00B32C19">
        <w:rPr>
          <w:rStyle w:val="Hyperlink"/>
        </w:rPr>
        <w:tab/>
        <w:t>"8</w:t>
      </w:r>
      <w:r w:rsidRPr="00B32C19">
        <w:rPr>
          <w:rStyle w:val="Hyperlink"/>
        </w:rPr>
        <w:tab/>
      </w:r>
      <w:r w:rsidRPr="00B32C19">
        <w:rPr>
          <w:rStyle w:val="Hyperlink"/>
        </w:rPr>
        <w:tab/>
        <w:t>Indoor testing"</w:t>
      </w:r>
    </w:p>
    <w:p w:rsidR="00044B52" w:rsidRPr="00B32C19" w:rsidRDefault="00044B52" w:rsidP="00044B52">
      <w:pPr>
        <w:spacing w:after="120"/>
        <w:ind w:left="1134" w:right="1134"/>
      </w:pPr>
      <w:r w:rsidRPr="00B32C19">
        <w:rPr>
          <w:i/>
        </w:rPr>
        <w:t xml:space="preserve">Paragraph </w:t>
      </w:r>
      <w:r w:rsidRPr="00B32C19">
        <w:t>6</w:t>
      </w:r>
      <w:r w:rsidRPr="00B32C19">
        <w:rPr>
          <w:i/>
        </w:rPr>
        <w:t xml:space="preserve">.2.1.1., </w:t>
      </w:r>
      <w:r w:rsidRPr="00B32C19">
        <w:t>amend to read:</w:t>
      </w:r>
    </w:p>
    <w:p w:rsidR="00044B52" w:rsidRPr="00B32C19" w:rsidRDefault="00044B52" w:rsidP="00044B52">
      <w:pPr>
        <w:spacing w:after="140"/>
        <w:ind w:left="2268" w:right="1134" w:hanging="1134"/>
        <w:jc w:val="both"/>
        <w:rPr>
          <w:b/>
          <w:spacing w:val="4"/>
        </w:rPr>
      </w:pPr>
      <w:r w:rsidRPr="00B32C19">
        <w:rPr>
          <w:spacing w:val="4"/>
        </w:rPr>
        <w:t>“6.2.1.1.</w:t>
      </w:r>
      <w:r w:rsidRPr="00B32C19">
        <w:rPr>
          <w:spacing w:val="4"/>
        </w:rPr>
        <w:tab/>
        <w:t xml:space="preserve">The sound made by the vehicle type submitted for approval shall be measured </w:t>
      </w:r>
      <w:r w:rsidRPr="00B32C19">
        <w:rPr>
          <w:b/>
        </w:rPr>
        <w:t>either indoor</w:t>
      </w:r>
      <w:r w:rsidR="006B7118">
        <w:rPr>
          <w:b/>
        </w:rPr>
        <w:t>s</w:t>
      </w:r>
      <w:r w:rsidRPr="00B32C19">
        <w:rPr>
          <w:b/>
        </w:rPr>
        <w:t xml:space="preserve"> or outdoor</w:t>
      </w:r>
      <w:r w:rsidR="006B7118">
        <w:rPr>
          <w:b/>
        </w:rPr>
        <w:t>s</w:t>
      </w:r>
      <w:r w:rsidRPr="00B32C19">
        <w:rPr>
          <w:spacing w:val="4"/>
        </w:rPr>
        <w:t xml:space="preserve"> by the methods described in Annex 3 to this Regulation. </w:t>
      </w:r>
      <w:r w:rsidRPr="00B32C19">
        <w:rPr>
          <w:strike/>
          <w:spacing w:val="4"/>
        </w:rPr>
        <w:t>for the vehicle in motion</w:t>
      </w:r>
      <w:r w:rsidRPr="00B32C19">
        <w:rPr>
          <w:spacing w:val="4"/>
        </w:rPr>
        <w:t xml:space="preserve"> </w:t>
      </w:r>
      <w:r w:rsidRPr="00B32C19">
        <w:rPr>
          <w:b/>
          <w:spacing w:val="4"/>
        </w:rPr>
        <w:t>The specific conditions for indoor testing are provided in Annex 8 to this Regulation. The results of the outdoor and indoor tests are deemed equivalent.</w:t>
      </w:r>
    </w:p>
    <w:p w:rsidR="00044B52" w:rsidRPr="00B32C19" w:rsidRDefault="00044B52" w:rsidP="00044B52">
      <w:pPr>
        <w:spacing w:after="140"/>
        <w:ind w:left="2268" w:right="1134" w:hanging="1134"/>
        <w:jc w:val="both"/>
        <w:rPr>
          <w:b/>
        </w:rPr>
      </w:pPr>
      <w:r w:rsidRPr="00B32C19">
        <w:rPr>
          <w:b/>
          <w:spacing w:val="4"/>
        </w:rPr>
        <w:tab/>
      </w:r>
      <w:r w:rsidRPr="00B32C19">
        <w:rPr>
          <w:b/>
        </w:rPr>
        <w:t>For each specific test condition for vehicles, the manufacturer can select to test the vehicle either indoor</w:t>
      </w:r>
      <w:r w:rsidR="006B44AC">
        <w:rPr>
          <w:b/>
        </w:rPr>
        <w:t>s</w:t>
      </w:r>
      <w:r w:rsidRPr="00B32C19">
        <w:rPr>
          <w:b/>
        </w:rPr>
        <w:t xml:space="preserve"> or outdoor</w:t>
      </w:r>
      <w:r w:rsidR="006B44AC">
        <w:rPr>
          <w:b/>
        </w:rPr>
        <w:t>s</w:t>
      </w:r>
      <w:r w:rsidRPr="00B32C19">
        <w:rPr>
          <w:b/>
        </w:rPr>
        <w:t xml:space="preserve">. The Type Approval Authority shall always have the option to mandate an outdoor test for verification.  The option of the type approval authority to mandate an outdoor test shall apply to any test specified in this </w:t>
      </w:r>
      <w:r w:rsidR="006B7118">
        <w:rPr>
          <w:b/>
        </w:rPr>
        <w:t>R</w:t>
      </w:r>
      <w:r w:rsidRPr="00B32C19">
        <w:rPr>
          <w:b/>
        </w:rPr>
        <w:t>egulation, including conformity of production testing.</w:t>
      </w:r>
    </w:p>
    <w:p w:rsidR="00044B52" w:rsidRPr="00B32C19" w:rsidRDefault="00044B52" w:rsidP="00044B52">
      <w:pPr>
        <w:spacing w:after="140"/>
        <w:ind w:left="2268" w:right="1134" w:hanging="1134"/>
        <w:jc w:val="both"/>
        <w:rPr>
          <w:spacing w:val="4"/>
        </w:rPr>
      </w:pPr>
      <w:r w:rsidRPr="00B32C19">
        <w:rPr>
          <w:spacing w:val="4"/>
        </w:rPr>
        <w:tab/>
      </w:r>
      <w:r w:rsidRPr="00B32C19">
        <w:rPr>
          <w:b/>
          <w:spacing w:val="4"/>
        </w:rPr>
        <w:t>In addition, the sound shall be measured on the stationary</w:t>
      </w:r>
      <w:r w:rsidRPr="00B32C19">
        <w:rPr>
          <w:b/>
          <w:spacing w:val="4"/>
          <w:vertAlign w:val="superscript"/>
        </w:rPr>
        <w:t xml:space="preserve">3 </w:t>
      </w:r>
      <w:r w:rsidRPr="00B32C19">
        <w:rPr>
          <w:b/>
          <w:spacing w:val="4"/>
        </w:rPr>
        <w:t>vehicle</w:t>
      </w:r>
      <w:r w:rsidRPr="00B32C19">
        <w:rPr>
          <w:spacing w:val="4"/>
        </w:rPr>
        <w:t>; in the case of a vehicle where an internal combustion engine cannot operate when the vehicle is stationary, the emitted sound shall only be measured in motion. In the case of a hybrid electrical vehicle of category M</w:t>
      </w:r>
      <w:r w:rsidRPr="00B32C19">
        <w:rPr>
          <w:spacing w:val="4"/>
          <w:vertAlign w:val="subscript"/>
        </w:rPr>
        <w:t>1</w:t>
      </w:r>
      <w:r w:rsidRPr="00B32C19">
        <w:rPr>
          <w:spacing w:val="4"/>
        </w:rPr>
        <w:t xml:space="preserve"> where an internal combustion engine cannot operate when the vehicle is stationary, the emitted sound shall be measured according to Annex 3, paragraph 4.</w:t>
      </w:r>
    </w:p>
    <w:p w:rsidR="00044B52" w:rsidRPr="00B32C19" w:rsidRDefault="00044B52" w:rsidP="00044B52">
      <w:pPr>
        <w:spacing w:after="140"/>
        <w:ind w:left="2268" w:right="1134" w:hanging="1134"/>
        <w:jc w:val="both"/>
        <w:rPr>
          <w:spacing w:val="4"/>
        </w:rPr>
      </w:pPr>
      <w:r w:rsidRPr="00B32C19">
        <w:rPr>
          <w:spacing w:val="4"/>
        </w:rPr>
        <w:tab/>
        <w:t>…”</w:t>
      </w:r>
    </w:p>
    <w:p w:rsidR="00044B52" w:rsidRPr="00B32C19" w:rsidRDefault="00044B52" w:rsidP="00044B52">
      <w:pPr>
        <w:spacing w:after="120"/>
        <w:ind w:left="1134" w:right="1134"/>
        <w:jc w:val="both"/>
      </w:pPr>
      <w:r w:rsidRPr="00B32C19">
        <w:rPr>
          <w:i/>
        </w:rPr>
        <w:t>Annex 1 - Appendix 1</w:t>
      </w:r>
      <w:r w:rsidRPr="00B32C19">
        <w:t>, insert new items 2.4. and 2.4.1. to read:</w:t>
      </w:r>
    </w:p>
    <w:p w:rsidR="00044B52" w:rsidRPr="00B32C19" w:rsidRDefault="00044B52" w:rsidP="00044B52">
      <w:pPr>
        <w:spacing w:after="120"/>
        <w:ind w:left="1134" w:right="1134"/>
        <w:jc w:val="both"/>
        <w:rPr>
          <w:b/>
        </w:rPr>
      </w:pPr>
      <w:r w:rsidRPr="00B32C19">
        <w:rPr>
          <w:b/>
        </w:rPr>
        <w:t xml:space="preserve">"2.4. </w:t>
      </w:r>
      <w:r w:rsidRPr="00B32C19">
        <w:rPr>
          <w:b/>
        </w:rPr>
        <w:tab/>
      </w:r>
      <w:r w:rsidRPr="00B32C19">
        <w:rPr>
          <w:b/>
        </w:rPr>
        <w:tab/>
        <w:t>Testing method information</w:t>
      </w:r>
    </w:p>
    <w:p w:rsidR="00044B52" w:rsidRPr="00B32C19" w:rsidRDefault="00044B52" w:rsidP="00044B52">
      <w:pPr>
        <w:tabs>
          <w:tab w:val="left" w:pos="1134"/>
          <w:tab w:val="left" w:leader="dot" w:pos="8505"/>
        </w:tabs>
        <w:suppressAutoHyphens w:val="0"/>
        <w:spacing w:after="100"/>
        <w:ind w:left="2268" w:right="1134" w:hanging="1133"/>
        <w:jc w:val="both"/>
        <w:rPr>
          <w:b/>
        </w:rPr>
      </w:pPr>
      <w:r w:rsidRPr="00B32C19">
        <w:rPr>
          <w:b/>
        </w:rPr>
        <w:t xml:space="preserve">2.4.1. </w:t>
      </w:r>
      <w:r w:rsidRPr="00B32C19">
        <w:rPr>
          <w:b/>
        </w:rPr>
        <w:tab/>
        <w:t>Test method selected: Outdoor/Indoor</w:t>
      </w:r>
      <w:r w:rsidRPr="00B32C19">
        <w:rPr>
          <w:sz w:val="18"/>
          <w:vertAlign w:val="superscript"/>
        </w:rPr>
        <w:footnoteReference w:id="2"/>
      </w:r>
      <w:r w:rsidRPr="00B32C19">
        <w:rPr>
          <w:b/>
        </w:rPr>
        <w:t xml:space="preserve">" </w:t>
      </w:r>
    </w:p>
    <w:p w:rsidR="00044B52" w:rsidRPr="00B32C19" w:rsidRDefault="00044B52" w:rsidP="00044B52">
      <w:pPr>
        <w:spacing w:after="120"/>
        <w:ind w:left="1134" w:right="1134"/>
        <w:jc w:val="both"/>
        <w:rPr>
          <w:i/>
        </w:rPr>
      </w:pPr>
      <w:r w:rsidRPr="00B32C19">
        <w:rPr>
          <w:i/>
        </w:rPr>
        <w:t xml:space="preserve">Annex 3, </w:t>
      </w:r>
    </w:p>
    <w:p w:rsidR="00044B52" w:rsidRPr="00B32C19" w:rsidRDefault="00044B52" w:rsidP="00044B52">
      <w:pPr>
        <w:spacing w:after="120"/>
        <w:ind w:left="1134" w:right="1134"/>
        <w:jc w:val="both"/>
      </w:pPr>
      <w:r w:rsidRPr="00B32C19">
        <w:rPr>
          <w:i/>
        </w:rPr>
        <w:t xml:space="preserve">Paragraph 1., </w:t>
      </w:r>
      <w:r w:rsidRPr="00B32C19">
        <w:t xml:space="preserve">amend to read: </w:t>
      </w:r>
    </w:p>
    <w:p w:rsidR="00044B52" w:rsidRPr="00B32C19" w:rsidRDefault="00044B52" w:rsidP="00044B52">
      <w:pPr>
        <w:spacing w:after="120"/>
        <w:ind w:left="1134" w:right="1134"/>
        <w:jc w:val="both"/>
      </w:pPr>
      <w:r w:rsidRPr="00B32C19">
        <w:t xml:space="preserve">"1. </w:t>
      </w:r>
      <w:r w:rsidRPr="00B32C19">
        <w:tab/>
      </w:r>
      <w:r w:rsidRPr="00B32C19">
        <w:tab/>
        <w:t>Measuring instruments</w:t>
      </w:r>
    </w:p>
    <w:p w:rsidR="00044B52" w:rsidRPr="00B32C19" w:rsidRDefault="00044B52" w:rsidP="00044B52">
      <w:pPr>
        <w:spacing w:after="120"/>
        <w:ind w:left="1134" w:right="1134"/>
        <w:jc w:val="both"/>
      </w:pPr>
      <w:r w:rsidRPr="00B32C19">
        <w:t xml:space="preserve">1.1. </w:t>
      </w:r>
      <w:r w:rsidRPr="00B32C19">
        <w:tab/>
      </w:r>
      <w:r w:rsidRPr="00B32C19">
        <w:tab/>
        <w:t>Acoustic measurements</w:t>
      </w:r>
    </w:p>
    <w:p w:rsidR="00044B52" w:rsidRPr="00B32C19" w:rsidRDefault="00044B52" w:rsidP="00044B52">
      <w:pPr>
        <w:spacing w:after="120"/>
        <w:ind w:left="2268" w:right="1134"/>
        <w:jc w:val="both"/>
      </w:pPr>
      <w:r w:rsidRPr="00B32C19">
        <w:t>The apparatus used for measuring the sound level shall be a precision sound-level meter or equivalent measurement system meeting the requirements of Class 1 instruments (inclusive of the recommended windscreen, if used). These requirements are described in "IEC 61672- 1:2002: Precision sound level meters", second edition, of the International Electrotechnical Commission (IEC).</w:t>
      </w:r>
    </w:p>
    <w:p w:rsidR="00044B52" w:rsidRPr="00B32C19" w:rsidRDefault="00044B52" w:rsidP="003F1EDB">
      <w:pPr>
        <w:spacing w:after="100" w:line="220" w:lineRule="atLeast"/>
        <w:ind w:left="2268" w:right="1134"/>
        <w:jc w:val="both"/>
        <w:rPr>
          <w:b/>
        </w:rPr>
      </w:pPr>
      <w:r w:rsidRPr="00B32C19">
        <w:lastRenderedPageBreak/>
        <w:tab/>
      </w:r>
      <w:r w:rsidRPr="00B32C19">
        <w:rPr>
          <w:b/>
        </w:rPr>
        <w:t>For indoor testing, when no general statement or conclusion can be made about conformance of the sound level meter by each channel of the array conformance (e.g. when pass-by sound level simulation algorithms do not compute the overall level but spectrum or temporal to recompose it), a simulated pass-by run shall be performed at a constant speed of 50 km/h while a constant tone signal is supplied to all channels of the arrays. The simulated A-weighted sound level is processed and the deviation from a reference tone signal shall be checked in accordance to IEC 61672-3.</w:t>
      </w:r>
    </w:p>
    <w:p w:rsidR="00044B52" w:rsidRPr="00B32C19" w:rsidRDefault="00044B52" w:rsidP="003F1EDB">
      <w:pPr>
        <w:tabs>
          <w:tab w:val="left" w:pos="1320"/>
        </w:tabs>
        <w:spacing w:after="100" w:line="220" w:lineRule="atLeast"/>
        <w:ind w:left="1134" w:right="1134"/>
        <w:jc w:val="both"/>
      </w:pPr>
      <w:r w:rsidRPr="00B32C19">
        <w:tab/>
      </w:r>
      <w:r w:rsidRPr="00B32C19">
        <w:tab/>
      </w:r>
      <w:r w:rsidRPr="00B32C19">
        <w:tab/>
        <w:t xml:space="preserve">…" </w:t>
      </w:r>
    </w:p>
    <w:p w:rsidR="00044B52" w:rsidRPr="00B32C19" w:rsidRDefault="00044B52" w:rsidP="00044B52">
      <w:pPr>
        <w:spacing w:after="120"/>
        <w:ind w:left="1134" w:right="1134"/>
        <w:jc w:val="both"/>
        <w:rPr>
          <w:i/>
        </w:rPr>
      </w:pPr>
      <w:r w:rsidRPr="00B32C19">
        <w:rPr>
          <w:i/>
        </w:rPr>
        <w:t xml:space="preserve">Paragraph 1.2., </w:t>
      </w:r>
      <w:r w:rsidRPr="00B32C19">
        <w:t xml:space="preserve">amend to read: </w:t>
      </w:r>
    </w:p>
    <w:p w:rsidR="00044B52" w:rsidRPr="00B32C19" w:rsidRDefault="00044B52" w:rsidP="003F1EDB">
      <w:pPr>
        <w:tabs>
          <w:tab w:val="left" w:pos="1320"/>
        </w:tabs>
        <w:spacing w:after="120" w:line="220" w:lineRule="atLeast"/>
        <w:ind w:left="2268" w:right="1134" w:hanging="1134"/>
        <w:jc w:val="both"/>
      </w:pPr>
      <w:r w:rsidRPr="00B32C19">
        <w:t xml:space="preserve">"1.2. </w:t>
      </w:r>
      <w:r w:rsidRPr="00B32C19">
        <w:tab/>
      </w:r>
      <w:r w:rsidRPr="00B32C19">
        <w:tab/>
        <w:t>Calibration of the entire Acoustic Measurement System for a Measurement Session</w:t>
      </w:r>
    </w:p>
    <w:p w:rsidR="00044B52" w:rsidRPr="00B32C19" w:rsidRDefault="00044B52" w:rsidP="003F1EDB">
      <w:pPr>
        <w:tabs>
          <w:tab w:val="left" w:pos="1320"/>
        </w:tabs>
        <w:spacing w:after="120" w:line="220" w:lineRule="atLeast"/>
        <w:ind w:left="1134" w:right="1134"/>
        <w:jc w:val="both"/>
      </w:pPr>
      <w:r w:rsidRPr="00B32C19">
        <w:tab/>
      </w:r>
      <w:r w:rsidRPr="00B32C19">
        <w:tab/>
      </w:r>
      <w:r w:rsidRPr="00B32C19">
        <w:tab/>
        <w:t xml:space="preserve">… </w:t>
      </w:r>
    </w:p>
    <w:p w:rsidR="00044B52" w:rsidRPr="00B32C19" w:rsidRDefault="00044B52" w:rsidP="003F1EDB">
      <w:pPr>
        <w:spacing w:after="120" w:line="220" w:lineRule="atLeast"/>
        <w:ind w:left="2268" w:right="1134"/>
        <w:jc w:val="both"/>
        <w:rPr>
          <w:b/>
        </w:rPr>
      </w:pPr>
      <w:r w:rsidRPr="00B32C19">
        <w:rPr>
          <w:b/>
        </w:rPr>
        <w:t>For indoor testing, the entire measurement system shall be checked at the beginning and at the end of a series of sessions.</w:t>
      </w:r>
    </w:p>
    <w:p w:rsidR="00044B52" w:rsidRPr="00B32C19" w:rsidRDefault="00044B52" w:rsidP="003F1EDB">
      <w:pPr>
        <w:spacing w:after="120" w:line="220" w:lineRule="atLeast"/>
        <w:ind w:left="2268" w:right="1134"/>
        <w:jc w:val="both"/>
        <w:rPr>
          <w:b/>
        </w:rPr>
      </w:pPr>
      <w:r w:rsidRPr="00B32C19">
        <w:rPr>
          <w:b/>
        </w:rPr>
        <w:t>A qualified calibration method (i.e. electrical calibration) is recommended to be provided by the hardware supplier and, in that case, shall be implemented in the measurement software used. Simulation algorithms using sound source localization detection should deactivate that feature for these tests."</w:t>
      </w:r>
    </w:p>
    <w:p w:rsidR="00044B52" w:rsidRPr="00B32C19" w:rsidRDefault="00044B52" w:rsidP="003F1EDB">
      <w:pPr>
        <w:spacing w:after="100" w:line="220" w:lineRule="atLeast"/>
        <w:ind w:left="1134" w:right="1134"/>
        <w:jc w:val="both"/>
        <w:rPr>
          <w:i/>
        </w:rPr>
      </w:pPr>
      <w:r w:rsidRPr="00B32C19">
        <w:rPr>
          <w:i/>
        </w:rPr>
        <w:t xml:space="preserve">Paragraph 2.1., </w:t>
      </w:r>
      <w:r w:rsidRPr="00B32C19">
        <w:t xml:space="preserve">amend to read: </w:t>
      </w:r>
    </w:p>
    <w:p w:rsidR="00044B52" w:rsidRPr="00B32C19" w:rsidRDefault="00044B52" w:rsidP="003F1EDB">
      <w:pPr>
        <w:pStyle w:val="para"/>
        <w:spacing w:after="100" w:line="220" w:lineRule="atLeast"/>
        <w:ind w:left="1134" w:firstLine="0"/>
        <w:rPr>
          <w:lang w:val="en-GB"/>
        </w:rPr>
      </w:pPr>
      <w:r w:rsidRPr="00B32C19">
        <w:rPr>
          <w:lang w:val="en-GB"/>
        </w:rPr>
        <w:t xml:space="preserve">"2.1. </w:t>
      </w:r>
      <w:r w:rsidRPr="00B32C19">
        <w:rPr>
          <w:lang w:val="en-GB"/>
        </w:rPr>
        <w:tab/>
      </w:r>
      <w:r w:rsidRPr="00B32C19">
        <w:rPr>
          <w:lang w:val="en-GB"/>
        </w:rPr>
        <w:tab/>
        <w:t>Test Site and ambient conditions</w:t>
      </w:r>
    </w:p>
    <w:p w:rsidR="00044B52" w:rsidRPr="00B32C19" w:rsidRDefault="00044B52" w:rsidP="003F1EDB">
      <w:pPr>
        <w:pStyle w:val="para"/>
        <w:spacing w:after="100" w:line="220" w:lineRule="atLeast"/>
        <w:ind w:firstLine="0"/>
        <w:rPr>
          <w:b/>
          <w:lang w:val="en-GB"/>
        </w:rPr>
      </w:pPr>
      <w:r w:rsidRPr="00B32C19">
        <w:rPr>
          <w:b/>
          <w:lang w:val="en-GB"/>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rsidR="00044B52" w:rsidRPr="00B32C19" w:rsidRDefault="00044B52" w:rsidP="003F1EDB">
      <w:pPr>
        <w:pStyle w:val="para"/>
        <w:spacing w:after="100" w:line="220" w:lineRule="atLeast"/>
        <w:ind w:left="1134" w:firstLine="0"/>
        <w:rPr>
          <w:b/>
          <w:lang w:val="en-GB"/>
        </w:rPr>
      </w:pPr>
      <w:r w:rsidRPr="00B32C19">
        <w:rPr>
          <w:b/>
          <w:lang w:val="en-GB"/>
        </w:rPr>
        <w:t xml:space="preserve">2.1.1. </w:t>
      </w:r>
      <w:r w:rsidRPr="00B32C19">
        <w:rPr>
          <w:b/>
          <w:lang w:val="en-GB"/>
        </w:rPr>
        <w:tab/>
      </w:r>
      <w:r w:rsidRPr="00B32C19">
        <w:rPr>
          <w:b/>
          <w:lang w:val="en-GB"/>
        </w:rPr>
        <w:tab/>
        <w:t>Test Site Outdoor</w:t>
      </w:r>
    </w:p>
    <w:p w:rsidR="00044B52" w:rsidRPr="00B32C19" w:rsidRDefault="00044B52" w:rsidP="003F1EDB">
      <w:pPr>
        <w:pStyle w:val="para"/>
        <w:spacing w:after="100" w:line="220" w:lineRule="atLeast"/>
        <w:ind w:firstLine="0"/>
        <w:rPr>
          <w:lang w:val="en-GB"/>
        </w:rPr>
      </w:pPr>
      <w:r w:rsidRPr="00B32C19">
        <w:rPr>
          <w:lang w:val="en-GB"/>
        </w:rPr>
        <w:t>The surface of the test track and the dimensions of the test site shall be in accordance with ISO 10844:2014.</w:t>
      </w:r>
    </w:p>
    <w:p w:rsidR="00044B52" w:rsidRPr="00B32C19" w:rsidRDefault="00044B52" w:rsidP="003F1EDB">
      <w:pPr>
        <w:pStyle w:val="para"/>
        <w:spacing w:after="100" w:line="220" w:lineRule="atLeast"/>
        <w:ind w:left="1134" w:firstLine="0"/>
        <w:rPr>
          <w:b/>
          <w:lang w:val="en-GB"/>
        </w:rPr>
      </w:pPr>
      <w:r w:rsidRPr="00B32C19">
        <w:rPr>
          <w:b/>
          <w:lang w:val="en-GB"/>
        </w:rPr>
        <w:t xml:space="preserve">2.1.2. </w:t>
      </w:r>
      <w:r w:rsidRPr="00B32C19">
        <w:rPr>
          <w:b/>
          <w:lang w:val="en-GB"/>
        </w:rPr>
        <w:tab/>
      </w:r>
      <w:r w:rsidRPr="00B32C19">
        <w:rPr>
          <w:b/>
          <w:lang w:val="en-GB"/>
        </w:rPr>
        <w:tab/>
        <w:t>Test Site Indoor</w:t>
      </w:r>
    </w:p>
    <w:p w:rsidR="00044B52" w:rsidRPr="00B32C19" w:rsidRDefault="00044B52" w:rsidP="003F1EDB">
      <w:pPr>
        <w:pStyle w:val="para"/>
        <w:spacing w:after="100" w:line="220" w:lineRule="atLeast"/>
        <w:ind w:left="1701" w:firstLine="567"/>
        <w:rPr>
          <w:b/>
          <w:lang w:val="en-GB"/>
        </w:rPr>
      </w:pPr>
      <w:r w:rsidRPr="00B32C19">
        <w:rPr>
          <w:b/>
          <w:lang w:val="en-GB"/>
        </w:rPr>
        <w:t>Test Site Indoor requirements shall be as specified below.</w:t>
      </w:r>
    </w:p>
    <w:p w:rsidR="00044B52" w:rsidRPr="00B32C19" w:rsidRDefault="00044B52" w:rsidP="003F1EDB">
      <w:pPr>
        <w:pStyle w:val="para"/>
        <w:numPr>
          <w:ilvl w:val="0"/>
          <w:numId w:val="21"/>
        </w:numPr>
        <w:suppressAutoHyphens/>
        <w:spacing w:after="100" w:line="220" w:lineRule="atLeast"/>
        <w:ind w:left="2835" w:hanging="567"/>
        <w:rPr>
          <w:b/>
          <w:lang w:val="en-GB"/>
        </w:rPr>
      </w:pPr>
      <w:r w:rsidRPr="00B32C19">
        <w:rPr>
          <w:b/>
          <w:lang w:val="en-GB"/>
        </w:rPr>
        <w:t>The test room dimensions are described in paragraph 7.2. of ISO 362-3:2016. All room dimensions may be adjusted to meet the specific application for the products being tested according to Annex 8, paragraph 4.</w:t>
      </w:r>
    </w:p>
    <w:p w:rsidR="00044B52" w:rsidRPr="00B32C19" w:rsidRDefault="00044B52" w:rsidP="003F1EDB">
      <w:pPr>
        <w:pStyle w:val="para"/>
        <w:numPr>
          <w:ilvl w:val="0"/>
          <w:numId w:val="21"/>
        </w:numPr>
        <w:suppressAutoHyphens/>
        <w:spacing w:after="100" w:line="220" w:lineRule="atLeast"/>
        <w:ind w:left="2835" w:hanging="567"/>
        <w:rPr>
          <w:b/>
          <w:lang w:val="en-GB"/>
        </w:rPr>
      </w:pPr>
      <w:r w:rsidRPr="00B32C19">
        <w:rPr>
          <w:b/>
          <w:lang w:val="en-GB"/>
        </w:rPr>
        <w:t xml:space="preserve">The test facility shall meet the requirements of ISO 26101:2012 with the qualification criteria and measurement requirements appropriate to this test method as described in ISO 362-3:2016, paragraph 7.3. </w:t>
      </w:r>
    </w:p>
    <w:p w:rsidR="00044B52" w:rsidRPr="00B32C19" w:rsidRDefault="00044B52" w:rsidP="003F1EDB">
      <w:pPr>
        <w:pStyle w:val="para"/>
        <w:numPr>
          <w:ilvl w:val="0"/>
          <w:numId w:val="21"/>
        </w:numPr>
        <w:suppressAutoHyphens/>
        <w:spacing w:after="100" w:line="220" w:lineRule="atLeast"/>
        <w:ind w:left="2835" w:hanging="567"/>
        <w:rPr>
          <w:b/>
          <w:lang w:val="en-GB"/>
        </w:rPr>
      </w:pPr>
      <w:r w:rsidRPr="00B32C19">
        <w:rPr>
          <w:b/>
          <w:lang w:val="en-GB"/>
        </w:rPr>
        <w:t>Condition of the floor is described in ISO 362-3:2016, paragraph 7.4.</w:t>
      </w:r>
    </w:p>
    <w:p w:rsidR="00044B52" w:rsidRPr="00B32C19" w:rsidRDefault="00044B52" w:rsidP="003F1EDB">
      <w:pPr>
        <w:pStyle w:val="para"/>
        <w:numPr>
          <w:ilvl w:val="0"/>
          <w:numId w:val="21"/>
        </w:numPr>
        <w:suppressAutoHyphens/>
        <w:spacing w:after="100" w:line="220" w:lineRule="atLeast"/>
        <w:ind w:left="2835" w:hanging="567"/>
        <w:rPr>
          <w:b/>
          <w:lang w:val="en-GB"/>
        </w:rPr>
      </w:pPr>
      <w:r w:rsidRPr="00B32C19">
        <w:rPr>
          <w:b/>
          <w:bCs/>
          <w:lang w:val="en-GB"/>
        </w:rPr>
        <w:t>Cooling, ventilation, and exhaust gas management</w:t>
      </w:r>
      <w:r w:rsidRPr="00B32C19">
        <w:rPr>
          <w:b/>
          <w:lang w:val="en-GB"/>
        </w:rPr>
        <w:t xml:space="preserve"> are described in ISO 362-3:2016, paragraph 7.5.</w:t>
      </w:r>
    </w:p>
    <w:p w:rsidR="00044B52" w:rsidRPr="00B32C19" w:rsidRDefault="00044B52" w:rsidP="00044B52">
      <w:pPr>
        <w:pStyle w:val="para"/>
        <w:numPr>
          <w:ilvl w:val="0"/>
          <w:numId w:val="21"/>
        </w:numPr>
        <w:suppressAutoHyphens/>
        <w:ind w:left="2835" w:hanging="567"/>
        <w:rPr>
          <w:b/>
          <w:lang w:val="en-GB"/>
        </w:rPr>
      </w:pPr>
      <w:r w:rsidRPr="00B32C19">
        <w:rPr>
          <w:b/>
          <w:lang w:val="en-GB"/>
        </w:rPr>
        <w:t>Dynamometer requirements are described in ISO 362-3:2016, paragraph 8.</w:t>
      </w:r>
    </w:p>
    <w:p w:rsidR="00044B52" w:rsidRPr="00B32C19" w:rsidRDefault="00044B52" w:rsidP="00044B52">
      <w:pPr>
        <w:pStyle w:val="para"/>
        <w:numPr>
          <w:ilvl w:val="0"/>
          <w:numId w:val="21"/>
        </w:numPr>
        <w:suppressAutoHyphens/>
        <w:ind w:left="2835" w:hanging="567"/>
        <w:rPr>
          <w:b/>
          <w:lang w:val="en-GB"/>
        </w:rPr>
      </w:pPr>
      <w:r w:rsidRPr="00B32C19">
        <w:rPr>
          <w:b/>
          <w:lang w:val="en-GB"/>
        </w:rPr>
        <w:lastRenderedPageBreak/>
        <w:t>Vehicle fixing system is described in ISO 362-3:2016, paragraph 9.3.</w:t>
      </w:r>
    </w:p>
    <w:p w:rsidR="00044B52" w:rsidRPr="00B32C19" w:rsidRDefault="00044B52" w:rsidP="00044B52">
      <w:pPr>
        <w:pStyle w:val="para"/>
        <w:ind w:left="1134" w:firstLine="0"/>
        <w:rPr>
          <w:b/>
          <w:lang w:val="en-GB"/>
        </w:rPr>
      </w:pPr>
      <w:r w:rsidRPr="00B32C19">
        <w:rPr>
          <w:b/>
          <w:lang w:val="en-GB"/>
        </w:rPr>
        <w:t xml:space="preserve">2.1.3. </w:t>
      </w:r>
      <w:r w:rsidRPr="00B32C19">
        <w:rPr>
          <w:b/>
          <w:lang w:val="en-GB"/>
        </w:rPr>
        <w:tab/>
      </w:r>
      <w:r w:rsidRPr="00B32C19">
        <w:rPr>
          <w:b/>
          <w:lang w:val="en-GB"/>
        </w:rPr>
        <w:tab/>
        <w:t>Ambient conditions</w:t>
      </w:r>
    </w:p>
    <w:p w:rsidR="00044B52" w:rsidRPr="00B32C19" w:rsidRDefault="00044B52" w:rsidP="00044B52">
      <w:pPr>
        <w:pStyle w:val="para"/>
        <w:ind w:firstLine="0"/>
        <w:rPr>
          <w:lang w:val="en-GB"/>
        </w:rPr>
      </w:pPr>
      <w:r w:rsidRPr="00B32C19">
        <w:rPr>
          <w:lang w:val="en-GB"/>
        </w:rPr>
        <w:t xml:space="preserve">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 </w:t>
      </w:r>
    </w:p>
    <w:p w:rsidR="00044B52" w:rsidRPr="00B32C19" w:rsidRDefault="00044B52" w:rsidP="00044B52">
      <w:pPr>
        <w:pStyle w:val="para"/>
        <w:ind w:firstLine="0"/>
        <w:rPr>
          <w:lang w:val="en-GB"/>
        </w:rPr>
      </w:pPr>
      <w:r w:rsidRPr="00B32C19">
        <w:rPr>
          <w:lang w:val="en-GB"/>
        </w:rPr>
        <w:t>…</w:t>
      </w:r>
    </w:p>
    <w:p w:rsidR="00044B52" w:rsidRPr="00B32C19" w:rsidRDefault="00044B52" w:rsidP="00044B52">
      <w:pPr>
        <w:pStyle w:val="para"/>
        <w:ind w:firstLine="0"/>
        <w:rPr>
          <w:b/>
          <w:lang w:val="en-GB"/>
        </w:rPr>
      </w:pPr>
      <w:r w:rsidRPr="00B32C19">
        <w:rPr>
          <w:b/>
          <w:lang w:val="en-GB"/>
        </w:rPr>
        <w:t>For indoor testing, background noise shall take into account noise emissions produced by the dynamometer rollers, ventilation systems, and facility exhaust gas systems."</w:t>
      </w:r>
    </w:p>
    <w:p w:rsidR="00044B52" w:rsidRPr="00B32C19" w:rsidRDefault="00044B52" w:rsidP="00044B52">
      <w:pPr>
        <w:spacing w:after="120"/>
        <w:ind w:left="1134" w:right="1134"/>
        <w:jc w:val="both"/>
      </w:pPr>
      <w:r w:rsidRPr="00B32C19">
        <w:rPr>
          <w:i/>
        </w:rPr>
        <w:t xml:space="preserve">Paragraph 2.2.1., </w:t>
      </w:r>
      <w:r w:rsidRPr="00B32C19">
        <w:t xml:space="preserve">amend to read: </w:t>
      </w:r>
    </w:p>
    <w:p w:rsidR="00044B52" w:rsidRPr="00B32C19" w:rsidRDefault="00044B52" w:rsidP="00044B52">
      <w:pPr>
        <w:spacing w:after="120"/>
        <w:ind w:left="1134" w:right="1134"/>
        <w:jc w:val="both"/>
      </w:pPr>
      <w:r w:rsidRPr="00B32C19">
        <w:t>"2.2.1.</w:t>
      </w:r>
      <w:r w:rsidRPr="00B32C19">
        <w:tab/>
      </w:r>
      <w:r w:rsidRPr="00B32C19">
        <w:tab/>
        <w:t xml:space="preserve">… </w:t>
      </w:r>
    </w:p>
    <w:p w:rsidR="00044B52" w:rsidRPr="00B32C19" w:rsidRDefault="00044B52" w:rsidP="00044B52">
      <w:pPr>
        <w:spacing w:after="120"/>
        <w:ind w:left="2268" w:right="1134"/>
        <w:jc w:val="both"/>
      </w:pPr>
      <w:r w:rsidRPr="00B32C19">
        <w:t>Measurements shall be made on vehicles at the test mass m</w:t>
      </w:r>
      <w:r w:rsidRPr="00B32C19">
        <w:rPr>
          <w:vertAlign w:val="subscript"/>
        </w:rPr>
        <w:t>t</w:t>
      </w:r>
      <w:r w:rsidRPr="00B32C19">
        <w:t xml:space="preserve"> specified according to the following table. </w:t>
      </w:r>
    </w:p>
    <w:p w:rsidR="00044B52" w:rsidRPr="00B32C19" w:rsidRDefault="00044B52" w:rsidP="00044B52">
      <w:pPr>
        <w:spacing w:after="120"/>
        <w:ind w:left="2268" w:right="1134"/>
        <w:jc w:val="both"/>
        <w:rPr>
          <w:b/>
          <w:bCs/>
          <w:color w:val="212121"/>
        </w:rPr>
      </w:pPr>
      <w:r w:rsidRPr="00B32C19">
        <w:rPr>
          <w:b/>
          <w:bCs/>
          <w:color w:val="212121"/>
        </w:rPr>
        <w:t xml:space="preserve">When testing indoors, the test mass, </w:t>
      </w:r>
      <w:r w:rsidRPr="00B32C19">
        <w:rPr>
          <w:b/>
          <w:bCs/>
          <w:i/>
          <w:iCs/>
          <w:color w:val="212121"/>
        </w:rPr>
        <w:t>m</w:t>
      </w:r>
      <w:r w:rsidRPr="00B32C19">
        <w:rPr>
          <w:b/>
          <w:bCs/>
          <w:color w:val="212121"/>
          <w:vertAlign w:val="subscript"/>
        </w:rPr>
        <w:t>t</w:t>
      </w:r>
      <w:r w:rsidRPr="00B32C19">
        <w:rPr>
          <w:b/>
          <w:bCs/>
          <w:color w:val="212121"/>
        </w:rPr>
        <w:t xml:space="preserve"> shall</w:t>
      </w:r>
      <w:r w:rsidRPr="00B32C19">
        <w:rPr>
          <w:b/>
          <w:bCs/>
          <w:color w:val="FF0000"/>
        </w:rPr>
        <w:t xml:space="preserve"> </w:t>
      </w:r>
      <w:r w:rsidRPr="00B32C19">
        <w:rPr>
          <w:b/>
          <w:bCs/>
          <w:color w:val="212121"/>
        </w:rPr>
        <w:t>be utilized by the control system of the dyno roller.  Actual mass of the vehicle has no effect on results and it is permitted to load the vehicle as necessary to prevent slip between the t</w:t>
      </w:r>
      <w:r w:rsidR="00E10125">
        <w:rPr>
          <w:b/>
          <w:bCs/>
          <w:color w:val="212121"/>
        </w:rPr>
        <w:t>y</w:t>
      </w:r>
      <w:r w:rsidRPr="00B32C19">
        <w:rPr>
          <w:b/>
          <w:bCs/>
          <w:color w:val="212121"/>
        </w:rPr>
        <w:t xml:space="preserve">res and the dyno rolls. To detect excessive slip, it is recommended to control the ratio of engine rotational speed and vehicle speed between the acceleration phase and the constant-speed status. To avoid slip, it is possible to increase the axle load. </w:t>
      </w:r>
    </w:p>
    <w:p w:rsidR="00044B52" w:rsidRPr="00B32C19" w:rsidRDefault="00044B52" w:rsidP="00044B52">
      <w:pPr>
        <w:spacing w:after="120"/>
        <w:ind w:left="1701" w:right="1134" w:firstLine="567"/>
        <w:jc w:val="both"/>
      </w:pPr>
      <w:r w:rsidRPr="00B32C19">
        <w:t xml:space="preserve"> … "</w:t>
      </w:r>
    </w:p>
    <w:p w:rsidR="00044B52" w:rsidRPr="00B32C19" w:rsidRDefault="00044B52" w:rsidP="00044B52">
      <w:pPr>
        <w:spacing w:after="120"/>
        <w:ind w:left="1134" w:right="1134"/>
        <w:jc w:val="both"/>
        <w:rPr>
          <w:i/>
        </w:rPr>
      </w:pPr>
      <w:r w:rsidRPr="00B32C19">
        <w:rPr>
          <w:i/>
        </w:rPr>
        <w:t xml:space="preserve">Paragraph 2.2.2., </w:t>
      </w:r>
      <w:r w:rsidRPr="00B32C19">
        <w:t xml:space="preserve">amend to read: </w:t>
      </w:r>
    </w:p>
    <w:p w:rsidR="00044B52" w:rsidRPr="00B32C19" w:rsidRDefault="00044B52" w:rsidP="00044B52">
      <w:pPr>
        <w:spacing w:after="120"/>
        <w:ind w:left="1134" w:right="1134"/>
        <w:jc w:val="both"/>
      </w:pPr>
      <w:r w:rsidRPr="00B32C19">
        <w:t>"2.2.2.</w:t>
      </w:r>
      <w:r w:rsidRPr="00B32C19">
        <w:tab/>
      </w:r>
      <w:r w:rsidRPr="00B32C19">
        <w:tab/>
        <w:t xml:space="preserve">… </w:t>
      </w:r>
    </w:p>
    <w:p w:rsidR="00044B52" w:rsidRPr="00B32C19" w:rsidRDefault="00044B52" w:rsidP="00044B52">
      <w:pPr>
        <w:spacing w:after="120"/>
        <w:ind w:left="2268" w:right="1134"/>
        <w:jc w:val="both"/>
        <w:rPr>
          <w:b/>
        </w:rPr>
      </w:pPr>
      <w:r w:rsidRPr="00B32C19">
        <w:rPr>
          <w:b/>
        </w:rPr>
        <w:t>When performing indoor testing, tyre/road sound is evaluated independently on the test track with the tyres to be used, according to this paragraph. Propulsion sound is independently evaluated on the dynamometer using t</w:t>
      </w:r>
      <w:r w:rsidR="00E10125">
        <w:rPr>
          <w:b/>
        </w:rPr>
        <w:t>y</w:t>
      </w:r>
      <w:r w:rsidRPr="00B32C19">
        <w:rPr>
          <w:b/>
        </w:rPr>
        <w:t xml:space="preserve">res and other sound control measures to produce tyre/road sound which does not influence the measurement result." </w:t>
      </w:r>
    </w:p>
    <w:p w:rsidR="00044B52" w:rsidRPr="00B32C19" w:rsidRDefault="00044B52" w:rsidP="00044B52">
      <w:pPr>
        <w:spacing w:after="120"/>
        <w:ind w:left="1134" w:right="1134"/>
        <w:jc w:val="both"/>
      </w:pPr>
      <w:r w:rsidRPr="00B32C19">
        <w:rPr>
          <w:i/>
        </w:rPr>
        <w:t xml:space="preserve">Paragraph 3., </w:t>
      </w:r>
      <w:r w:rsidRPr="00B32C19">
        <w:t xml:space="preserve">amend to read: </w:t>
      </w:r>
    </w:p>
    <w:p w:rsidR="00044B52" w:rsidRPr="00B32C19" w:rsidRDefault="00044B52" w:rsidP="00044B52">
      <w:pPr>
        <w:pStyle w:val="para"/>
        <w:ind w:left="1134" w:firstLine="0"/>
        <w:rPr>
          <w:lang w:val="en-GB"/>
        </w:rPr>
      </w:pPr>
      <w:r w:rsidRPr="00B32C19">
        <w:rPr>
          <w:lang w:val="en-GB"/>
        </w:rPr>
        <w:t xml:space="preserve">"3. </w:t>
      </w:r>
      <w:r w:rsidRPr="00B32C19">
        <w:rPr>
          <w:lang w:val="en-GB"/>
        </w:rPr>
        <w:tab/>
      </w:r>
      <w:r w:rsidRPr="00B32C19">
        <w:rPr>
          <w:lang w:val="en-GB"/>
        </w:rPr>
        <w:tab/>
        <w:t>Methods of testing</w:t>
      </w:r>
    </w:p>
    <w:p w:rsidR="00044B52" w:rsidRPr="00B32C19" w:rsidRDefault="00E10125" w:rsidP="00044B52">
      <w:pPr>
        <w:pStyle w:val="para"/>
        <w:ind w:firstLine="0"/>
        <w:rPr>
          <w:b/>
          <w:lang w:val="en-GB"/>
        </w:rPr>
      </w:pPr>
      <w:r>
        <w:rPr>
          <w:b/>
          <w:lang w:val="en-GB"/>
        </w:rPr>
        <w:t>O</w:t>
      </w:r>
      <w:r w:rsidR="00044B52" w:rsidRPr="00B32C19">
        <w:rPr>
          <w:b/>
          <w:lang w:val="en-GB"/>
        </w:rPr>
        <w:t>utdoor tests shall be performed according to paragraph 3.1.</w:t>
      </w:r>
    </w:p>
    <w:p w:rsidR="00044B52" w:rsidRPr="00B32C19" w:rsidRDefault="00E10125" w:rsidP="00044B52">
      <w:pPr>
        <w:pStyle w:val="para"/>
        <w:ind w:firstLine="0"/>
        <w:rPr>
          <w:b/>
          <w:lang w:val="en-GB"/>
        </w:rPr>
      </w:pPr>
      <w:r>
        <w:rPr>
          <w:b/>
          <w:lang w:val="en-GB"/>
        </w:rPr>
        <w:t>I</w:t>
      </w:r>
      <w:r w:rsidR="00044B52" w:rsidRPr="00B32C19">
        <w:rPr>
          <w:b/>
          <w:lang w:val="en-GB"/>
        </w:rPr>
        <w:t>ndoor tests shall be performed according to paragraph 3.1. using the specifications of ISO 362-3:2016, variant A. For indoor application, the manufacturer shall provide to the technical service</w:t>
      </w:r>
      <w:r w:rsidR="000F0273">
        <w:rPr>
          <w:b/>
          <w:lang w:val="en-GB"/>
        </w:rPr>
        <w:t>,</w:t>
      </w:r>
      <w:r w:rsidR="00044B52" w:rsidRPr="00B32C19">
        <w:rPr>
          <w:b/>
          <w:lang w:val="en-GB"/>
        </w:rPr>
        <w:t xml:space="preserve"> documentation according to Annex 8, paragraph 1.  Variant A is a combination of indoor testing (power train sound) and outdoor testing (tyre/road sound). </w:t>
      </w:r>
    </w:p>
    <w:p w:rsidR="00044B52" w:rsidRPr="00B32C19" w:rsidRDefault="00044B52" w:rsidP="00044B52">
      <w:pPr>
        <w:pStyle w:val="para"/>
        <w:ind w:firstLine="0"/>
        <w:rPr>
          <w:lang w:val="en-GB"/>
        </w:rPr>
      </w:pPr>
      <w:r w:rsidRPr="00B32C19">
        <w:rPr>
          <w:lang w:val="en-GB"/>
        </w:rPr>
        <w:t>…”</w:t>
      </w:r>
    </w:p>
    <w:p w:rsidR="00044B52" w:rsidRPr="00B32C19" w:rsidRDefault="00044B52" w:rsidP="00044B52">
      <w:pPr>
        <w:spacing w:after="120"/>
        <w:ind w:left="1134" w:right="1134"/>
        <w:jc w:val="both"/>
      </w:pPr>
      <w:r w:rsidRPr="00B32C19">
        <w:rPr>
          <w:i/>
        </w:rPr>
        <w:t xml:space="preserve">Paragraph 3.1.1., </w:t>
      </w:r>
      <w:r w:rsidRPr="00B32C19">
        <w:t xml:space="preserve">amend to read: </w:t>
      </w:r>
    </w:p>
    <w:p w:rsidR="00044B52" w:rsidRPr="00B32C19" w:rsidRDefault="00044B52" w:rsidP="00044B52">
      <w:pPr>
        <w:pStyle w:val="para"/>
        <w:ind w:left="1134" w:firstLine="0"/>
        <w:rPr>
          <w:lang w:val="en-GB"/>
        </w:rPr>
      </w:pPr>
      <w:r w:rsidRPr="00B32C19">
        <w:rPr>
          <w:lang w:val="en-GB"/>
        </w:rPr>
        <w:t>"3.1.1.</w:t>
      </w:r>
      <w:r w:rsidRPr="00B32C19">
        <w:rPr>
          <w:lang w:val="en-GB"/>
        </w:rPr>
        <w:tab/>
      </w:r>
      <w:r w:rsidRPr="00B32C19">
        <w:rPr>
          <w:lang w:val="en-GB"/>
        </w:rPr>
        <w:tab/>
        <w:t>General conditions of test</w:t>
      </w:r>
    </w:p>
    <w:p w:rsidR="00044B52" w:rsidRPr="00B32C19" w:rsidRDefault="00044B52" w:rsidP="00044B52">
      <w:pPr>
        <w:pStyle w:val="para"/>
        <w:ind w:firstLine="0"/>
        <w:rPr>
          <w:lang w:val="en-GB"/>
        </w:rPr>
      </w:pPr>
      <w:r w:rsidRPr="00B32C19">
        <w:rPr>
          <w:b/>
          <w:lang w:val="en-GB"/>
        </w:rPr>
        <w:lastRenderedPageBreak/>
        <w:t>For outdoor testing, two</w:t>
      </w:r>
      <w:r w:rsidRPr="00B32C19">
        <w:rPr>
          <w:lang w:val="en-GB"/>
        </w:rPr>
        <w:t xml:space="preserve"> lines, AA' and BB', parallel to line PP' and situated respectively 10 m ± 0.05 m forward and 10 m ± 0.05 m rearward of line PP' shall be marked out on the test runway.</w:t>
      </w:r>
    </w:p>
    <w:p w:rsidR="00044B52" w:rsidRPr="00B32C19" w:rsidRDefault="00044B52" w:rsidP="00044B52">
      <w:pPr>
        <w:pStyle w:val="para"/>
        <w:ind w:firstLine="0"/>
        <w:rPr>
          <w:b/>
          <w:lang w:val="en-GB"/>
        </w:rPr>
      </w:pPr>
      <w:r w:rsidRPr="00B32C19">
        <w:rPr>
          <w:b/>
          <w:lang w:val="en-GB"/>
        </w:rPr>
        <w:t>For indoor testing, the virtual line AA</w:t>
      </w:r>
      <w:r w:rsidR="000F0273" w:rsidRPr="00B32C19">
        <w:rPr>
          <w:lang w:val="en-GB"/>
        </w:rPr>
        <w:t>'</w:t>
      </w:r>
      <w:r w:rsidRPr="00B32C19">
        <w:rPr>
          <w:b/>
          <w:lang w:val="en-GB"/>
        </w:rPr>
        <w:t xml:space="preserve"> indicates the beginning of the test track, PP</w:t>
      </w:r>
      <w:r w:rsidR="000F0273" w:rsidRPr="00B32C19">
        <w:rPr>
          <w:lang w:val="en-GB"/>
        </w:rPr>
        <w:t>'</w:t>
      </w:r>
      <w:r w:rsidRPr="00B32C19">
        <w:rPr>
          <w:b/>
          <w:lang w:val="en-GB"/>
        </w:rPr>
        <w:t xml:space="preserve"> indicates the virtual position of the two pass-by microphones, and BB</w:t>
      </w:r>
      <w:r w:rsidR="000F0273" w:rsidRPr="00B32C19">
        <w:rPr>
          <w:lang w:val="en-GB"/>
        </w:rPr>
        <w:t>'</w:t>
      </w:r>
      <w:r w:rsidRPr="00B32C19">
        <w:rPr>
          <w:b/>
          <w:lang w:val="en-GB"/>
        </w:rPr>
        <w:t xml:space="preserve"> indicates the end of the test track. The simulated vehicle speed at AA</w:t>
      </w:r>
      <w:r w:rsidR="000F0273" w:rsidRPr="00B32C19">
        <w:rPr>
          <w:lang w:val="en-GB"/>
        </w:rPr>
        <w:t>'</w:t>
      </w:r>
      <w:r w:rsidRPr="00B32C19">
        <w:rPr>
          <w:b/>
          <w:lang w:val="en-GB"/>
        </w:rPr>
        <w:t>, v</w:t>
      </w:r>
      <w:r w:rsidRPr="00B32C19">
        <w:rPr>
          <w:b/>
          <w:vertAlign w:val="subscript"/>
          <w:lang w:val="en-GB"/>
        </w:rPr>
        <w:t>AA</w:t>
      </w:r>
      <w:r w:rsidR="000F0273" w:rsidRPr="003F48EC">
        <w:rPr>
          <w:vertAlign w:val="subscript"/>
          <w:lang w:val="en-GB"/>
        </w:rPr>
        <w:t>'</w:t>
      </w:r>
      <w:r w:rsidRPr="00B32C19">
        <w:rPr>
          <w:b/>
          <w:lang w:val="en-GB"/>
        </w:rPr>
        <w:t>, or vehicle speed at PP</w:t>
      </w:r>
      <w:r w:rsidR="000F0273" w:rsidRPr="00B32C19">
        <w:rPr>
          <w:lang w:val="en-GB"/>
        </w:rPr>
        <w:t>'</w:t>
      </w:r>
      <w:r w:rsidRPr="00B32C19">
        <w:rPr>
          <w:b/>
          <w:lang w:val="en-GB"/>
        </w:rPr>
        <w:t>, v</w:t>
      </w:r>
      <w:r w:rsidRPr="00B32C19">
        <w:rPr>
          <w:b/>
          <w:vertAlign w:val="subscript"/>
          <w:lang w:val="en-GB"/>
        </w:rPr>
        <w:t>PP</w:t>
      </w:r>
      <w:r w:rsidR="00957104" w:rsidRPr="003F48EC">
        <w:rPr>
          <w:vertAlign w:val="subscript"/>
          <w:lang w:val="en-GB"/>
        </w:rPr>
        <w:t>'</w:t>
      </w:r>
      <w:r w:rsidRPr="00B32C19">
        <w:rPr>
          <w:b/>
          <w:lang w:val="en-GB"/>
        </w:rPr>
        <w:t>, is defined by the roller speed when the reference point of the vehicle passes the virtual line AA</w:t>
      </w:r>
      <w:r w:rsidR="000F0273" w:rsidRPr="00B32C19">
        <w:rPr>
          <w:lang w:val="en-GB"/>
        </w:rPr>
        <w:t>'</w:t>
      </w:r>
      <w:r w:rsidRPr="00B32C19">
        <w:rPr>
          <w:b/>
          <w:lang w:val="en-GB"/>
        </w:rPr>
        <w:t xml:space="preserve"> or PP</w:t>
      </w:r>
      <w:r w:rsidR="000F0273" w:rsidRPr="00B32C19">
        <w:rPr>
          <w:lang w:val="en-GB"/>
        </w:rPr>
        <w:t>'</w:t>
      </w:r>
      <w:r w:rsidRPr="00B32C19">
        <w:rPr>
          <w:b/>
          <w:lang w:val="en-GB"/>
        </w:rPr>
        <w:t>, respectively. The simulated vehicle speed at BB</w:t>
      </w:r>
      <w:r w:rsidR="000F0273" w:rsidRPr="00B32C19">
        <w:rPr>
          <w:lang w:val="en-GB"/>
        </w:rPr>
        <w:t>'</w:t>
      </w:r>
      <w:r w:rsidRPr="00B32C19">
        <w:rPr>
          <w:b/>
          <w:lang w:val="en-GB"/>
        </w:rPr>
        <w:t>, v</w:t>
      </w:r>
      <w:r w:rsidRPr="00B32C19">
        <w:rPr>
          <w:b/>
          <w:vertAlign w:val="subscript"/>
          <w:lang w:val="en-GB"/>
        </w:rPr>
        <w:t>BB</w:t>
      </w:r>
      <w:r w:rsidR="000F0273" w:rsidRPr="006B44AC">
        <w:rPr>
          <w:vertAlign w:val="subscript"/>
          <w:lang w:val="en-GB"/>
        </w:rPr>
        <w:t>'</w:t>
      </w:r>
      <w:r w:rsidRPr="00B32C19">
        <w:rPr>
          <w:b/>
          <w:lang w:val="en-GB"/>
        </w:rPr>
        <w:t>, is defined when the rear of the vehicle passes the virtual line BB</w:t>
      </w:r>
      <w:r w:rsidR="000F0273" w:rsidRPr="00B32C19">
        <w:rPr>
          <w:lang w:val="en-GB"/>
        </w:rPr>
        <w:t>'</w:t>
      </w:r>
      <w:r w:rsidRPr="00B32C19">
        <w:rPr>
          <w:b/>
          <w:lang w:val="en-GB"/>
        </w:rPr>
        <w:t>.</w:t>
      </w:r>
    </w:p>
    <w:p w:rsidR="00044B52" w:rsidRPr="00B32C19" w:rsidRDefault="00044B52" w:rsidP="00044B52">
      <w:pPr>
        <w:pStyle w:val="para"/>
        <w:ind w:left="1701" w:firstLine="567"/>
        <w:rPr>
          <w:lang w:val="en-GB"/>
        </w:rPr>
      </w:pPr>
      <w:r w:rsidRPr="00B32C19">
        <w:rPr>
          <w:lang w:val="en-GB"/>
        </w:rPr>
        <w:t>…"</w:t>
      </w:r>
    </w:p>
    <w:p w:rsidR="00044B52" w:rsidRPr="00B32C19" w:rsidRDefault="00044B52" w:rsidP="00044B52">
      <w:pPr>
        <w:spacing w:after="120"/>
        <w:ind w:left="1134" w:right="1134"/>
        <w:jc w:val="both"/>
      </w:pPr>
      <w:r w:rsidRPr="00B32C19">
        <w:rPr>
          <w:i/>
        </w:rPr>
        <w:t xml:space="preserve">Paragraph 3.1.3., </w:t>
      </w:r>
      <w:r w:rsidRPr="00B32C19">
        <w:t xml:space="preserve">amend to read: </w:t>
      </w:r>
    </w:p>
    <w:p w:rsidR="00044B52" w:rsidRPr="00B32C19" w:rsidRDefault="00044B52" w:rsidP="00044B52">
      <w:pPr>
        <w:pStyle w:val="para"/>
        <w:ind w:left="1134" w:firstLine="0"/>
        <w:rPr>
          <w:lang w:val="en-GB"/>
        </w:rPr>
      </w:pPr>
      <w:r w:rsidRPr="00B32C19">
        <w:rPr>
          <w:lang w:val="en-GB"/>
        </w:rPr>
        <w:t>"3.1.3.</w:t>
      </w:r>
      <w:r w:rsidRPr="00B32C19">
        <w:rPr>
          <w:lang w:val="en-GB"/>
        </w:rPr>
        <w:tab/>
      </w:r>
      <w:r w:rsidRPr="00B32C19">
        <w:rPr>
          <w:lang w:val="en-GB"/>
        </w:rPr>
        <w:tab/>
        <w:t>Interpretation of results</w:t>
      </w:r>
    </w:p>
    <w:p w:rsidR="00044B52" w:rsidRPr="00B32C19" w:rsidRDefault="00044B52" w:rsidP="00044B52">
      <w:pPr>
        <w:suppressAutoHyphens w:val="0"/>
        <w:autoSpaceDE w:val="0"/>
        <w:autoSpaceDN w:val="0"/>
        <w:adjustRightInd w:val="0"/>
        <w:spacing w:after="120"/>
        <w:ind w:left="2268" w:right="1134"/>
        <w:jc w:val="both"/>
      </w:pPr>
      <w:r w:rsidRPr="00B32C19">
        <w:t>For vehicles of categories M</w:t>
      </w:r>
      <w:r w:rsidRPr="00B32C19">
        <w:rPr>
          <w:vertAlign w:val="subscript"/>
        </w:rPr>
        <w:t>1</w:t>
      </w:r>
      <w:r w:rsidRPr="00B32C19">
        <w:t xml:space="preserve"> and M</w:t>
      </w:r>
      <w:r w:rsidRPr="00B32C19">
        <w:rPr>
          <w:vertAlign w:val="subscript"/>
        </w:rPr>
        <w:t>2</w:t>
      </w:r>
      <w:r w:rsidRPr="00B32C19">
        <w:t xml:space="preserve"> having a maximum authorized mass not exceeding 3,500 kg, and category N</w:t>
      </w:r>
      <w:r w:rsidRPr="00B32C19">
        <w:rPr>
          <w:vertAlign w:val="subscript"/>
        </w:rPr>
        <w:t>1</w:t>
      </w:r>
      <w:r w:rsidRPr="00B32C19">
        <w:t xml:space="preserve"> the maximum A-weighted sound pressure level indicated during each passage of the vehicle between the two lines AA' and BB' shall be rounded to the first significant digit after the decimal place (e.g. XX,X). </w:t>
      </w:r>
    </w:p>
    <w:p w:rsidR="00044B52" w:rsidRPr="00B32C19" w:rsidRDefault="00044B52" w:rsidP="00044B52">
      <w:pPr>
        <w:suppressAutoHyphens w:val="0"/>
        <w:autoSpaceDE w:val="0"/>
        <w:autoSpaceDN w:val="0"/>
        <w:adjustRightInd w:val="0"/>
        <w:spacing w:after="120"/>
        <w:ind w:left="2268" w:right="1134"/>
        <w:jc w:val="both"/>
      </w:pPr>
      <w:r w:rsidRPr="00B32C19">
        <w:t>For vehicles of category M</w:t>
      </w:r>
      <w:r w:rsidRPr="00B32C19">
        <w:rPr>
          <w:vertAlign w:val="subscript"/>
        </w:rPr>
        <w:t>2</w:t>
      </w:r>
      <w:r w:rsidRPr="00B32C19">
        <w:t xml:space="preserve"> having a maximum authorized mass exceeding 3,500 kg and categories M</w:t>
      </w:r>
      <w:r w:rsidRPr="00B32C19">
        <w:rPr>
          <w:vertAlign w:val="subscript"/>
        </w:rPr>
        <w:t>3</w:t>
      </w:r>
      <w:r w:rsidRPr="00B32C19">
        <w:t>, N</w:t>
      </w:r>
      <w:r w:rsidRPr="00B32C19">
        <w:rPr>
          <w:vertAlign w:val="subscript"/>
        </w:rPr>
        <w:t>2</w:t>
      </w:r>
      <w:r w:rsidRPr="00B32C19">
        <w:t>, and N</w:t>
      </w:r>
      <w:r w:rsidRPr="00B32C19">
        <w:rPr>
          <w:vertAlign w:val="subscript"/>
        </w:rPr>
        <w:t>3</w:t>
      </w:r>
      <w:r w:rsidRPr="00B32C19">
        <w:t xml:space="preserve"> the maximum A-weighted sound pressure level indicated during each passage of the reference point of the vehicle between line AA’ and line BB’ + 5 m shall be rounded, to the first significant digit after the decimal place (e.g. XX,X).</w:t>
      </w:r>
    </w:p>
    <w:p w:rsidR="00044B52" w:rsidRPr="00B32C19" w:rsidRDefault="00044B52" w:rsidP="00044B52">
      <w:pPr>
        <w:suppressAutoHyphens w:val="0"/>
        <w:autoSpaceDE w:val="0"/>
        <w:autoSpaceDN w:val="0"/>
        <w:adjustRightInd w:val="0"/>
        <w:spacing w:after="120"/>
        <w:ind w:left="2268" w:right="1134"/>
        <w:jc w:val="both"/>
        <w:rPr>
          <w:b/>
        </w:rPr>
      </w:pPr>
      <w:r w:rsidRPr="00B32C19">
        <w:rPr>
          <w:b/>
        </w:rPr>
        <w:t>For indoor testing, pass-by sound is simulated by measurement of power train sound on the dynamometer and energetical addition of the tyre/road sound (measured separately on an outdoor test track) according to Annex 8, paragraph 2 of this Regulation.</w:t>
      </w:r>
    </w:p>
    <w:p w:rsidR="00044B52" w:rsidRPr="00B32C19" w:rsidRDefault="00044B52" w:rsidP="00044B52">
      <w:pPr>
        <w:suppressAutoHyphens w:val="0"/>
        <w:autoSpaceDE w:val="0"/>
        <w:autoSpaceDN w:val="0"/>
        <w:adjustRightInd w:val="0"/>
        <w:spacing w:after="120"/>
        <w:ind w:left="1701" w:right="1134" w:firstLine="567"/>
        <w:jc w:val="both"/>
      </w:pPr>
      <w:r w:rsidRPr="00B32C19">
        <w:t>…"</w:t>
      </w:r>
    </w:p>
    <w:p w:rsidR="00044B52" w:rsidRPr="00B32C19" w:rsidRDefault="00044B52" w:rsidP="00044B52">
      <w:pPr>
        <w:suppressAutoHyphens w:val="0"/>
        <w:autoSpaceDE w:val="0"/>
        <w:autoSpaceDN w:val="0"/>
        <w:adjustRightInd w:val="0"/>
        <w:spacing w:after="120"/>
        <w:ind w:left="1134" w:right="1134"/>
        <w:jc w:val="both"/>
      </w:pPr>
      <w:r w:rsidRPr="00B32C19">
        <w:t xml:space="preserve">Insert </w:t>
      </w:r>
      <w:r w:rsidRPr="00B32C19">
        <w:rPr>
          <w:i/>
        </w:rPr>
        <w:t>a new Annex 8</w:t>
      </w:r>
      <w:r w:rsidRPr="00B32C19">
        <w:t xml:space="preserve"> to read:</w:t>
      </w:r>
    </w:p>
    <w:p w:rsidR="00044B52" w:rsidRPr="00B32C19" w:rsidRDefault="00044B52" w:rsidP="00044B52">
      <w:pPr>
        <w:pStyle w:val="HChG"/>
      </w:pPr>
      <w:r w:rsidRPr="00B32C19">
        <w:rPr>
          <w:b w:val="0"/>
        </w:rPr>
        <w:t>"</w:t>
      </w:r>
      <w:bookmarkStart w:id="1" w:name="_Toc427847366"/>
      <w:r w:rsidRPr="00B32C19">
        <w:t>Annex 8</w:t>
      </w:r>
      <w:bookmarkEnd w:id="1"/>
    </w:p>
    <w:p w:rsidR="00044B52" w:rsidRPr="00B32C19" w:rsidRDefault="00044B52" w:rsidP="00044B52">
      <w:pPr>
        <w:pStyle w:val="HChG"/>
        <w:rPr>
          <w:b w:val="0"/>
        </w:rPr>
      </w:pPr>
      <w:r w:rsidRPr="00B32C19">
        <w:tab/>
      </w:r>
      <w:r w:rsidRPr="00B32C19">
        <w:tab/>
      </w:r>
      <w:bookmarkStart w:id="2" w:name="_Toc427847367"/>
      <w:r w:rsidRPr="00B32C19">
        <w:rPr>
          <w:szCs w:val="28"/>
        </w:rPr>
        <w:t xml:space="preserve">Indoor testing </w:t>
      </w:r>
      <w:bookmarkEnd w:id="2"/>
    </w:p>
    <w:p w:rsidR="00044B52" w:rsidRPr="00B32C19" w:rsidRDefault="00044B52" w:rsidP="003F1EDB">
      <w:pPr>
        <w:spacing w:after="120" w:line="220" w:lineRule="atLeast"/>
        <w:ind w:left="1134" w:right="1134"/>
        <w:jc w:val="both"/>
        <w:rPr>
          <w:b/>
        </w:rPr>
      </w:pPr>
      <w:r w:rsidRPr="00B32C19">
        <w:rPr>
          <w:b/>
        </w:rPr>
        <w:t>1.</w:t>
      </w:r>
      <w:r w:rsidRPr="00B32C19">
        <w:rPr>
          <w:b/>
        </w:rPr>
        <w:tab/>
      </w:r>
      <w:r w:rsidRPr="00B32C19">
        <w:rPr>
          <w:b/>
        </w:rPr>
        <w:tab/>
        <w:t xml:space="preserve">Documentation for indoor application </w:t>
      </w:r>
    </w:p>
    <w:p w:rsidR="00044B52" w:rsidRPr="00B32C19" w:rsidRDefault="00044B52" w:rsidP="003F1EDB">
      <w:pPr>
        <w:spacing w:after="120" w:line="220" w:lineRule="atLeast"/>
        <w:ind w:left="2268" w:right="1134"/>
        <w:jc w:val="both"/>
      </w:pPr>
      <w:r w:rsidRPr="00B32C19">
        <w:rPr>
          <w:b/>
        </w:rPr>
        <w:t>Documentation shall include</w:t>
      </w:r>
      <w:r w:rsidRPr="00B32C19">
        <w:t>:</w:t>
      </w:r>
    </w:p>
    <w:p w:rsidR="00044B52" w:rsidRPr="00B32C19" w:rsidRDefault="00044B52" w:rsidP="003F1EDB">
      <w:pPr>
        <w:pStyle w:val="ListParagraph"/>
        <w:numPr>
          <w:ilvl w:val="0"/>
          <w:numId w:val="22"/>
        </w:numPr>
        <w:suppressAutoHyphens/>
        <w:spacing w:after="120" w:line="220" w:lineRule="atLeast"/>
        <w:ind w:left="2835" w:right="1134" w:hanging="567"/>
        <w:contextualSpacing w:val="0"/>
        <w:jc w:val="both"/>
        <w:rPr>
          <w:b/>
          <w:sz w:val="20"/>
          <w:szCs w:val="20"/>
        </w:rPr>
      </w:pPr>
      <w:r w:rsidRPr="00B32C19">
        <w:rPr>
          <w:b/>
          <w:sz w:val="20"/>
          <w:szCs w:val="20"/>
        </w:rPr>
        <w:t>Validation of facility</w:t>
      </w:r>
      <w:r w:rsidR="00957104">
        <w:rPr>
          <w:b/>
          <w:sz w:val="20"/>
          <w:szCs w:val="20"/>
        </w:rPr>
        <w:t>,</w:t>
      </w:r>
      <w:r w:rsidRPr="00B32C19">
        <w:rPr>
          <w:b/>
          <w:sz w:val="20"/>
          <w:szCs w:val="20"/>
        </w:rPr>
        <w:t xml:space="preserve"> e.g. free field propagation, dyno and air handling background noise level, dyno dynamic performance, software.</w:t>
      </w:r>
    </w:p>
    <w:p w:rsidR="00044B52" w:rsidRPr="00B32C19" w:rsidRDefault="00044B52" w:rsidP="003F1EDB">
      <w:pPr>
        <w:pStyle w:val="ListParagraph"/>
        <w:numPr>
          <w:ilvl w:val="0"/>
          <w:numId w:val="22"/>
        </w:numPr>
        <w:suppressAutoHyphens/>
        <w:spacing w:after="120" w:line="220" w:lineRule="atLeast"/>
        <w:ind w:left="2835" w:right="1134" w:hanging="567"/>
        <w:contextualSpacing w:val="0"/>
        <w:jc w:val="both"/>
        <w:rPr>
          <w:b/>
          <w:sz w:val="20"/>
          <w:szCs w:val="20"/>
        </w:rPr>
      </w:pPr>
      <w:r w:rsidRPr="00B32C19">
        <w:rPr>
          <w:b/>
          <w:sz w:val="20"/>
          <w:szCs w:val="20"/>
        </w:rPr>
        <w:t xml:space="preserve">Procedures to be applied for indoor testing, e.g. dyno and software set-up, loading and tie-down, air-handling and vehicle’s  temperature management. </w:t>
      </w:r>
    </w:p>
    <w:p w:rsidR="00044B52" w:rsidRPr="00B32C19" w:rsidRDefault="00044B52" w:rsidP="003F1EDB">
      <w:pPr>
        <w:pStyle w:val="ListParagraph"/>
        <w:numPr>
          <w:ilvl w:val="0"/>
          <w:numId w:val="22"/>
        </w:numPr>
        <w:suppressAutoHyphens/>
        <w:spacing w:after="120" w:line="220" w:lineRule="atLeast"/>
        <w:ind w:left="2835" w:right="1134" w:hanging="567"/>
        <w:contextualSpacing w:val="0"/>
        <w:jc w:val="both"/>
        <w:rPr>
          <w:b/>
          <w:sz w:val="20"/>
          <w:szCs w:val="20"/>
        </w:rPr>
      </w:pPr>
      <w:r w:rsidRPr="00B32C19">
        <w:rPr>
          <w:b/>
          <w:sz w:val="20"/>
          <w:szCs w:val="20"/>
        </w:rPr>
        <w:t>Coast down and tyre sound level data used for calculation of dynamometer load coefficients and t</w:t>
      </w:r>
      <w:r w:rsidR="00957104">
        <w:rPr>
          <w:b/>
          <w:sz w:val="20"/>
          <w:szCs w:val="20"/>
        </w:rPr>
        <w:t>y</w:t>
      </w:r>
      <w:r w:rsidRPr="00B32C19">
        <w:rPr>
          <w:b/>
          <w:sz w:val="20"/>
          <w:szCs w:val="20"/>
        </w:rPr>
        <w:t>re sound data used for determination of final reported results.</w:t>
      </w:r>
    </w:p>
    <w:p w:rsidR="00044B52" w:rsidRPr="00B32C19" w:rsidRDefault="00044B52" w:rsidP="003F1EDB">
      <w:pPr>
        <w:pStyle w:val="ListParagraph"/>
        <w:numPr>
          <w:ilvl w:val="0"/>
          <w:numId w:val="22"/>
        </w:numPr>
        <w:suppressAutoHyphens/>
        <w:spacing w:after="100" w:line="240" w:lineRule="atLeast"/>
        <w:ind w:left="2835" w:right="1134" w:hanging="567"/>
        <w:contextualSpacing w:val="0"/>
        <w:jc w:val="both"/>
        <w:rPr>
          <w:b/>
          <w:sz w:val="20"/>
          <w:szCs w:val="20"/>
        </w:rPr>
      </w:pPr>
      <w:r w:rsidRPr="00B32C19">
        <w:rPr>
          <w:b/>
          <w:sz w:val="20"/>
          <w:szCs w:val="20"/>
        </w:rPr>
        <w:lastRenderedPageBreak/>
        <w:t>Test results on a representative selection of the manufacturer’s production to demonstrate that indoor testing delivers comparable results as outdoor testing within acceptable accuracy.</w:t>
      </w:r>
    </w:p>
    <w:p w:rsidR="00044B52" w:rsidRPr="00B32C19" w:rsidRDefault="00044B52" w:rsidP="003F1EDB">
      <w:pPr>
        <w:spacing w:after="100"/>
        <w:ind w:left="1134" w:right="1134"/>
        <w:jc w:val="both"/>
        <w:rPr>
          <w:b/>
        </w:rPr>
      </w:pPr>
      <w:r w:rsidRPr="00B32C19">
        <w:rPr>
          <w:b/>
        </w:rPr>
        <w:t>2.</w:t>
      </w:r>
      <w:r w:rsidRPr="00B32C19">
        <w:rPr>
          <w:b/>
        </w:rPr>
        <w:tab/>
      </w:r>
      <w:r w:rsidRPr="00B32C19">
        <w:rPr>
          <w:b/>
        </w:rPr>
        <w:tab/>
        <w:t>Vehicle tested indoor using Variant A</w:t>
      </w:r>
    </w:p>
    <w:p w:rsidR="00044B52" w:rsidRPr="00B32C19" w:rsidRDefault="00044B52" w:rsidP="003F1EDB">
      <w:pPr>
        <w:spacing w:after="100"/>
        <w:ind w:left="2268" w:right="1134"/>
        <w:jc w:val="both"/>
        <w:rPr>
          <w:b/>
        </w:rPr>
      </w:pPr>
      <w:r w:rsidRPr="00B32C19">
        <w:rPr>
          <w:b/>
        </w:rPr>
        <w:t>Indoor pass-by test is simulated by measurement of power train sound on the dynamometer and energetical addition of the tyre/road sound (measured separately on an outdoor test track).</w:t>
      </w:r>
    </w:p>
    <w:p w:rsidR="00044B52" w:rsidRPr="00B32C19" w:rsidRDefault="00044B52" w:rsidP="003F1EDB">
      <w:pPr>
        <w:suppressAutoHyphens w:val="0"/>
        <w:autoSpaceDE w:val="0"/>
        <w:autoSpaceDN w:val="0"/>
        <w:adjustRightInd w:val="0"/>
        <w:spacing w:after="100"/>
        <w:ind w:left="1134" w:right="1134"/>
        <w:jc w:val="both"/>
        <w:rPr>
          <w:b/>
          <w:bCs/>
        </w:rPr>
      </w:pPr>
      <w:r w:rsidRPr="00B32C19">
        <w:rPr>
          <w:b/>
        </w:rPr>
        <w:t>2.1.</w:t>
      </w:r>
      <w:r w:rsidRPr="00B32C19">
        <w:rPr>
          <w:b/>
        </w:rPr>
        <w:tab/>
        <w:t xml:space="preserve"> </w:t>
      </w:r>
      <w:r w:rsidRPr="00B32C19">
        <w:rPr>
          <w:b/>
        </w:rPr>
        <w:tab/>
      </w:r>
      <w:r w:rsidRPr="00B32C19">
        <w:rPr>
          <w:b/>
          <w:bCs/>
        </w:rPr>
        <w:t>General</w:t>
      </w:r>
    </w:p>
    <w:p w:rsidR="00044B52" w:rsidRPr="00B32C19" w:rsidRDefault="00044B52" w:rsidP="003F1EDB">
      <w:pPr>
        <w:suppressAutoHyphens w:val="0"/>
        <w:autoSpaceDE w:val="0"/>
        <w:autoSpaceDN w:val="0"/>
        <w:adjustRightInd w:val="0"/>
        <w:spacing w:after="100"/>
        <w:ind w:left="2268" w:right="1134"/>
        <w:jc w:val="both"/>
        <w:rPr>
          <w:b/>
        </w:rPr>
      </w:pPr>
      <w:r w:rsidRPr="00B32C19">
        <w:rPr>
          <w:b/>
        </w:rPr>
        <w:t xml:space="preserve">This method is a combination of indoor testing (power train sound) and outdoor testing (tyre/road sound). It is not necessary to </w:t>
      </w:r>
      <w:r w:rsidR="00EB6903">
        <w:rPr>
          <w:b/>
        </w:rPr>
        <w:t>repeat</w:t>
      </w:r>
      <w:r w:rsidR="00EB6903" w:rsidRPr="00B32C19">
        <w:rPr>
          <w:b/>
        </w:rPr>
        <w:t xml:space="preserve"> </w:t>
      </w:r>
      <w:r w:rsidRPr="00B32C19">
        <w:rPr>
          <w:b/>
        </w:rPr>
        <w:t>the measurement of the tyre/road sound every time a vehicle is tested. The data of several tyres can be stored in a database and a matching data set from the database can then be used for the test.</w:t>
      </w:r>
    </w:p>
    <w:p w:rsidR="00044B52" w:rsidRPr="00B32C19" w:rsidRDefault="00044B52" w:rsidP="003F1EDB">
      <w:pPr>
        <w:suppressAutoHyphens w:val="0"/>
        <w:autoSpaceDE w:val="0"/>
        <w:autoSpaceDN w:val="0"/>
        <w:adjustRightInd w:val="0"/>
        <w:spacing w:after="100"/>
        <w:ind w:left="1134" w:right="1134"/>
        <w:jc w:val="both"/>
        <w:rPr>
          <w:b/>
          <w:bCs/>
          <w:color w:val="000000"/>
        </w:rPr>
      </w:pPr>
      <w:r w:rsidRPr="00B32C19">
        <w:rPr>
          <w:b/>
        </w:rPr>
        <w:t>2.2.</w:t>
      </w:r>
      <w:r w:rsidRPr="00B32C19">
        <w:rPr>
          <w:b/>
        </w:rPr>
        <w:tab/>
        <w:t xml:space="preserve"> </w:t>
      </w:r>
      <w:r w:rsidRPr="00B32C19">
        <w:rPr>
          <w:b/>
        </w:rPr>
        <w:tab/>
      </w:r>
      <w:r w:rsidRPr="00B32C19">
        <w:rPr>
          <w:b/>
          <w:bCs/>
          <w:color w:val="000000"/>
        </w:rPr>
        <w:t>Power train sound</w:t>
      </w:r>
    </w:p>
    <w:p w:rsidR="00044B52" w:rsidRPr="00B32C19" w:rsidRDefault="00044B52" w:rsidP="003F1EDB">
      <w:pPr>
        <w:suppressAutoHyphens w:val="0"/>
        <w:autoSpaceDE w:val="0"/>
        <w:autoSpaceDN w:val="0"/>
        <w:adjustRightInd w:val="0"/>
        <w:spacing w:after="100"/>
        <w:ind w:left="2268" w:right="1134"/>
        <w:jc w:val="both"/>
        <w:rPr>
          <w:b/>
        </w:rPr>
      </w:pPr>
      <w:r w:rsidRPr="00B32C19">
        <w:rPr>
          <w:b/>
          <w:color w:val="000000"/>
        </w:rPr>
        <w:t xml:space="preserve">It shall be ensured that there is no remaining tyre/road sound affecting the measurements. In any case it shall be ensured that the remaining tyre/road sound shall be at least 10 dB below the maximum A-weighted sound pressure level produced by the vehicle under test. If this condition cannot be fulfilled, a correction shall be carried out. This correction procedure is described in ISO 362-3:2016 </w:t>
      </w:r>
      <w:r w:rsidRPr="00B32C19">
        <w:rPr>
          <w:b/>
        </w:rPr>
        <w:t>Annex B, paragraph B.6.</w:t>
      </w:r>
    </w:p>
    <w:p w:rsidR="00044B52" w:rsidRPr="00B32C19" w:rsidRDefault="00044B52" w:rsidP="003F1EDB">
      <w:pPr>
        <w:suppressAutoHyphens w:val="0"/>
        <w:autoSpaceDE w:val="0"/>
        <w:autoSpaceDN w:val="0"/>
        <w:adjustRightInd w:val="0"/>
        <w:spacing w:after="100"/>
        <w:ind w:left="2268" w:right="1134"/>
        <w:jc w:val="both"/>
        <w:rPr>
          <w:b/>
        </w:rPr>
      </w:pPr>
      <w:r w:rsidRPr="00B32C19">
        <w:rPr>
          <w:b/>
        </w:rPr>
        <w:t>The vehicle shall be measured according to the operating condition specified in paragraphs 3.1.2.1. or 3.1.2.2. of Annex 3 of this Regulation.</w:t>
      </w:r>
    </w:p>
    <w:p w:rsidR="00044B52" w:rsidRPr="00B32C19" w:rsidRDefault="00044B52" w:rsidP="003F1EDB">
      <w:pPr>
        <w:suppressAutoHyphens w:val="0"/>
        <w:autoSpaceDE w:val="0"/>
        <w:autoSpaceDN w:val="0"/>
        <w:adjustRightInd w:val="0"/>
        <w:spacing w:after="100"/>
        <w:ind w:left="1134" w:right="1134"/>
        <w:jc w:val="both"/>
        <w:rPr>
          <w:b/>
          <w:bCs/>
          <w:color w:val="000000"/>
        </w:rPr>
      </w:pPr>
      <w:r w:rsidRPr="00B32C19">
        <w:rPr>
          <w:b/>
        </w:rPr>
        <w:t xml:space="preserve">2.3.  </w:t>
      </w:r>
      <w:r w:rsidRPr="00B32C19">
        <w:rPr>
          <w:b/>
        </w:rPr>
        <w:tab/>
      </w:r>
      <w:r w:rsidRPr="00B32C19">
        <w:rPr>
          <w:b/>
        </w:rPr>
        <w:tab/>
      </w:r>
      <w:r w:rsidRPr="00B32C19">
        <w:rPr>
          <w:b/>
          <w:bCs/>
          <w:color w:val="000000"/>
        </w:rPr>
        <w:t>Tyre/road sound</w:t>
      </w:r>
    </w:p>
    <w:p w:rsidR="00044B52" w:rsidRPr="00B32C19" w:rsidRDefault="00044B52" w:rsidP="003F1EDB">
      <w:pPr>
        <w:suppressAutoHyphens w:val="0"/>
        <w:autoSpaceDE w:val="0"/>
        <w:autoSpaceDN w:val="0"/>
        <w:adjustRightInd w:val="0"/>
        <w:spacing w:after="100"/>
        <w:ind w:left="2268" w:right="1134"/>
        <w:jc w:val="both"/>
        <w:rPr>
          <w:b/>
          <w:color w:val="000000"/>
        </w:rPr>
      </w:pPr>
      <w:r w:rsidRPr="00B32C19">
        <w:rPr>
          <w:b/>
          <w:color w:val="000000"/>
        </w:rPr>
        <w:t>The measurements of the tyre/road sound shall be performed on a test track as described paragraph 2.1.1. of Annex 3 of this Regulation. The evaluation of tyre/road sound consists of two procedures, namely:</w:t>
      </w:r>
    </w:p>
    <w:p w:rsidR="00044B52" w:rsidRPr="00B32C19" w:rsidRDefault="00044B52" w:rsidP="003F1EDB">
      <w:pPr>
        <w:suppressAutoHyphens w:val="0"/>
        <w:autoSpaceDE w:val="0"/>
        <w:autoSpaceDN w:val="0"/>
        <w:adjustRightInd w:val="0"/>
        <w:spacing w:after="100"/>
        <w:ind w:left="1701" w:right="1134" w:firstLine="567"/>
        <w:jc w:val="both"/>
        <w:rPr>
          <w:b/>
          <w:color w:val="000000"/>
        </w:rPr>
      </w:pPr>
      <w:r w:rsidRPr="00B32C19">
        <w:rPr>
          <w:b/>
          <w:color w:val="000000"/>
        </w:rPr>
        <w:t xml:space="preserve">(a) </w:t>
      </w:r>
      <w:r w:rsidRPr="00B32C19">
        <w:rPr>
          <w:b/>
          <w:color w:val="000000"/>
        </w:rPr>
        <w:tab/>
        <w:t>evaluation of free rolling sound;</w:t>
      </w:r>
    </w:p>
    <w:p w:rsidR="00044B52" w:rsidRPr="00B32C19" w:rsidRDefault="00044B52" w:rsidP="003F1EDB">
      <w:pPr>
        <w:suppressAutoHyphens w:val="0"/>
        <w:autoSpaceDE w:val="0"/>
        <w:autoSpaceDN w:val="0"/>
        <w:adjustRightInd w:val="0"/>
        <w:spacing w:after="100"/>
        <w:ind w:left="2832" w:right="1134" w:hanging="564"/>
        <w:jc w:val="both"/>
        <w:rPr>
          <w:b/>
          <w:color w:val="000000"/>
        </w:rPr>
      </w:pPr>
      <w:r w:rsidRPr="00B32C19">
        <w:rPr>
          <w:b/>
          <w:color w:val="000000"/>
        </w:rPr>
        <w:t xml:space="preserve">(b) </w:t>
      </w:r>
      <w:r w:rsidRPr="00B32C19">
        <w:rPr>
          <w:b/>
          <w:color w:val="000000"/>
        </w:rPr>
        <w:tab/>
        <w:t>evaluation of tyre/road sound including torque influence which can be derived from a) by a simplified method.</w:t>
      </w:r>
    </w:p>
    <w:p w:rsidR="00044B52" w:rsidRPr="00B32C19" w:rsidRDefault="00044B52" w:rsidP="003F1EDB">
      <w:pPr>
        <w:suppressAutoHyphens w:val="0"/>
        <w:autoSpaceDE w:val="0"/>
        <w:autoSpaceDN w:val="0"/>
        <w:adjustRightInd w:val="0"/>
        <w:spacing w:after="100"/>
        <w:ind w:left="2268" w:right="1134"/>
        <w:jc w:val="both"/>
        <w:rPr>
          <w:b/>
          <w:color w:val="000000"/>
        </w:rPr>
      </w:pPr>
      <w:r w:rsidRPr="00B32C19">
        <w:rPr>
          <w:b/>
          <w:color w:val="000000"/>
        </w:rPr>
        <w:t xml:space="preserve">All conditions for evaluation of tyre/road sound shall be done according to paragraph 3. of this </w:t>
      </w:r>
      <w:r w:rsidR="00EB6903">
        <w:rPr>
          <w:b/>
          <w:color w:val="000000"/>
        </w:rPr>
        <w:t>A</w:t>
      </w:r>
      <w:r w:rsidRPr="00B32C19">
        <w:rPr>
          <w:b/>
          <w:color w:val="000000"/>
        </w:rPr>
        <w:t>nnex.</w:t>
      </w:r>
    </w:p>
    <w:p w:rsidR="00044B52" w:rsidRPr="00B32C19" w:rsidRDefault="00044B52" w:rsidP="003F1EDB">
      <w:pPr>
        <w:suppressAutoHyphens w:val="0"/>
        <w:autoSpaceDE w:val="0"/>
        <w:autoSpaceDN w:val="0"/>
        <w:adjustRightInd w:val="0"/>
        <w:spacing w:after="100"/>
        <w:ind w:left="1134" w:right="1134"/>
        <w:jc w:val="both"/>
        <w:rPr>
          <w:b/>
          <w:bCs/>
          <w:color w:val="000000"/>
        </w:rPr>
      </w:pPr>
      <w:r w:rsidRPr="00B32C19">
        <w:rPr>
          <w:b/>
        </w:rPr>
        <w:t xml:space="preserve">2.4.  </w:t>
      </w:r>
      <w:r w:rsidRPr="00B32C19">
        <w:rPr>
          <w:b/>
        </w:rPr>
        <w:tab/>
      </w:r>
      <w:r w:rsidRPr="00B32C19">
        <w:rPr>
          <w:b/>
        </w:rPr>
        <w:tab/>
      </w:r>
      <w:r w:rsidRPr="00B32C19">
        <w:rPr>
          <w:b/>
          <w:bCs/>
          <w:color w:val="000000"/>
        </w:rPr>
        <w:t xml:space="preserve">Calculation of the total vehicle sound </w:t>
      </w:r>
    </w:p>
    <w:p w:rsidR="00044B52" w:rsidRPr="00B32C19" w:rsidRDefault="00044B52" w:rsidP="003F1EDB">
      <w:pPr>
        <w:suppressAutoHyphens w:val="0"/>
        <w:autoSpaceDE w:val="0"/>
        <w:autoSpaceDN w:val="0"/>
        <w:adjustRightInd w:val="0"/>
        <w:spacing w:after="100"/>
        <w:ind w:left="2268" w:right="1134"/>
        <w:jc w:val="both"/>
        <w:rPr>
          <w:b/>
          <w:color w:val="000000"/>
        </w:rPr>
      </w:pPr>
      <w:r w:rsidRPr="00B32C19">
        <w:rPr>
          <w:b/>
          <w:color w:val="000000"/>
        </w:rPr>
        <w:t>The total vehicle sound is the energetical sum of tyre/road sound and power train sound. This calculation shall be carried out for each single run as describe in ISO 362-3.2016, paragraph 10.2.4.</w:t>
      </w:r>
    </w:p>
    <w:p w:rsidR="00044B52" w:rsidRPr="00B32C19" w:rsidRDefault="00044B52" w:rsidP="003F1EDB">
      <w:pPr>
        <w:spacing w:after="100"/>
        <w:ind w:left="2268" w:right="1134" w:hanging="1134"/>
        <w:jc w:val="both"/>
        <w:rPr>
          <w:b/>
        </w:rPr>
      </w:pPr>
      <w:r w:rsidRPr="00B32C19">
        <w:rPr>
          <w:b/>
        </w:rPr>
        <w:t>3.</w:t>
      </w:r>
      <w:r w:rsidRPr="00B32C19">
        <w:rPr>
          <w:b/>
        </w:rPr>
        <w:tab/>
        <w:t>Procedure for measurement, evaluation, and calculation of tyre/road sound when using variant A</w:t>
      </w:r>
    </w:p>
    <w:p w:rsidR="00044B52" w:rsidRPr="00B32C19" w:rsidRDefault="00044B52" w:rsidP="003F1EDB">
      <w:pPr>
        <w:suppressAutoHyphens w:val="0"/>
        <w:autoSpaceDE w:val="0"/>
        <w:autoSpaceDN w:val="0"/>
        <w:adjustRightInd w:val="0"/>
        <w:spacing w:after="100"/>
        <w:ind w:left="2268" w:right="1134"/>
        <w:jc w:val="both"/>
        <w:rPr>
          <w:b/>
          <w:color w:val="000000"/>
        </w:rPr>
      </w:pPr>
      <w:r w:rsidRPr="00B32C19">
        <w:rPr>
          <w:b/>
          <w:color w:val="000000"/>
        </w:rPr>
        <w:t>All conditions for evaluation of tyre/road sound, free rolling sound, and torque influence are described in ISO 362-3:</w:t>
      </w:r>
      <w:r w:rsidRPr="00B32C19">
        <w:rPr>
          <w:b/>
        </w:rPr>
        <w:t>2016, Annex B.</w:t>
      </w:r>
    </w:p>
    <w:p w:rsidR="00044B52" w:rsidRPr="00B32C19" w:rsidRDefault="00044B52" w:rsidP="003F1EDB">
      <w:pPr>
        <w:suppressAutoHyphens w:val="0"/>
        <w:spacing w:after="100"/>
        <w:ind w:left="1134" w:right="1134"/>
        <w:jc w:val="both"/>
        <w:rPr>
          <w:b/>
        </w:rPr>
      </w:pPr>
      <w:r w:rsidRPr="00B32C19">
        <w:rPr>
          <w:b/>
        </w:rPr>
        <w:t xml:space="preserve">4. </w:t>
      </w:r>
      <w:r w:rsidRPr="00B32C19">
        <w:rPr>
          <w:b/>
        </w:rPr>
        <w:tab/>
      </w:r>
      <w:r w:rsidRPr="00B32C19">
        <w:rPr>
          <w:b/>
        </w:rPr>
        <w:tab/>
        <w:t>Adjustment of room dimensions</w:t>
      </w:r>
    </w:p>
    <w:p w:rsidR="00044B52" w:rsidRPr="00B32C19" w:rsidRDefault="00044B52" w:rsidP="00550EE3">
      <w:pPr>
        <w:pStyle w:val="SingleTxtG"/>
        <w:spacing w:after="80" w:line="200" w:lineRule="atLeast"/>
        <w:ind w:left="2268"/>
        <w:rPr>
          <w:b/>
          <w:sz w:val="28"/>
        </w:rPr>
      </w:pPr>
      <w:r w:rsidRPr="00B32C19">
        <w:rPr>
          <w:b/>
        </w:rPr>
        <w:t>To cater for the smaller size test rooms, the maximum levels shall be evaluated with caution though to avoid missing them according to ISO 362-3:2016, Annex E."</w:t>
      </w:r>
      <w:r w:rsidRPr="00B32C19">
        <w:br w:type="page"/>
      </w:r>
    </w:p>
    <w:p w:rsidR="000E3C8C" w:rsidRPr="00B32C19" w:rsidRDefault="000E3C8C" w:rsidP="000E3C8C">
      <w:pPr>
        <w:pStyle w:val="HChG"/>
      </w:pPr>
      <w:r w:rsidRPr="00B32C19">
        <w:lastRenderedPageBreak/>
        <w:t>Annex III</w:t>
      </w:r>
      <w:r w:rsidRPr="00B32C19">
        <w:tab/>
      </w:r>
    </w:p>
    <w:p w:rsidR="000E3C8C" w:rsidRPr="00B32C19" w:rsidRDefault="000E3C8C" w:rsidP="000E3C8C">
      <w:pPr>
        <w:pStyle w:val="HChG"/>
        <w:rPr>
          <w:szCs w:val="28"/>
        </w:rPr>
      </w:pPr>
      <w:r w:rsidRPr="00B32C19">
        <w:rPr>
          <w:szCs w:val="28"/>
        </w:rPr>
        <w:tab/>
      </w:r>
      <w:r w:rsidRPr="00B32C19">
        <w:rPr>
          <w:szCs w:val="28"/>
        </w:rPr>
        <w:tab/>
        <w:t>Adopted amendments to Regulation No. 51 (based on ECE/TRANS/WP.29/GRB/2018/2)</w:t>
      </w:r>
    </w:p>
    <w:p w:rsidR="000E3C8C" w:rsidRPr="00B32C19" w:rsidRDefault="000E3C8C" w:rsidP="000E3C8C">
      <w:pPr>
        <w:pStyle w:val="SingleTxtG"/>
        <w:rPr>
          <w:i/>
        </w:rPr>
      </w:pPr>
      <w:r w:rsidRPr="00B32C19">
        <w:rPr>
          <w:i/>
        </w:rPr>
        <w:t xml:space="preserve">Annex 3, </w:t>
      </w:r>
    </w:p>
    <w:p w:rsidR="000E3C8C" w:rsidRPr="00B32C19" w:rsidRDefault="000E3C8C" w:rsidP="000E3C8C">
      <w:pPr>
        <w:pStyle w:val="SingleTxtG"/>
      </w:pPr>
      <w:r w:rsidRPr="00B32C19">
        <w:rPr>
          <w:i/>
        </w:rPr>
        <w:t>Paragraph 3.1.2.1.4.1.,</w:t>
      </w:r>
      <w:r w:rsidRPr="00B32C19">
        <w:t xml:space="preserve"> add a new subparagraph (e):</w:t>
      </w:r>
    </w:p>
    <w:p w:rsidR="000E3C8C" w:rsidRPr="00B32C19" w:rsidRDefault="000E3C8C" w:rsidP="000E3C8C">
      <w:pPr>
        <w:spacing w:after="120"/>
        <w:ind w:left="2268" w:right="1134" w:hanging="1134"/>
        <w:jc w:val="both"/>
      </w:pPr>
      <w:r w:rsidRPr="00B32C19">
        <w:t xml:space="preserve">“3.1.2.1.4.1. </w:t>
      </w:r>
      <w:r w:rsidRPr="00B32C19">
        <w:tab/>
        <w:t>Vehicles with manual transmission, automatic transmissions, adaptive transmissions or CVTs tested with locked gear ratios</w:t>
      </w:r>
    </w:p>
    <w:p w:rsidR="000E3C8C" w:rsidRPr="00B32C19" w:rsidRDefault="000E3C8C" w:rsidP="000E3C8C">
      <w:pPr>
        <w:spacing w:after="120"/>
        <w:ind w:left="2268" w:right="1134"/>
        <w:jc w:val="both"/>
      </w:pPr>
      <w:r w:rsidRPr="00B32C19">
        <w:tab/>
        <w:t xml:space="preserve">… </w:t>
      </w:r>
    </w:p>
    <w:p w:rsidR="000E3C8C" w:rsidRPr="00B32C19" w:rsidRDefault="000E3C8C" w:rsidP="000E3C8C">
      <w:pPr>
        <w:spacing w:before="120" w:after="120"/>
        <w:ind w:left="2268" w:right="1134"/>
        <w:jc w:val="both"/>
        <w:rPr>
          <w:b/>
        </w:rPr>
      </w:pPr>
      <w:r w:rsidRPr="00B32C19">
        <w:rPr>
          <w:b/>
        </w:rPr>
        <w:t xml:space="preserve">(e) </w:t>
      </w:r>
      <w:r w:rsidR="00826FF2">
        <w:rPr>
          <w:b/>
        </w:rPr>
        <w:tab/>
      </w:r>
      <w:r w:rsidRPr="00B32C19">
        <w:rPr>
          <w:b/>
        </w:rPr>
        <w:t>If no gear ratio is available with an acceleration below 2.0 m/s², the manufacturer shall, if possible take measures to avoid an acceleration value a</w:t>
      </w:r>
      <w:r w:rsidRPr="00B32C19">
        <w:rPr>
          <w:b/>
          <w:vertAlign w:val="subscript"/>
        </w:rPr>
        <w:t>wot</w:t>
      </w:r>
      <w:r w:rsidRPr="00B32C19">
        <w:rPr>
          <w:b/>
        </w:rPr>
        <w:t xml:space="preserve"> test greater than 2.0 m/s².</w:t>
      </w:r>
    </w:p>
    <w:p w:rsidR="000E3C8C" w:rsidRPr="00B32C19" w:rsidRDefault="000E3C8C" w:rsidP="000E3C8C">
      <w:pPr>
        <w:spacing w:after="120"/>
        <w:ind w:left="2268" w:right="1134"/>
        <w:jc w:val="both"/>
        <w:rPr>
          <w:b/>
        </w:rPr>
      </w:pPr>
      <w:r w:rsidRPr="00B32C19">
        <w:rPr>
          <w:b/>
        </w:rPr>
        <w:t xml:space="preserve">Table 1 in Appendix to Annex 3 provides examples for valid measures to control the downshift of gears or to avoid accelerations beyond 2.0 m/s². Any measure used by manufacturer for </w:t>
      </w:r>
      <w:r w:rsidR="00826FF2">
        <w:rPr>
          <w:b/>
        </w:rPr>
        <w:t xml:space="preserve">the </w:t>
      </w:r>
      <w:r w:rsidRPr="00B32C19">
        <w:rPr>
          <w:b/>
        </w:rPr>
        <w:t>above</w:t>
      </w:r>
      <w:r w:rsidR="00826FF2">
        <w:rPr>
          <w:b/>
        </w:rPr>
        <w:t>-</w:t>
      </w:r>
      <w:r w:rsidRPr="00B32C19">
        <w:rPr>
          <w:b/>
        </w:rPr>
        <w:t xml:space="preserve">mentioned purposes shall be documented in the test report.” </w:t>
      </w:r>
    </w:p>
    <w:p w:rsidR="000E3C8C" w:rsidRPr="00B32C19" w:rsidRDefault="000E3C8C" w:rsidP="000E3C8C">
      <w:pPr>
        <w:pStyle w:val="SingleTxtG"/>
      </w:pPr>
      <w:r w:rsidRPr="00B32C19">
        <w:rPr>
          <w:i/>
        </w:rPr>
        <w:t>Paragraph 3.1.2.1.4.2.,</w:t>
      </w:r>
      <w:r w:rsidRPr="00B32C19">
        <w:t xml:space="preserve"> amend to read:</w:t>
      </w:r>
    </w:p>
    <w:p w:rsidR="000E3C8C" w:rsidRPr="00B32C19" w:rsidRDefault="000E3C8C" w:rsidP="000E3C8C">
      <w:pPr>
        <w:spacing w:after="120"/>
        <w:ind w:left="2268" w:right="1134" w:hanging="1134"/>
        <w:jc w:val="both"/>
      </w:pPr>
      <w:r w:rsidRPr="00B32C19">
        <w:t xml:space="preserve">“3.1.2.1.4.2. </w:t>
      </w:r>
      <w:r w:rsidRPr="00B32C19">
        <w:tab/>
        <w:t>Vehicles with automatic transmission, adaptive transmissions and CVTs tested with non-locked gear ratios:</w:t>
      </w:r>
    </w:p>
    <w:p w:rsidR="000E3C8C" w:rsidRPr="00B32C19" w:rsidRDefault="000E3C8C" w:rsidP="000E3C8C">
      <w:pPr>
        <w:spacing w:after="120"/>
        <w:ind w:left="2268" w:right="1134"/>
        <w:jc w:val="both"/>
      </w:pPr>
      <w:r w:rsidRPr="00B32C19">
        <w:t xml:space="preserve">… </w:t>
      </w:r>
    </w:p>
    <w:p w:rsidR="000E3C8C" w:rsidRPr="00B32C19" w:rsidRDefault="000E3C8C" w:rsidP="000E3C8C">
      <w:pPr>
        <w:spacing w:before="120" w:after="120"/>
        <w:ind w:left="2268" w:right="1134"/>
        <w:jc w:val="both"/>
      </w:pPr>
      <w:r w:rsidRPr="00B32C19">
        <w:t>Therefore, it is permitted to establish and use electronic or mechanical devices, including alternate gear selector positions, to prevent a downshift to a gear ratio which is typically not used for the specified test condition in urban traffic.</w:t>
      </w:r>
    </w:p>
    <w:p w:rsidR="000E3C8C" w:rsidRPr="00B32C19" w:rsidRDefault="000E3C8C" w:rsidP="000E3C8C">
      <w:pPr>
        <w:spacing w:before="120" w:after="120"/>
        <w:ind w:left="2268" w:right="1134"/>
        <w:jc w:val="both"/>
      </w:pPr>
      <w:r w:rsidRPr="00B32C19">
        <w:t>If possible, the manufacturer shall take measures to avoid an acceleration value a</w:t>
      </w:r>
      <w:r w:rsidRPr="00B32C19">
        <w:rPr>
          <w:vertAlign w:val="subscript"/>
        </w:rPr>
        <w:t>wot</w:t>
      </w:r>
      <w:r w:rsidRPr="00B32C19">
        <w:t xml:space="preserve"> test greater than 2.0 m/s².</w:t>
      </w:r>
    </w:p>
    <w:p w:rsidR="000E3C8C" w:rsidRPr="00B32C19" w:rsidRDefault="000E3C8C" w:rsidP="000E3C8C">
      <w:pPr>
        <w:spacing w:after="120"/>
        <w:ind w:left="2268" w:right="1134"/>
        <w:jc w:val="both"/>
        <w:rPr>
          <w:b/>
        </w:rPr>
      </w:pPr>
      <w:r w:rsidRPr="00B32C19">
        <w:rPr>
          <w:b/>
        </w:rPr>
        <w:t>Table 1 in Appendix to Annex 3 provides examples for valid measures to control the downshift of gears or to avoid accelerations beyond 2.0 m/s². Any measure used by manufacturer for</w:t>
      </w:r>
      <w:r w:rsidR="00826FF2">
        <w:rPr>
          <w:b/>
        </w:rPr>
        <w:t xml:space="preserve"> the</w:t>
      </w:r>
      <w:r w:rsidRPr="00B32C19">
        <w:rPr>
          <w:b/>
        </w:rPr>
        <w:t xml:space="preserve"> </w:t>
      </w:r>
      <w:r w:rsidR="00826FF2" w:rsidRPr="00B32C19">
        <w:rPr>
          <w:b/>
        </w:rPr>
        <w:t>above</w:t>
      </w:r>
      <w:r w:rsidR="00826FF2">
        <w:rPr>
          <w:b/>
        </w:rPr>
        <w:t>-</w:t>
      </w:r>
      <w:r w:rsidRPr="00B32C19">
        <w:rPr>
          <w:b/>
        </w:rPr>
        <w:t xml:space="preserve">mentioned purposes shall be documented in the test report. </w:t>
      </w:r>
    </w:p>
    <w:p w:rsidR="000E3C8C" w:rsidRPr="00B32C19" w:rsidRDefault="000E3C8C" w:rsidP="000E3C8C">
      <w:pPr>
        <w:spacing w:after="120"/>
        <w:ind w:left="2268" w:right="1134"/>
        <w:jc w:val="both"/>
        <w:rPr>
          <w:b/>
        </w:rPr>
      </w:pPr>
      <w:r w:rsidRPr="00B32C19">
        <w:rPr>
          <w:b/>
        </w:rPr>
        <w:tab/>
        <w:t>…</w:t>
      </w:r>
      <w:r w:rsidRPr="00B32C19">
        <w:t>”</w:t>
      </w:r>
    </w:p>
    <w:p w:rsidR="000E3C8C" w:rsidRPr="00B32C19" w:rsidRDefault="000E3C8C" w:rsidP="000E3C8C">
      <w:pPr>
        <w:spacing w:after="120"/>
        <w:ind w:left="2268" w:right="1134" w:hanging="1134"/>
        <w:jc w:val="both"/>
        <w:rPr>
          <w:b/>
        </w:rPr>
      </w:pPr>
      <w:r w:rsidRPr="00B32C19">
        <w:rPr>
          <w:i/>
        </w:rPr>
        <w:t xml:space="preserve">Paragraph 3.1.2.1.4.3., </w:t>
      </w:r>
      <w:r w:rsidRPr="00B32C19">
        <w:t>amend to read:</w:t>
      </w:r>
    </w:p>
    <w:p w:rsidR="000E3C8C" w:rsidRPr="00B32C19" w:rsidRDefault="000E3C8C" w:rsidP="000E3C8C">
      <w:pPr>
        <w:spacing w:after="120"/>
        <w:ind w:left="2268" w:right="1134" w:hanging="1134"/>
        <w:jc w:val="both"/>
      </w:pPr>
      <w:r w:rsidRPr="00B32C19">
        <w:t>“3.1.2.1.4.3.</w:t>
      </w:r>
      <w:r w:rsidRPr="00B32C19">
        <w:tab/>
        <w:t>Vehicles with only one gear ratio, like but not limited to Battery Electric Vehicles (BEV) and Fuel Cell Vehicles (FCV)</w:t>
      </w:r>
    </w:p>
    <w:p w:rsidR="000E3C8C" w:rsidRPr="00B32C19" w:rsidRDefault="000E3C8C" w:rsidP="000E3C8C">
      <w:pPr>
        <w:spacing w:after="120"/>
        <w:ind w:left="2268" w:right="1134"/>
        <w:jc w:val="both"/>
      </w:pPr>
      <w:r w:rsidRPr="00B32C19">
        <w:t>…</w:t>
      </w:r>
    </w:p>
    <w:p w:rsidR="000E3C8C" w:rsidRPr="00B32C19" w:rsidRDefault="000E3C8C" w:rsidP="000E3C8C">
      <w:pPr>
        <w:spacing w:after="120"/>
        <w:ind w:left="2268" w:right="1134"/>
        <w:jc w:val="both"/>
      </w:pPr>
      <w:r w:rsidRPr="00B32C19">
        <w:t>If possible, the manufacturer shall take measures to avoid an acceleration value a</w:t>
      </w:r>
      <w:r w:rsidRPr="00B32C19">
        <w:rPr>
          <w:vertAlign w:val="subscript"/>
        </w:rPr>
        <w:t>wot test</w:t>
      </w:r>
      <w:r w:rsidRPr="00B32C19">
        <w:t xml:space="preserve"> greater than 2.0 m/s². </w:t>
      </w:r>
    </w:p>
    <w:p w:rsidR="000E3C8C" w:rsidRPr="00B32C19" w:rsidRDefault="000E3C8C" w:rsidP="000E3C8C">
      <w:pPr>
        <w:spacing w:after="120"/>
        <w:ind w:left="2268" w:right="1134"/>
        <w:jc w:val="both"/>
        <w:rPr>
          <w:b/>
        </w:rPr>
      </w:pPr>
      <w:r w:rsidRPr="00B32C19">
        <w:rPr>
          <w:b/>
        </w:rPr>
        <w:t xml:space="preserve">Table 1 in Appendix to Annex 3 provides examples for valid measures to avoid accelerations beyond 2.0 m/s². Any measure used by manufacturer for </w:t>
      </w:r>
      <w:r w:rsidR="00826FF2">
        <w:rPr>
          <w:b/>
        </w:rPr>
        <w:t xml:space="preserve">the </w:t>
      </w:r>
      <w:r w:rsidR="00826FF2" w:rsidRPr="00B32C19">
        <w:rPr>
          <w:b/>
        </w:rPr>
        <w:t>above</w:t>
      </w:r>
      <w:r w:rsidR="00826FF2">
        <w:rPr>
          <w:b/>
        </w:rPr>
        <w:t>-</w:t>
      </w:r>
      <w:r w:rsidRPr="00B32C19">
        <w:rPr>
          <w:b/>
        </w:rPr>
        <w:t xml:space="preserve">mentioned purposes shall be documented in the test report. </w:t>
      </w:r>
    </w:p>
    <w:p w:rsidR="000E3C8C" w:rsidRPr="00B32C19" w:rsidRDefault="000E3C8C" w:rsidP="000E3C8C">
      <w:pPr>
        <w:spacing w:after="120"/>
        <w:ind w:left="2268" w:right="1134"/>
        <w:jc w:val="both"/>
        <w:rPr>
          <w:b/>
        </w:rPr>
      </w:pPr>
      <w:r w:rsidRPr="00B32C19">
        <w:rPr>
          <w:b/>
        </w:rPr>
        <w:tab/>
        <w:t>…</w:t>
      </w:r>
      <w:r w:rsidRPr="00B32C19">
        <w:t>”</w:t>
      </w:r>
    </w:p>
    <w:p w:rsidR="000E3C8C" w:rsidRPr="00B32C19" w:rsidRDefault="000E3C8C" w:rsidP="000E3C8C">
      <w:pPr>
        <w:pStyle w:val="SingleTxtG"/>
      </w:pPr>
      <w:r w:rsidRPr="00B32C19">
        <w:rPr>
          <w:i/>
        </w:rPr>
        <w:lastRenderedPageBreak/>
        <w:t xml:space="preserve">Paragraph 3.1.2.2.1.2., </w:t>
      </w:r>
      <w:r w:rsidRPr="00B32C19">
        <w:t>amend to read:</w:t>
      </w:r>
    </w:p>
    <w:p w:rsidR="000E3C8C" w:rsidRPr="00B32C19" w:rsidRDefault="000E3C8C" w:rsidP="000E3C8C">
      <w:pPr>
        <w:pStyle w:val="SingleTxtG"/>
        <w:ind w:left="2268" w:hanging="1134"/>
      </w:pPr>
      <w:r w:rsidRPr="00B32C19">
        <w:t xml:space="preserve">“3.1.2.2.1.2. </w:t>
      </w:r>
      <w:r w:rsidRPr="00B32C19">
        <w:tab/>
        <w:t>Automatic transmission, adaptive transmissions, and transmissions with variable gear ratio tested with non-locked gear ratios</w:t>
      </w:r>
    </w:p>
    <w:p w:rsidR="000E3C8C" w:rsidRPr="00B32C19" w:rsidRDefault="000E3C8C" w:rsidP="000E3C8C">
      <w:pPr>
        <w:pStyle w:val="SingleTxtG"/>
        <w:ind w:left="2268"/>
      </w:pPr>
      <w:r w:rsidRPr="00B32C19">
        <w:t>The gear selector position for full automatic operation shall be used.</w:t>
      </w:r>
    </w:p>
    <w:p w:rsidR="000E3C8C" w:rsidRPr="00B32C19" w:rsidRDefault="000E3C8C" w:rsidP="000E3C8C">
      <w:pPr>
        <w:pStyle w:val="SingleTxtG"/>
        <w:ind w:left="2268"/>
      </w:pPr>
      <w:r w:rsidRPr="00B32C19">
        <w:t>The test may then include a gear change to a lower range and a higher acceleration. A gear change to a higher range and a lower acceleration is not allowed. In any case a gear change to a gear ratio that is typically not used at the specified condition as defined by the manufacturer in urban traffic shall be avoided.</w:t>
      </w:r>
    </w:p>
    <w:p w:rsidR="000E3C8C" w:rsidRPr="00B32C19" w:rsidRDefault="000E3C8C" w:rsidP="000E3C8C">
      <w:pPr>
        <w:pStyle w:val="SingleTxtG"/>
        <w:ind w:left="2268"/>
      </w:pPr>
      <w:r w:rsidRPr="00B32C19">
        <w:t>Therefore, it is permitted to establish and use electronic or mechanical devices, including alternative gear selector positions, to prevent a downshift to a gear ratio that is typically not used at the specified test condition as defined by the manufacturer in urban traffic.</w:t>
      </w:r>
    </w:p>
    <w:p w:rsidR="000E3C8C" w:rsidRPr="00B32C19" w:rsidRDefault="000E3C8C" w:rsidP="000E3C8C">
      <w:pPr>
        <w:spacing w:after="120"/>
        <w:ind w:left="2268" w:right="1134"/>
        <w:jc w:val="both"/>
        <w:rPr>
          <w:b/>
        </w:rPr>
      </w:pPr>
      <w:r w:rsidRPr="00B32C19">
        <w:rPr>
          <w:b/>
        </w:rPr>
        <w:t xml:space="preserve">Table 1 in Appendix to Annex 3 provides examples for valid measures to control the downshift of gears. Any measure used by manufacturer for </w:t>
      </w:r>
      <w:r w:rsidR="00826FF2">
        <w:rPr>
          <w:b/>
        </w:rPr>
        <w:t xml:space="preserve">the </w:t>
      </w:r>
      <w:r w:rsidR="00826FF2" w:rsidRPr="00B32C19">
        <w:rPr>
          <w:b/>
        </w:rPr>
        <w:t>above</w:t>
      </w:r>
      <w:r w:rsidR="00826FF2">
        <w:rPr>
          <w:b/>
        </w:rPr>
        <w:t>-</w:t>
      </w:r>
      <w:r w:rsidRPr="00B32C19">
        <w:rPr>
          <w:b/>
        </w:rPr>
        <w:t>mentioned purpose</w:t>
      </w:r>
      <w:r w:rsidR="00826FF2">
        <w:rPr>
          <w:b/>
        </w:rPr>
        <w:t>s</w:t>
      </w:r>
      <w:r w:rsidRPr="00B32C19">
        <w:rPr>
          <w:b/>
        </w:rPr>
        <w:t xml:space="preserve"> shall be documented in the test report. </w:t>
      </w:r>
    </w:p>
    <w:p w:rsidR="000E3C8C" w:rsidRPr="00B32C19" w:rsidRDefault="000E3C8C" w:rsidP="000E3C8C">
      <w:pPr>
        <w:pStyle w:val="SingleTxtG"/>
        <w:ind w:left="2268"/>
      </w:pPr>
      <w:r w:rsidRPr="00B32C19">
        <w:rPr>
          <w:b/>
        </w:rPr>
        <w:tab/>
        <w:t>…</w:t>
      </w:r>
      <w:r w:rsidRPr="00B32C19">
        <w:t>”</w:t>
      </w:r>
    </w:p>
    <w:p w:rsidR="000E3C8C" w:rsidRPr="00B32C19" w:rsidRDefault="000E3C8C" w:rsidP="000E3C8C">
      <w:pPr>
        <w:pStyle w:val="SingleTxtG"/>
      </w:pPr>
      <w:r w:rsidRPr="00B32C19">
        <w:rPr>
          <w:i/>
        </w:rPr>
        <w:t>Appendix to Annex 3,</w:t>
      </w:r>
      <w:r w:rsidRPr="00B32C19">
        <w:t xml:space="preserve"> at the end, add a new table 1:</w:t>
      </w:r>
    </w:p>
    <w:p w:rsidR="000E3C8C" w:rsidRPr="00B32C19" w:rsidRDefault="000E3C8C" w:rsidP="000E3C8C">
      <w:pPr>
        <w:pStyle w:val="SingleTxtG"/>
        <w:spacing w:after="0"/>
        <w:jc w:val="left"/>
        <w:rPr>
          <w:b/>
          <w:bCs/>
          <w:color w:val="000000"/>
          <w:lang w:eastAsia="zh-CN"/>
        </w:rPr>
      </w:pPr>
      <w:r w:rsidRPr="00B32C19">
        <w:rPr>
          <w:b/>
        </w:rPr>
        <w:t>“</w:t>
      </w:r>
      <w:r w:rsidRPr="00B32C19">
        <w:rPr>
          <w:b/>
          <w:bCs/>
          <w:color w:val="000000"/>
          <w:lang w:eastAsia="zh-CN"/>
        </w:rPr>
        <w:t>Table 1. Examples for Devices and Measures to Enable a Vehicle Tested within the Acceleration Boundaries</w:t>
      </w:r>
    </w:p>
    <w:p w:rsidR="005D50B2" w:rsidRPr="00B32C19" w:rsidRDefault="005D50B2" w:rsidP="005D50B2">
      <w:pPr>
        <w:pStyle w:val="SingleTxtG"/>
        <w:spacing w:after="0"/>
        <w:rPr>
          <w:b/>
        </w:rPr>
      </w:pPr>
    </w:p>
    <w:tbl>
      <w:tblPr>
        <w:tblW w:w="7366" w:type="dxa"/>
        <w:jc w:val="center"/>
        <w:tblLayout w:type="fixed"/>
        <w:tblCellMar>
          <w:left w:w="70" w:type="dxa"/>
          <w:right w:w="70" w:type="dxa"/>
        </w:tblCellMar>
        <w:tblLook w:val="04A0" w:firstRow="1" w:lastRow="0" w:firstColumn="1" w:lastColumn="0" w:noHBand="0" w:noVBand="1"/>
      </w:tblPr>
      <w:tblGrid>
        <w:gridCol w:w="421"/>
        <w:gridCol w:w="1417"/>
        <w:gridCol w:w="425"/>
        <w:gridCol w:w="2410"/>
        <w:gridCol w:w="2693"/>
      </w:tblGrid>
      <w:tr w:rsidR="005D50B2" w:rsidRPr="00B32C19" w:rsidTr="00BE5CD4">
        <w:trPr>
          <w:trHeight w:val="476"/>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i/>
                <w:color w:val="000000"/>
                <w:sz w:val="16"/>
                <w:szCs w:val="22"/>
                <w:lang w:eastAsia="zh-CN"/>
              </w:rPr>
            </w:pPr>
            <w:r w:rsidRPr="00B32C19">
              <w:rPr>
                <w:b/>
                <w:bCs/>
                <w:i/>
                <w:color w:val="000000"/>
                <w:sz w:val="16"/>
                <w:szCs w:val="22"/>
                <w:lang w:eastAsia="zh-CN"/>
              </w:rPr>
              <w:t>No.</w:t>
            </w:r>
          </w:p>
        </w:tc>
        <w:tc>
          <w:tcPr>
            <w:tcW w:w="1417" w:type="dxa"/>
            <w:tcBorders>
              <w:top w:val="single" w:sz="4" w:space="0" w:color="auto"/>
              <w:left w:val="nil"/>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i/>
                <w:color w:val="000000"/>
                <w:sz w:val="16"/>
                <w:szCs w:val="22"/>
                <w:lang w:eastAsia="zh-CN"/>
              </w:rPr>
            </w:pPr>
            <w:r w:rsidRPr="00B32C19">
              <w:rPr>
                <w:b/>
                <w:bCs/>
                <w:i/>
                <w:color w:val="000000"/>
                <w:sz w:val="16"/>
                <w:szCs w:val="22"/>
                <w:lang w:eastAsia="zh-CN"/>
              </w:rPr>
              <w:t>Impact</w:t>
            </w: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i/>
                <w:color w:val="000000"/>
                <w:sz w:val="16"/>
                <w:szCs w:val="22"/>
                <w:lang w:eastAsia="zh-CN"/>
              </w:rPr>
            </w:pPr>
            <w:r w:rsidRPr="00B32C19">
              <w:rPr>
                <w:b/>
                <w:bCs/>
                <w:i/>
                <w:color w:val="000000"/>
                <w:sz w:val="16"/>
                <w:szCs w:val="22"/>
                <w:lang w:eastAsia="zh-CN"/>
              </w:rPr>
              <w:t>Sub No.</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i/>
                <w:color w:val="000000"/>
                <w:sz w:val="16"/>
                <w:szCs w:val="22"/>
                <w:lang w:eastAsia="zh-CN"/>
              </w:rPr>
            </w:pPr>
            <w:r w:rsidRPr="00B32C19">
              <w:rPr>
                <w:b/>
                <w:bCs/>
                <w:i/>
                <w:color w:val="000000"/>
                <w:sz w:val="16"/>
                <w:szCs w:val="22"/>
                <w:lang w:eastAsia="zh-CN"/>
              </w:rPr>
              <w:t>Measure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i/>
                <w:color w:val="000000"/>
                <w:sz w:val="16"/>
                <w:szCs w:val="22"/>
                <w:lang w:eastAsia="zh-CN"/>
              </w:rPr>
            </w:pPr>
            <w:r w:rsidRPr="00B32C19">
              <w:rPr>
                <w:b/>
                <w:bCs/>
                <w:i/>
                <w:color w:val="000000"/>
                <w:sz w:val="16"/>
                <w:szCs w:val="22"/>
                <w:lang w:eastAsia="zh-CN"/>
              </w:rPr>
              <w:t>Additional Requirements</w:t>
            </w:r>
          </w:p>
        </w:tc>
      </w:tr>
      <w:tr w:rsidR="005D50B2" w:rsidRPr="00B32C19" w:rsidTr="00BE5CD4">
        <w:trPr>
          <w:trHeight w:val="496"/>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1</w:t>
            </w:r>
          </w:p>
        </w:tc>
        <w:tc>
          <w:tcPr>
            <w:tcW w:w="1417" w:type="dxa"/>
            <w:vMerge w:val="restart"/>
            <w:tcBorders>
              <w:top w:val="single" w:sz="12" w:space="0" w:color="auto"/>
              <w:left w:val="single" w:sz="4" w:space="0" w:color="auto"/>
              <w:bottom w:val="nil"/>
              <w:right w:val="single" w:sz="4" w:space="0" w:color="auto"/>
            </w:tcBorders>
            <w:shd w:val="clear" w:color="auto" w:fill="FFFFFF"/>
            <w:vAlign w:val="center"/>
            <w:hideMark/>
          </w:tcPr>
          <w:p w:rsidR="005D50B2" w:rsidRPr="00B32C19" w:rsidRDefault="005D50B2" w:rsidP="00BE5CD4">
            <w:pPr>
              <w:suppressAutoHyphens w:val="0"/>
              <w:spacing w:line="240" w:lineRule="auto"/>
              <w:rPr>
                <w:b/>
                <w:bCs/>
                <w:color w:val="000000"/>
                <w:sz w:val="18"/>
                <w:szCs w:val="18"/>
                <w:lang w:eastAsia="zh-CN"/>
              </w:rPr>
            </w:pPr>
            <w:r w:rsidRPr="00B32C19">
              <w:rPr>
                <w:b/>
                <w:bCs/>
                <w:color w:val="000000"/>
                <w:sz w:val="18"/>
                <w:szCs w:val="18"/>
                <w:lang w:eastAsia="zh-CN"/>
              </w:rPr>
              <w:t>Lock of a discrete gear ratio</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1</w:t>
            </w:r>
            <w:r w:rsidRPr="00B32C19">
              <w:rPr>
                <w:b/>
                <w:bCs/>
                <w:color w:val="000000"/>
                <w:sz w:val="18"/>
                <w:szCs w:val="18"/>
                <w:vertAlign w:val="superscript"/>
                <w:lang w:eastAsia="zh-CN"/>
              </w:rPr>
              <w:t>*</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A discrete gear ratio can be locked by the driver</w:t>
            </w:r>
          </w:p>
        </w:tc>
        <w:tc>
          <w:tcPr>
            <w:tcW w:w="2693" w:type="dxa"/>
            <w:tcBorders>
              <w:top w:val="single" w:sz="12" w:space="0" w:color="auto"/>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none</w:t>
            </w:r>
          </w:p>
        </w:tc>
      </w:tr>
      <w:tr w:rsidR="005D50B2" w:rsidRPr="00B32C19" w:rsidTr="00BE5CD4">
        <w:trPr>
          <w:trHeight w:val="1275"/>
          <w:jc w:val="center"/>
        </w:trPr>
        <w:tc>
          <w:tcPr>
            <w:tcW w:w="421" w:type="dxa"/>
            <w:vMerge/>
            <w:tcBorders>
              <w:top w:val="nil"/>
              <w:left w:val="single" w:sz="4" w:space="0" w:color="auto"/>
              <w:bottom w:val="nil"/>
              <w:right w:val="single" w:sz="4" w:space="0" w:color="auto"/>
            </w:tcBorders>
            <w:vAlign w:val="center"/>
            <w:hideMark/>
          </w:tcPr>
          <w:p w:rsidR="005D50B2" w:rsidRPr="00B32C19" w:rsidRDefault="005D50B2" w:rsidP="00BE5CD4">
            <w:pPr>
              <w:suppressAutoHyphens w:val="0"/>
              <w:spacing w:line="240" w:lineRule="auto"/>
              <w:rPr>
                <w:b/>
                <w:bCs/>
                <w:color w:val="000000"/>
                <w:sz w:val="18"/>
                <w:szCs w:val="18"/>
                <w:lang w:eastAsia="zh-CN"/>
              </w:rPr>
            </w:pPr>
          </w:p>
        </w:tc>
        <w:tc>
          <w:tcPr>
            <w:tcW w:w="1417" w:type="dxa"/>
            <w:vMerge/>
            <w:tcBorders>
              <w:top w:val="nil"/>
              <w:left w:val="single" w:sz="4" w:space="0" w:color="auto"/>
              <w:bottom w:val="nil"/>
              <w:right w:val="single" w:sz="4" w:space="0" w:color="auto"/>
            </w:tcBorders>
            <w:vAlign w:val="center"/>
            <w:hideMark/>
          </w:tcPr>
          <w:p w:rsidR="005D50B2" w:rsidRPr="00B32C19" w:rsidRDefault="005D50B2" w:rsidP="00BE5CD4">
            <w:pPr>
              <w:suppressAutoHyphens w:val="0"/>
              <w:spacing w:line="240" w:lineRule="auto"/>
              <w:rPr>
                <w:b/>
                <w:bCs/>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826FF2">
            <w:pPr>
              <w:suppressAutoHyphens w:val="0"/>
              <w:spacing w:line="240" w:lineRule="auto"/>
              <w:rPr>
                <w:b/>
                <w:color w:val="000000"/>
                <w:sz w:val="18"/>
                <w:szCs w:val="18"/>
                <w:lang w:eastAsia="zh-CN"/>
              </w:rPr>
            </w:pPr>
            <w:r w:rsidRPr="00B32C19">
              <w:rPr>
                <w:b/>
                <w:color w:val="000000"/>
                <w:sz w:val="18"/>
                <w:szCs w:val="18"/>
                <w:lang w:eastAsia="zh-CN"/>
              </w:rPr>
              <w:t xml:space="preserve">A discrete gear ratio is </w:t>
            </w:r>
            <w:r w:rsidR="00826FF2" w:rsidRPr="00B32C19">
              <w:rPr>
                <w:b/>
                <w:color w:val="000000"/>
                <w:sz w:val="18"/>
                <w:szCs w:val="18"/>
                <w:lang w:eastAsia="zh-CN"/>
              </w:rPr>
              <w:t xml:space="preserve">available </w:t>
            </w:r>
            <w:r w:rsidRPr="00B32C19">
              <w:rPr>
                <w:b/>
                <w:color w:val="000000"/>
                <w:sz w:val="18"/>
                <w:szCs w:val="18"/>
                <w:lang w:eastAsia="zh-CN"/>
              </w:rPr>
              <w:t>onboard</w:t>
            </w:r>
            <w:r w:rsidR="00826FF2">
              <w:rPr>
                <w:b/>
                <w:color w:val="000000"/>
                <w:sz w:val="18"/>
                <w:szCs w:val="18"/>
                <w:lang w:eastAsia="zh-CN"/>
              </w:rPr>
              <w:t>,</w:t>
            </w:r>
            <w:r w:rsidRPr="00B32C19">
              <w:rPr>
                <w:b/>
                <w:color w:val="000000"/>
                <w:sz w:val="18"/>
                <w:szCs w:val="18"/>
                <w:lang w:eastAsia="zh-CN"/>
              </w:rPr>
              <w:t xml:space="preserve"> but is not available to the driver. </w:t>
            </w:r>
            <w:r w:rsidR="00826FF2">
              <w:rPr>
                <w:b/>
                <w:color w:val="000000"/>
                <w:sz w:val="18"/>
                <w:szCs w:val="18"/>
                <w:lang w:eastAsia="zh-CN"/>
              </w:rPr>
              <w:t>L</w:t>
            </w:r>
            <w:r w:rsidRPr="00B32C19">
              <w:rPr>
                <w:b/>
                <w:color w:val="000000"/>
                <w:sz w:val="18"/>
                <w:szCs w:val="18"/>
                <w:lang w:eastAsia="zh-CN"/>
              </w:rPr>
              <w:t>ocking can be activated by the manufacturer with an onboard (hidden) function or with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none</w:t>
            </w:r>
          </w:p>
        </w:tc>
      </w:tr>
      <w:tr w:rsidR="005D50B2" w:rsidRPr="00B32C19" w:rsidTr="00BE5CD4">
        <w:trPr>
          <w:trHeight w:val="505"/>
          <w:jc w:val="center"/>
        </w:trPr>
        <w:tc>
          <w:tcPr>
            <w:tcW w:w="421" w:type="dxa"/>
            <w:vMerge w:val="restart"/>
            <w:tcBorders>
              <w:top w:val="single" w:sz="4" w:space="0" w:color="auto"/>
              <w:left w:val="single" w:sz="4" w:space="0" w:color="auto"/>
              <w:bottom w:val="nil"/>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2</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bCs/>
                <w:color w:val="000000"/>
                <w:sz w:val="18"/>
                <w:szCs w:val="18"/>
                <w:lang w:eastAsia="zh-CN"/>
              </w:rPr>
              <w:t xml:space="preserve">Controlled gear shift management: </w:t>
            </w:r>
            <w:r w:rsidRPr="00B32C19">
              <w:rPr>
                <w:b/>
                <w:color w:val="000000"/>
                <w:sz w:val="18"/>
                <w:szCs w:val="18"/>
                <w:lang w:eastAsia="zh-CN"/>
              </w:rPr>
              <w:t>Applicable to transmissions</w:t>
            </w:r>
            <w:r w:rsidRPr="00B32C19">
              <w:rPr>
                <w:b/>
                <w:sz w:val="18"/>
                <w:szCs w:val="18"/>
                <w:lang w:eastAsia="zh-CN"/>
              </w:rPr>
              <w:t xml:space="preserve"> which cannot be loc</w:t>
            </w:r>
            <w:r w:rsidRPr="00B32C19">
              <w:rPr>
                <w:b/>
                <w:color w:val="000000"/>
                <w:sz w:val="18"/>
                <w:szCs w:val="18"/>
                <w:lang w:eastAsia="zh-CN"/>
              </w:rPr>
              <w:t>ked, or where no locked gear provides a valid test result</w:t>
            </w:r>
          </w:p>
        </w:tc>
        <w:tc>
          <w:tcPr>
            <w:tcW w:w="425"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1</w:t>
            </w:r>
            <w:r w:rsidRPr="00B32C19">
              <w:rPr>
                <w:b/>
                <w:bCs/>
                <w:color w:val="000000"/>
                <w:sz w:val="18"/>
                <w:szCs w:val="18"/>
                <w:vertAlign w:val="superscript"/>
                <w:lang w:eastAsia="zh-CN"/>
              </w:rPr>
              <w:t>*</w:t>
            </w:r>
          </w:p>
        </w:tc>
        <w:tc>
          <w:tcPr>
            <w:tcW w:w="2410"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Kickdown is deactivated</w:t>
            </w:r>
          </w:p>
        </w:tc>
        <w:tc>
          <w:tcPr>
            <w:tcW w:w="2693"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none</w:t>
            </w:r>
          </w:p>
        </w:tc>
      </w:tr>
      <w:tr w:rsidR="005D50B2" w:rsidRPr="00B32C19" w:rsidTr="00BE5CD4">
        <w:trPr>
          <w:trHeight w:val="1120"/>
          <w:jc w:val="center"/>
        </w:trPr>
        <w:tc>
          <w:tcPr>
            <w:tcW w:w="421" w:type="dxa"/>
            <w:vMerge/>
            <w:tcBorders>
              <w:top w:val="single" w:sz="4" w:space="0" w:color="auto"/>
              <w:left w:val="single" w:sz="4" w:space="0" w:color="auto"/>
              <w:bottom w:val="nil"/>
              <w:right w:val="single" w:sz="4" w:space="0" w:color="auto"/>
            </w:tcBorders>
            <w:vAlign w:val="center"/>
            <w:hideMark/>
          </w:tcPr>
          <w:p w:rsidR="005D50B2" w:rsidRPr="00B32C19" w:rsidRDefault="005D50B2" w:rsidP="00BE5CD4">
            <w:pPr>
              <w:suppressAutoHyphens w:val="0"/>
              <w:spacing w:line="240" w:lineRule="auto"/>
              <w:rPr>
                <w:b/>
                <w:bCs/>
                <w:color w:val="000000"/>
                <w:sz w:val="18"/>
                <w:szCs w:val="18"/>
                <w:lang w:eastAsia="zh-CN"/>
              </w:rPr>
            </w:pPr>
          </w:p>
        </w:tc>
        <w:tc>
          <w:tcPr>
            <w:tcW w:w="1417" w:type="dxa"/>
            <w:vMerge/>
            <w:tcBorders>
              <w:top w:val="single" w:sz="4" w:space="0" w:color="auto"/>
              <w:left w:val="single" w:sz="4" w:space="0" w:color="auto"/>
              <w:bottom w:val="nil"/>
              <w:right w:val="single" w:sz="4" w:space="0" w:color="auto"/>
            </w:tcBorders>
            <w:vAlign w:val="center"/>
            <w:hideMark/>
          </w:tcPr>
          <w:p w:rsidR="005D50B2" w:rsidRPr="00B32C19" w:rsidRDefault="005D50B2" w:rsidP="00BE5CD4">
            <w:pPr>
              <w:suppressAutoHyphens w:val="0"/>
              <w:spacing w:line="240" w:lineRule="auto"/>
              <w:rPr>
                <w:b/>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Gear shift change(s) can happen during the test, gear shift is controlled by activation of an internal function or external device</w:t>
            </w:r>
          </w:p>
        </w:tc>
        <w:tc>
          <w:tcPr>
            <w:tcW w:w="2693"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Acceleration</w:t>
            </w:r>
            <w:r w:rsidRPr="00B32C19">
              <w:rPr>
                <w:b/>
                <w:color w:val="000000"/>
                <w:sz w:val="18"/>
                <w:szCs w:val="18"/>
                <w:vertAlign w:val="superscript"/>
                <w:lang w:eastAsia="zh-CN"/>
              </w:rPr>
              <w:t>**</w:t>
            </w:r>
            <w:r w:rsidRPr="00B32C19">
              <w:rPr>
                <w:b/>
                <w:color w:val="000000"/>
                <w:sz w:val="18"/>
                <w:szCs w:val="18"/>
                <w:lang w:eastAsia="zh-CN"/>
              </w:rPr>
              <w:t xml:space="preserve"> shall be between a</w:t>
            </w:r>
            <w:r w:rsidRPr="00B32C19">
              <w:rPr>
                <w:b/>
                <w:color w:val="000000"/>
                <w:sz w:val="18"/>
                <w:szCs w:val="18"/>
                <w:vertAlign w:val="subscript"/>
                <w:lang w:eastAsia="zh-CN"/>
              </w:rPr>
              <w:t>urban</w:t>
            </w:r>
            <w:r w:rsidRPr="00B32C19">
              <w:rPr>
                <w:b/>
                <w:color w:val="000000"/>
                <w:sz w:val="18"/>
                <w:szCs w:val="18"/>
                <w:lang w:eastAsia="zh-CN"/>
              </w:rPr>
              <w:t xml:space="preserve"> and a</w:t>
            </w:r>
            <w:r w:rsidRPr="00B32C19">
              <w:rPr>
                <w:b/>
                <w:color w:val="000000"/>
                <w:sz w:val="18"/>
                <w:szCs w:val="18"/>
                <w:vertAlign w:val="subscript"/>
                <w:lang w:eastAsia="zh-CN"/>
              </w:rPr>
              <w:t xml:space="preserve">wot,ref </w:t>
            </w:r>
            <w:r w:rsidRPr="00B32C19">
              <w:rPr>
                <w:b/>
                <w:color w:val="000000"/>
                <w:sz w:val="18"/>
                <w:szCs w:val="18"/>
                <w:lang w:eastAsia="zh-CN"/>
              </w:rPr>
              <w:t>, not exceeding 2.0 m/s².</w:t>
            </w:r>
          </w:p>
        </w:tc>
      </w:tr>
      <w:tr w:rsidR="005D50B2" w:rsidRPr="00B32C19" w:rsidTr="00BE5CD4">
        <w:trPr>
          <w:trHeight w:val="1325"/>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3</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D50B2" w:rsidRPr="00B32C19" w:rsidRDefault="005D50B2" w:rsidP="00BE5CD4">
            <w:pPr>
              <w:suppressAutoHyphens w:val="0"/>
              <w:spacing w:line="240" w:lineRule="auto"/>
              <w:rPr>
                <w:b/>
                <w:bCs/>
                <w:color w:val="000000"/>
                <w:sz w:val="18"/>
                <w:szCs w:val="18"/>
                <w:lang w:eastAsia="zh-CN"/>
              </w:rPr>
            </w:pPr>
            <w:r w:rsidRPr="00B32C19">
              <w:rPr>
                <w:b/>
                <w:bCs/>
                <w:color w:val="000000"/>
                <w:sz w:val="18"/>
                <w:szCs w:val="18"/>
                <w:lang w:eastAsia="zh-CN"/>
              </w:rPr>
              <w:t>Partial load driving</w:t>
            </w:r>
            <w:r w:rsidRPr="00B32C19">
              <w:rPr>
                <w:b/>
                <w:bCs/>
                <w:color w:val="000000"/>
                <w:sz w:val="18"/>
                <w:szCs w:val="18"/>
                <w:vertAlign w:val="superscript"/>
                <w:lang w:eastAsia="zh-CN"/>
              </w:rPr>
              <w:t>****</w:t>
            </w:r>
          </w:p>
        </w:tc>
        <w:tc>
          <w:tcPr>
            <w:tcW w:w="425"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1</w:t>
            </w:r>
          </w:p>
        </w:tc>
        <w:tc>
          <w:tcPr>
            <w:tcW w:w="2410"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 xml:space="preserve">Acceleration is limited by a mechanical device </w:t>
            </w:r>
          </w:p>
        </w:tc>
        <w:tc>
          <w:tcPr>
            <w:tcW w:w="2693" w:type="dxa"/>
            <w:vMerge w:val="restart"/>
            <w:tcBorders>
              <w:top w:val="nil"/>
              <w:left w:val="single" w:sz="4" w:space="0" w:color="auto"/>
              <w:bottom w:val="single" w:sz="4" w:space="0" w:color="000000"/>
              <w:right w:val="single" w:sz="4" w:space="0" w:color="auto"/>
            </w:tcBorders>
            <w:shd w:val="clear" w:color="auto" w:fill="FFFFFF"/>
            <w:vAlign w:val="center"/>
            <w:hideMark/>
          </w:tcPr>
          <w:p w:rsidR="005D50B2" w:rsidRPr="00B32C19" w:rsidRDefault="005D50B2" w:rsidP="00BE5CD4">
            <w:pPr>
              <w:tabs>
                <w:tab w:val="left" w:pos="497"/>
              </w:tabs>
              <w:suppressAutoHyphens w:val="0"/>
              <w:spacing w:before="120" w:line="240" w:lineRule="auto"/>
              <w:rPr>
                <w:b/>
                <w:color w:val="000000"/>
                <w:sz w:val="18"/>
                <w:szCs w:val="18"/>
                <w:vertAlign w:val="subscript"/>
                <w:lang w:eastAsia="zh-CN"/>
              </w:rPr>
            </w:pPr>
            <w:r w:rsidRPr="00B32C19">
              <w:rPr>
                <w:b/>
                <w:color w:val="000000"/>
                <w:sz w:val="18"/>
                <w:szCs w:val="18"/>
                <w:lang w:eastAsia="zh-CN"/>
              </w:rPr>
              <w:t>Acceleration</w:t>
            </w:r>
            <w:r w:rsidRPr="00B32C19">
              <w:rPr>
                <w:b/>
                <w:color w:val="000000"/>
                <w:sz w:val="18"/>
                <w:szCs w:val="18"/>
                <w:vertAlign w:val="superscript"/>
                <w:lang w:eastAsia="zh-CN"/>
              </w:rPr>
              <w:t>**</w:t>
            </w:r>
            <w:r w:rsidRPr="00B32C19">
              <w:rPr>
                <w:b/>
                <w:color w:val="000000"/>
                <w:sz w:val="18"/>
                <w:szCs w:val="18"/>
                <w:lang w:eastAsia="zh-CN"/>
              </w:rPr>
              <w:t xml:space="preserve"> shall be between a</w:t>
            </w:r>
            <w:r w:rsidRPr="00B32C19">
              <w:rPr>
                <w:b/>
                <w:color w:val="000000"/>
                <w:sz w:val="18"/>
                <w:szCs w:val="18"/>
                <w:vertAlign w:val="subscript"/>
                <w:lang w:eastAsia="zh-CN"/>
              </w:rPr>
              <w:t>urban</w:t>
            </w:r>
            <w:r w:rsidRPr="00B32C19">
              <w:rPr>
                <w:b/>
                <w:color w:val="000000"/>
                <w:sz w:val="18"/>
                <w:szCs w:val="18"/>
                <w:lang w:eastAsia="zh-CN"/>
              </w:rPr>
              <w:t xml:space="preserve"> and a</w:t>
            </w:r>
            <w:r w:rsidRPr="00B32C19">
              <w:rPr>
                <w:b/>
                <w:color w:val="000000"/>
                <w:sz w:val="18"/>
                <w:szCs w:val="18"/>
                <w:vertAlign w:val="subscript"/>
                <w:lang w:eastAsia="zh-CN"/>
              </w:rPr>
              <w:t xml:space="preserve">wot,ref </w:t>
            </w:r>
            <w:r w:rsidRPr="00B32C19">
              <w:rPr>
                <w:b/>
                <w:color w:val="000000"/>
                <w:sz w:val="18"/>
                <w:szCs w:val="18"/>
                <w:lang w:eastAsia="zh-CN"/>
              </w:rPr>
              <w:t>, not exceeding 2.0 m/s².</w:t>
            </w:r>
          </w:p>
          <w:p w:rsidR="005D50B2" w:rsidRPr="00B32C19" w:rsidRDefault="005D50B2" w:rsidP="00BE5CD4">
            <w:pPr>
              <w:tabs>
                <w:tab w:val="left" w:pos="497"/>
              </w:tabs>
              <w:suppressAutoHyphens w:val="0"/>
              <w:spacing w:before="120" w:after="120" w:line="240" w:lineRule="auto"/>
              <w:rPr>
                <w:b/>
                <w:color w:val="000000"/>
                <w:sz w:val="18"/>
                <w:szCs w:val="18"/>
                <w:lang w:eastAsia="zh-CN"/>
              </w:rPr>
            </w:pPr>
          </w:p>
        </w:tc>
      </w:tr>
      <w:tr w:rsidR="005D50B2" w:rsidRPr="00B32C19" w:rsidTr="00BE5CD4">
        <w:trPr>
          <w:trHeight w:val="848"/>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5D50B2" w:rsidRPr="00B32C19" w:rsidRDefault="005D50B2" w:rsidP="00BE5CD4">
            <w:pPr>
              <w:suppressAutoHyphens w:val="0"/>
              <w:spacing w:line="240" w:lineRule="auto"/>
              <w:rPr>
                <w:b/>
                <w:bCs/>
                <w:color w:val="000000"/>
                <w:sz w:val="16"/>
                <w:szCs w:val="22"/>
                <w:lang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50B2" w:rsidRPr="00B32C19" w:rsidRDefault="005D50B2" w:rsidP="00BE5CD4">
            <w:pPr>
              <w:suppressAutoHyphens w:val="0"/>
              <w:spacing w:line="240" w:lineRule="auto"/>
              <w:rPr>
                <w:b/>
                <w:bCs/>
                <w:color w:val="000000"/>
                <w:sz w:val="16"/>
                <w:szCs w:val="22"/>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6"/>
                <w:szCs w:val="22"/>
                <w:lang w:eastAsia="zh-CN"/>
              </w:rPr>
            </w:pPr>
            <w:r w:rsidRPr="00B32C19">
              <w:rPr>
                <w:b/>
                <w:bCs/>
                <w:color w:val="000000"/>
                <w:sz w:val="16"/>
                <w:szCs w:val="22"/>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External Programming for partial load acceleration</w:t>
            </w:r>
            <w:r w:rsidRPr="00B32C19">
              <w:rPr>
                <w:b/>
                <w:color w:val="000000"/>
                <w:sz w:val="18"/>
                <w:szCs w:val="18"/>
                <w:vertAlign w:val="superscript"/>
                <w:lang w:eastAsia="zh-CN"/>
              </w:rPr>
              <w:t>***)</w:t>
            </w:r>
          </w:p>
        </w:tc>
        <w:tc>
          <w:tcPr>
            <w:tcW w:w="2693" w:type="dxa"/>
            <w:vMerge/>
            <w:tcBorders>
              <w:top w:val="nil"/>
              <w:left w:val="single" w:sz="4" w:space="0" w:color="auto"/>
              <w:bottom w:val="single" w:sz="4" w:space="0" w:color="auto"/>
              <w:right w:val="single" w:sz="4" w:space="0" w:color="auto"/>
            </w:tcBorders>
            <w:vAlign w:val="center"/>
            <w:hideMark/>
          </w:tcPr>
          <w:p w:rsidR="005D50B2" w:rsidRPr="00B32C19" w:rsidRDefault="005D50B2" w:rsidP="00BE5CD4">
            <w:pPr>
              <w:suppressAutoHyphens w:val="0"/>
              <w:spacing w:line="240" w:lineRule="auto"/>
              <w:rPr>
                <w:b/>
                <w:color w:val="000000"/>
                <w:sz w:val="16"/>
                <w:szCs w:val="22"/>
                <w:lang w:eastAsia="zh-CN"/>
              </w:rPr>
            </w:pPr>
          </w:p>
        </w:tc>
      </w:tr>
      <w:tr w:rsidR="005D50B2" w:rsidRPr="00B32C19" w:rsidTr="00BE5CD4">
        <w:trPr>
          <w:trHeight w:val="519"/>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4</w:t>
            </w:r>
          </w:p>
        </w:tc>
        <w:tc>
          <w:tcPr>
            <w:tcW w:w="1417"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bCs/>
                <w:color w:val="000000"/>
                <w:sz w:val="18"/>
                <w:szCs w:val="18"/>
                <w:lang w:eastAsia="zh-CN"/>
              </w:rPr>
              <w:t>Mix</w:t>
            </w:r>
            <w:r w:rsidR="00A47EFF">
              <w:rPr>
                <w:b/>
                <w:bCs/>
                <w:color w:val="000000"/>
                <w:sz w:val="18"/>
                <w:szCs w:val="18"/>
                <w:lang w:eastAsia="zh-CN"/>
              </w:rPr>
              <w:t>ed</w:t>
            </w:r>
            <w:r w:rsidRPr="00B32C19">
              <w:rPr>
                <w:b/>
                <w:bCs/>
                <w:color w:val="000000"/>
                <w:sz w:val="18"/>
                <w:szCs w:val="18"/>
                <w:lang w:eastAsia="zh-CN"/>
              </w:rPr>
              <w:t xml:space="preserve"> Solution (Mode):</w:t>
            </w:r>
            <w:r w:rsidRPr="00B32C19">
              <w:rPr>
                <w:b/>
                <w:color w:val="000000"/>
                <w:sz w:val="18"/>
                <w:szCs w:val="18"/>
                <w:lang w:eastAsia="zh-CN"/>
              </w:rPr>
              <w:br/>
              <w:t>This measure will be a mix of the above solutions combined in a specific mode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1</w:t>
            </w:r>
            <w:r w:rsidRPr="00B32C19">
              <w:rPr>
                <w:b/>
                <w:bCs/>
                <w:color w:val="000000"/>
                <w:sz w:val="18"/>
                <w:szCs w:val="18"/>
                <w:vertAlign w:val="superscript"/>
                <w:lang w:eastAsia="zh-CN"/>
              </w:rPr>
              <w:t>*</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5D50B2" w:rsidRPr="00B32C19" w:rsidRDefault="005D50B2" w:rsidP="00A47EFF">
            <w:pPr>
              <w:suppressAutoHyphens w:val="0"/>
              <w:spacing w:line="240" w:lineRule="auto"/>
              <w:rPr>
                <w:b/>
                <w:color w:val="000000"/>
                <w:sz w:val="18"/>
                <w:szCs w:val="18"/>
                <w:lang w:eastAsia="zh-CN"/>
              </w:rPr>
            </w:pPr>
            <w:r w:rsidRPr="00B32C19">
              <w:rPr>
                <w:b/>
                <w:color w:val="000000"/>
                <w:sz w:val="18"/>
                <w:szCs w:val="18"/>
                <w:lang w:eastAsia="zh-CN"/>
              </w:rPr>
              <w:t xml:space="preserve">Mode is available </w:t>
            </w:r>
            <w:r w:rsidR="00A47EFF" w:rsidRPr="00B32C19">
              <w:rPr>
                <w:b/>
                <w:color w:val="000000"/>
                <w:sz w:val="18"/>
                <w:szCs w:val="18"/>
                <w:lang w:eastAsia="zh-CN"/>
              </w:rPr>
              <w:t xml:space="preserve">onboard </w:t>
            </w:r>
            <w:r w:rsidRPr="00B32C19">
              <w:rPr>
                <w:b/>
                <w:color w:val="000000"/>
                <w:sz w:val="18"/>
                <w:szCs w:val="18"/>
                <w:lang w:eastAsia="zh-CN"/>
              </w:rPr>
              <w:t>and can be selected by the driver</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after="120" w:line="240" w:lineRule="auto"/>
              <w:rPr>
                <w:b/>
                <w:color w:val="000000"/>
                <w:sz w:val="18"/>
                <w:szCs w:val="18"/>
                <w:lang w:eastAsia="zh-CN"/>
              </w:rPr>
            </w:pPr>
            <w:r w:rsidRPr="00B32C19">
              <w:rPr>
                <w:b/>
                <w:color w:val="000000"/>
                <w:sz w:val="18"/>
                <w:szCs w:val="18"/>
                <w:lang w:eastAsia="zh-CN"/>
              </w:rPr>
              <w:t>none</w:t>
            </w:r>
          </w:p>
        </w:tc>
      </w:tr>
      <w:tr w:rsidR="005D50B2" w:rsidRPr="00B32C19" w:rsidTr="00BE5CD4">
        <w:trPr>
          <w:trHeight w:val="834"/>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5D50B2" w:rsidRPr="00B32C19" w:rsidRDefault="005D50B2" w:rsidP="00BE5CD4">
            <w:pPr>
              <w:suppressAutoHyphens w:val="0"/>
              <w:spacing w:line="240" w:lineRule="auto"/>
              <w:rPr>
                <w:b/>
                <w:bCs/>
                <w:color w:val="000000"/>
                <w:sz w:val="18"/>
                <w:szCs w:val="18"/>
                <w:lang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5D50B2" w:rsidRPr="00B32C19" w:rsidRDefault="005D50B2" w:rsidP="00BE5CD4">
            <w:pPr>
              <w:suppressAutoHyphens w:val="0"/>
              <w:spacing w:line="240" w:lineRule="auto"/>
              <w:rPr>
                <w:b/>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A47EFF">
            <w:pPr>
              <w:suppressAutoHyphens w:val="0"/>
              <w:spacing w:line="240" w:lineRule="auto"/>
              <w:rPr>
                <w:b/>
                <w:color w:val="000000"/>
                <w:sz w:val="18"/>
                <w:szCs w:val="18"/>
                <w:lang w:eastAsia="zh-CN"/>
              </w:rPr>
            </w:pPr>
            <w:r w:rsidRPr="00B32C19">
              <w:rPr>
                <w:b/>
                <w:color w:val="000000"/>
                <w:sz w:val="18"/>
                <w:szCs w:val="18"/>
                <w:lang w:eastAsia="zh-CN"/>
              </w:rPr>
              <w:t xml:space="preserve">Mode is available </w:t>
            </w:r>
            <w:r w:rsidR="00A47EFF" w:rsidRPr="00B32C19">
              <w:rPr>
                <w:b/>
                <w:color w:val="000000"/>
                <w:sz w:val="18"/>
                <w:szCs w:val="18"/>
                <w:lang w:eastAsia="zh-CN"/>
              </w:rPr>
              <w:t xml:space="preserve">onboard </w:t>
            </w:r>
            <w:r w:rsidRPr="00B32C19">
              <w:rPr>
                <w:b/>
                <w:color w:val="000000"/>
                <w:sz w:val="18"/>
                <w:szCs w:val="18"/>
                <w:lang w:eastAsia="zh-CN"/>
              </w:rPr>
              <w:t>and can only be activated by the manufacturer with a hidden function or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none</w:t>
            </w:r>
          </w:p>
        </w:tc>
      </w:tr>
      <w:tr w:rsidR="005D50B2" w:rsidRPr="00B32C19" w:rsidTr="00BE5CD4">
        <w:trPr>
          <w:trHeight w:val="852"/>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5D50B2" w:rsidRPr="00B32C19" w:rsidRDefault="005D50B2" w:rsidP="00BE5CD4">
            <w:pPr>
              <w:suppressAutoHyphens w:val="0"/>
              <w:spacing w:line="240" w:lineRule="auto"/>
              <w:rPr>
                <w:b/>
                <w:bCs/>
                <w:color w:val="000000"/>
                <w:sz w:val="18"/>
                <w:szCs w:val="18"/>
                <w:lang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5D50B2" w:rsidRPr="00B32C19" w:rsidRDefault="005D50B2" w:rsidP="00BE5CD4">
            <w:pPr>
              <w:suppressAutoHyphens w:val="0"/>
              <w:spacing w:line="240" w:lineRule="auto"/>
              <w:rPr>
                <w:b/>
                <w:color w:val="000000"/>
                <w:sz w:val="18"/>
                <w:szCs w:val="18"/>
                <w:lang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jc w:val="center"/>
              <w:rPr>
                <w:b/>
                <w:bCs/>
                <w:color w:val="000000"/>
                <w:sz w:val="18"/>
                <w:szCs w:val="18"/>
                <w:lang w:eastAsia="zh-CN"/>
              </w:rPr>
            </w:pPr>
            <w:r w:rsidRPr="00B32C19">
              <w:rPr>
                <w:b/>
                <w:bCs/>
                <w:color w:val="000000"/>
                <w:sz w:val="18"/>
                <w:szCs w:val="18"/>
                <w:lang w:eastAsia="zh-CN"/>
              </w:rPr>
              <w:t>3</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5D50B2" w:rsidRPr="00B32C19" w:rsidRDefault="005D50B2" w:rsidP="00A47EFF">
            <w:pPr>
              <w:suppressAutoHyphens w:val="0"/>
              <w:spacing w:line="240" w:lineRule="auto"/>
              <w:rPr>
                <w:b/>
                <w:color w:val="000000"/>
                <w:sz w:val="18"/>
                <w:szCs w:val="18"/>
                <w:lang w:eastAsia="zh-CN"/>
              </w:rPr>
            </w:pPr>
            <w:r w:rsidRPr="00B32C19">
              <w:rPr>
                <w:b/>
                <w:color w:val="000000"/>
                <w:sz w:val="18"/>
                <w:szCs w:val="18"/>
                <w:lang w:eastAsia="zh-CN"/>
              </w:rPr>
              <w:t xml:space="preserve">Mode is not </w:t>
            </w:r>
            <w:r w:rsidR="00A47EFF" w:rsidRPr="00B32C19">
              <w:rPr>
                <w:b/>
                <w:color w:val="000000"/>
                <w:sz w:val="18"/>
                <w:szCs w:val="18"/>
                <w:lang w:eastAsia="zh-CN"/>
              </w:rPr>
              <w:t xml:space="preserve">available </w:t>
            </w:r>
            <w:r w:rsidRPr="00B32C19">
              <w:rPr>
                <w:b/>
                <w:color w:val="000000"/>
                <w:sz w:val="18"/>
                <w:szCs w:val="18"/>
                <w:lang w:eastAsia="zh-CN"/>
              </w:rPr>
              <w:t>onboard, an external software overrides the internal software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5D50B2" w:rsidRPr="00B32C19" w:rsidRDefault="005D50B2" w:rsidP="00BE5CD4">
            <w:pPr>
              <w:suppressAutoHyphens w:val="0"/>
              <w:spacing w:line="240" w:lineRule="auto"/>
              <w:rPr>
                <w:b/>
                <w:color w:val="000000"/>
                <w:sz w:val="18"/>
                <w:szCs w:val="18"/>
                <w:lang w:eastAsia="zh-CN"/>
              </w:rPr>
            </w:pPr>
            <w:r w:rsidRPr="00B32C19">
              <w:rPr>
                <w:b/>
                <w:color w:val="000000"/>
                <w:sz w:val="18"/>
                <w:szCs w:val="18"/>
                <w:lang w:eastAsia="zh-CN"/>
              </w:rPr>
              <w:t>Acceleration</w:t>
            </w:r>
            <w:r w:rsidRPr="00B32C19">
              <w:rPr>
                <w:b/>
                <w:color w:val="000000"/>
                <w:sz w:val="18"/>
                <w:szCs w:val="18"/>
                <w:vertAlign w:val="superscript"/>
                <w:lang w:eastAsia="zh-CN"/>
              </w:rPr>
              <w:t>**</w:t>
            </w:r>
            <w:r w:rsidRPr="00B32C19">
              <w:rPr>
                <w:b/>
                <w:color w:val="000000"/>
                <w:sz w:val="18"/>
                <w:szCs w:val="18"/>
                <w:lang w:eastAsia="zh-CN"/>
              </w:rPr>
              <w:t xml:space="preserve"> shall be between a</w:t>
            </w:r>
            <w:r w:rsidRPr="00B32C19">
              <w:rPr>
                <w:b/>
                <w:color w:val="000000"/>
                <w:sz w:val="18"/>
                <w:szCs w:val="18"/>
                <w:vertAlign w:val="subscript"/>
                <w:lang w:eastAsia="zh-CN"/>
              </w:rPr>
              <w:t>urban</w:t>
            </w:r>
            <w:r w:rsidRPr="00B32C19">
              <w:rPr>
                <w:b/>
                <w:color w:val="000000"/>
                <w:sz w:val="18"/>
                <w:szCs w:val="18"/>
                <w:lang w:eastAsia="zh-CN"/>
              </w:rPr>
              <w:t xml:space="preserve"> and a</w:t>
            </w:r>
            <w:r w:rsidRPr="00B32C19">
              <w:rPr>
                <w:b/>
                <w:color w:val="000000"/>
                <w:sz w:val="18"/>
                <w:szCs w:val="18"/>
                <w:vertAlign w:val="subscript"/>
                <w:lang w:eastAsia="zh-CN"/>
              </w:rPr>
              <w:t>wot,ref</w:t>
            </w:r>
            <w:r w:rsidRPr="00B32C19">
              <w:rPr>
                <w:b/>
                <w:color w:val="000000"/>
                <w:sz w:val="18"/>
                <w:szCs w:val="18"/>
                <w:lang w:eastAsia="zh-CN"/>
              </w:rPr>
              <w:t>, not exceeding 2.0 m/s².</w:t>
            </w:r>
          </w:p>
        </w:tc>
      </w:tr>
    </w:tbl>
    <w:p w:rsidR="005D50B2" w:rsidRPr="00B32C19" w:rsidRDefault="005D50B2" w:rsidP="005D50B2">
      <w:pPr>
        <w:pStyle w:val="SingleTxtG"/>
        <w:tabs>
          <w:tab w:val="left" w:pos="1560"/>
        </w:tabs>
        <w:ind w:left="1559" w:hanging="425"/>
        <w:rPr>
          <w:b/>
          <w:sz w:val="18"/>
          <w:szCs w:val="18"/>
        </w:rPr>
      </w:pPr>
      <w:r w:rsidRPr="00B32C19">
        <w:rPr>
          <w:b/>
          <w:sz w:val="18"/>
          <w:szCs w:val="18"/>
        </w:rPr>
        <w:t>*</w:t>
      </w:r>
      <w:r w:rsidRPr="00B32C19">
        <w:rPr>
          <w:b/>
          <w:sz w:val="18"/>
          <w:szCs w:val="18"/>
        </w:rPr>
        <w:tab/>
        <w:t>Comment: This is a standard situation, already covered by the Regulation text.</w:t>
      </w:r>
    </w:p>
    <w:p w:rsidR="005D50B2" w:rsidRPr="00B32C19" w:rsidRDefault="005D50B2" w:rsidP="005D50B2">
      <w:pPr>
        <w:pStyle w:val="SingleTxtG"/>
        <w:tabs>
          <w:tab w:val="left" w:pos="1560"/>
        </w:tabs>
        <w:ind w:left="1560" w:hanging="426"/>
        <w:rPr>
          <w:b/>
          <w:sz w:val="18"/>
          <w:szCs w:val="18"/>
        </w:rPr>
      </w:pPr>
      <w:r w:rsidRPr="00B32C19">
        <w:rPr>
          <w:b/>
          <w:sz w:val="18"/>
          <w:szCs w:val="18"/>
        </w:rPr>
        <w:t xml:space="preserve">** </w:t>
      </w:r>
      <w:r w:rsidRPr="00B32C19">
        <w:rPr>
          <w:b/>
          <w:sz w:val="18"/>
          <w:szCs w:val="18"/>
        </w:rPr>
        <w:tab/>
        <w:t>Applicable to vehicles of category M</w:t>
      </w:r>
      <w:r w:rsidRPr="00B32C19">
        <w:rPr>
          <w:b/>
          <w:sz w:val="18"/>
          <w:szCs w:val="18"/>
          <w:vertAlign w:val="subscript"/>
        </w:rPr>
        <w:t>1</w:t>
      </w:r>
      <w:r w:rsidRPr="00B32C19">
        <w:rPr>
          <w:b/>
          <w:sz w:val="18"/>
          <w:szCs w:val="18"/>
        </w:rPr>
        <w:t>, N</w:t>
      </w:r>
      <w:r w:rsidRPr="00B32C19">
        <w:rPr>
          <w:b/>
          <w:sz w:val="18"/>
          <w:szCs w:val="18"/>
          <w:vertAlign w:val="subscript"/>
        </w:rPr>
        <w:t>1</w:t>
      </w:r>
      <w:r w:rsidRPr="00B32C19">
        <w:rPr>
          <w:b/>
          <w:sz w:val="18"/>
          <w:szCs w:val="18"/>
        </w:rPr>
        <w:t xml:space="preserve"> and M</w:t>
      </w:r>
      <w:r w:rsidRPr="00B32C19">
        <w:rPr>
          <w:b/>
          <w:sz w:val="18"/>
          <w:szCs w:val="18"/>
          <w:vertAlign w:val="subscript"/>
        </w:rPr>
        <w:t>2</w:t>
      </w:r>
      <w:r w:rsidRPr="00B32C19">
        <w:rPr>
          <w:b/>
          <w:sz w:val="18"/>
          <w:szCs w:val="18"/>
        </w:rPr>
        <w:t xml:space="preserve"> ≤ 3</w:t>
      </w:r>
      <w:r w:rsidR="00A47EFF">
        <w:rPr>
          <w:b/>
          <w:sz w:val="18"/>
          <w:szCs w:val="18"/>
        </w:rPr>
        <w:t>,</w:t>
      </w:r>
      <w:r w:rsidRPr="00B32C19">
        <w:rPr>
          <w:b/>
          <w:sz w:val="18"/>
          <w:szCs w:val="18"/>
        </w:rPr>
        <w:t>500 kg.</w:t>
      </w:r>
    </w:p>
    <w:p w:rsidR="005D50B2" w:rsidRPr="00B32C19" w:rsidRDefault="005D50B2" w:rsidP="005D50B2">
      <w:pPr>
        <w:pStyle w:val="SingleTxtG"/>
        <w:tabs>
          <w:tab w:val="left" w:pos="1560"/>
        </w:tabs>
        <w:ind w:left="1560" w:hanging="426"/>
        <w:rPr>
          <w:b/>
          <w:sz w:val="18"/>
          <w:szCs w:val="18"/>
        </w:rPr>
      </w:pPr>
      <w:r w:rsidRPr="00B32C19">
        <w:rPr>
          <w:b/>
          <w:sz w:val="18"/>
          <w:szCs w:val="18"/>
        </w:rPr>
        <w:t xml:space="preserve">*** </w:t>
      </w:r>
      <w:r w:rsidRPr="00B32C19">
        <w:rPr>
          <w:b/>
          <w:sz w:val="18"/>
          <w:szCs w:val="18"/>
        </w:rPr>
        <w:tab/>
        <w:t>Partial load shall be achieved by simulation of the travel restriction of the accelerator. It is not allowed to interfere with the engine control management.</w:t>
      </w:r>
    </w:p>
    <w:p w:rsidR="005D50B2" w:rsidRPr="00B32C19" w:rsidRDefault="005D50B2" w:rsidP="005D50B2">
      <w:pPr>
        <w:pStyle w:val="SingleTxtG"/>
        <w:tabs>
          <w:tab w:val="left" w:pos="1560"/>
        </w:tabs>
        <w:ind w:left="1560" w:hanging="426"/>
        <w:rPr>
          <w:b/>
        </w:rPr>
      </w:pPr>
      <w:r w:rsidRPr="00B32C19">
        <w:rPr>
          <w:b/>
          <w:sz w:val="18"/>
          <w:szCs w:val="18"/>
        </w:rPr>
        <w:t>****</w:t>
      </w:r>
      <w:r w:rsidRPr="00B32C19">
        <w:rPr>
          <w:b/>
          <w:sz w:val="18"/>
          <w:szCs w:val="18"/>
        </w:rPr>
        <w:tab/>
        <w:t>Applicable only to Pure Electric Vehicle (PEV) as defined in the 07 series of amendments to UN Regulation No. 83, paragraph 2.30.</w:t>
      </w:r>
    </w:p>
    <w:p w:rsidR="000E3C8C" w:rsidRPr="00B32C19" w:rsidRDefault="000E3C8C" w:rsidP="000E3C8C">
      <w:pPr>
        <w:pStyle w:val="SingleTxtG"/>
      </w:pPr>
      <w:r w:rsidRPr="00B32C19">
        <w:rPr>
          <w:i/>
        </w:rPr>
        <w:t xml:space="preserve">Annex 7, paragraph 2.5.1., </w:t>
      </w:r>
      <w:r w:rsidRPr="00B32C19">
        <w:t>amend to read:</w:t>
      </w:r>
    </w:p>
    <w:p w:rsidR="000E3C8C" w:rsidRPr="00B32C19" w:rsidRDefault="000E3C8C" w:rsidP="000E3C8C">
      <w:pPr>
        <w:pStyle w:val="SingleTxtG"/>
        <w:ind w:left="2268" w:hanging="1134"/>
      </w:pPr>
      <w:r w:rsidRPr="00B32C19">
        <w:t xml:space="preserve">“2.5.1. </w:t>
      </w:r>
      <w:r w:rsidRPr="00B32C19">
        <w:tab/>
        <w:t>…</w:t>
      </w:r>
    </w:p>
    <w:p w:rsidR="000E3C8C" w:rsidRPr="00B32C19" w:rsidRDefault="000E3C8C" w:rsidP="000E3C8C">
      <w:pPr>
        <w:pStyle w:val="SingleTxtG"/>
        <w:ind w:left="2268"/>
      </w:pPr>
      <w:r w:rsidRPr="00B32C19">
        <w:t>In case of non-locked transmission conditions, the test may include a gear ratio change to a lower range and a higher acceleration. A gear change to a higher range and a lower acceleration is not allowed.</w:t>
      </w:r>
    </w:p>
    <w:p w:rsidR="000E3C8C" w:rsidRPr="00B32C19" w:rsidRDefault="000E3C8C" w:rsidP="000E3C8C">
      <w:pPr>
        <w:pStyle w:val="SingleTxtG"/>
        <w:ind w:left="2268"/>
      </w:pPr>
      <w:r w:rsidRPr="00B32C19">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rsidR="000E3C8C" w:rsidRPr="00B32C19" w:rsidRDefault="000E3C8C" w:rsidP="000E3C8C">
      <w:pPr>
        <w:spacing w:after="120"/>
        <w:ind w:left="2268" w:right="1134"/>
        <w:jc w:val="both"/>
        <w:rPr>
          <w:b/>
        </w:rPr>
      </w:pPr>
      <w:r w:rsidRPr="00B32C19">
        <w:rPr>
          <w:b/>
        </w:rPr>
        <w:t xml:space="preserve">Table 1 in Appendix to Annex 3 provides examples for valid measures to control the downshift of gears. Any measure used by manufacturer for </w:t>
      </w:r>
      <w:r w:rsidR="00A47EFF">
        <w:rPr>
          <w:b/>
        </w:rPr>
        <w:t xml:space="preserve">the </w:t>
      </w:r>
      <w:r w:rsidR="00A47EFF" w:rsidRPr="00B32C19">
        <w:rPr>
          <w:b/>
        </w:rPr>
        <w:t>above</w:t>
      </w:r>
      <w:r w:rsidR="00A47EFF">
        <w:rPr>
          <w:b/>
        </w:rPr>
        <w:t>-</w:t>
      </w:r>
      <w:r w:rsidRPr="00B32C19">
        <w:rPr>
          <w:b/>
        </w:rPr>
        <w:t>mentioned purpose</w:t>
      </w:r>
      <w:r w:rsidR="00D86943">
        <w:rPr>
          <w:b/>
        </w:rPr>
        <w:t>s</w:t>
      </w:r>
      <w:r w:rsidRPr="00B32C19">
        <w:rPr>
          <w:b/>
        </w:rPr>
        <w:t xml:space="preserve"> shall be documented in the test report.”</w:t>
      </w:r>
    </w:p>
    <w:p w:rsidR="000E3C8C" w:rsidRPr="00B32C19" w:rsidRDefault="000E3C8C" w:rsidP="000E3C8C">
      <w:pPr>
        <w:spacing w:after="120"/>
        <w:ind w:left="1134" w:right="1134"/>
        <w:rPr>
          <w:i/>
        </w:rPr>
      </w:pPr>
    </w:p>
    <w:p w:rsidR="000E3C8C" w:rsidRPr="00B32C19" w:rsidRDefault="000E3C8C">
      <w:pPr>
        <w:suppressAutoHyphens w:val="0"/>
        <w:spacing w:line="240" w:lineRule="auto"/>
        <w:rPr>
          <w:b/>
          <w:sz w:val="28"/>
        </w:rPr>
      </w:pPr>
      <w:r w:rsidRPr="00B32C19">
        <w:br w:type="page"/>
      </w:r>
    </w:p>
    <w:p w:rsidR="00C00457" w:rsidRPr="00B32C19" w:rsidRDefault="00C00457" w:rsidP="0024614E">
      <w:pPr>
        <w:pStyle w:val="HChG"/>
      </w:pPr>
      <w:r w:rsidRPr="00B32C19">
        <w:lastRenderedPageBreak/>
        <w:t xml:space="preserve">Annex </w:t>
      </w:r>
      <w:r w:rsidR="0036512F" w:rsidRPr="00B32C19">
        <w:t>I</w:t>
      </w:r>
      <w:r w:rsidR="00335FC0" w:rsidRPr="00B32C19">
        <w:t>V</w:t>
      </w:r>
    </w:p>
    <w:p w:rsidR="00C00457" w:rsidRPr="00B32C19" w:rsidRDefault="00C00457" w:rsidP="0024614E">
      <w:pPr>
        <w:pStyle w:val="HChG"/>
      </w:pPr>
      <w:r w:rsidRPr="00B32C19">
        <w:tab/>
      </w:r>
      <w:r w:rsidRPr="00B32C19">
        <w:tab/>
        <w:t>GRB informal groups</w:t>
      </w:r>
    </w:p>
    <w:tbl>
      <w:tblPr>
        <w:tblW w:w="8554" w:type="dxa"/>
        <w:tblInd w:w="1134" w:type="dxa"/>
        <w:tblLayout w:type="fixed"/>
        <w:tblCellMar>
          <w:left w:w="0" w:type="dxa"/>
          <w:right w:w="0" w:type="dxa"/>
        </w:tblCellMar>
        <w:tblLook w:val="01E0" w:firstRow="1" w:lastRow="1" w:firstColumn="1" w:lastColumn="1" w:noHBand="0" w:noVBand="0"/>
      </w:tblPr>
      <w:tblGrid>
        <w:gridCol w:w="993"/>
        <w:gridCol w:w="3118"/>
        <w:gridCol w:w="3260"/>
        <w:gridCol w:w="1183"/>
      </w:tblGrid>
      <w:tr w:rsidR="00C00457" w:rsidRPr="00B32C19" w:rsidTr="00F634A6">
        <w:tc>
          <w:tcPr>
            <w:tcW w:w="993" w:type="dxa"/>
            <w:tcBorders>
              <w:top w:val="single" w:sz="4" w:space="0" w:color="auto"/>
              <w:bottom w:val="single" w:sz="12" w:space="0" w:color="auto"/>
            </w:tcBorders>
            <w:shd w:val="clear" w:color="auto" w:fill="auto"/>
          </w:tcPr>
          <w:p w:rsidR="00C00457" w:rsidRPr="00B32C19" w:rsidRDefault="00C00457" w:rsidP="003666E4">
            <w:pPr>
              <w:tabs>
                <w:tab w:val="left" w:pos="5103"/>
              </w:tabs>
              <w:spacing w:before="40" w:after="120"/>
              <w:ind w:left="57" w:right="113"/>
              <w:rPr>
                <w:i/>
                <w:sz w:val="16"/>
                <w:szCs w:val="16"/>
                <w:highlight w:val="cyan"/>
              </w:rPr>
            </w:pPr>
            <w:r w:rsidRPr="00B32C19">
              <w:rPr>
                <w:i/>
                <w:sz w:val="16"/>
                <w:szCs w:val="16"/>
              </w:rPr>
              <w:t>Informal group</w:t>
            </w:r>
          </w:p>
        </w:tc>
        <w:tc>
          <w:tcPr>
            <w:tcW w:w="3118" w:type="dxa"/>
            <w:tcBorders>
              <w:top w:val="single" w:sz="4" w:space="0" w:color="auto"/>
              <w:bottom w:val="single" w:sz="12" w:space="0" w:color="auto"/>
            </w:tcBorders>
            <w:shd w:val="clear" w:color="auto" w:fill="auto"/>
          </w:tcPr>
          <w:p w:rsidR="00C00457" w:rsidRPr="00B32C19" w:rsidRDefault="00C00457" w:rsidP="003666E4">
            <w:pPr>
              <w:tabs>
                <w:tab w:val="left" w:pos="5103"/>
              </w:tabs>
              <w:spacing w:before="40" w:after="120"/>
              <w:ind w:left="57" w:right="113"/>
              <w:rPr>
                <w:i/>
                <w:sz w:val="16"/>
                <w:szCs w:val="16"/>
              </w:rPr>
            </w:pPr>
            <w:r w:rsidRPr="00B32C19">
              <w:rPr>
                <w:i/>
                <w:sz w:val="16"/>
                <w:szCs w:val="16"/>
              </w:rPr>
              <w:t>Chair(s)</w:t>
            </w:r>
            <w:r w:rsidR="00B40917" w:rsidRPr="00B32C19">
              <w:rPr>
                <w:i/>
                <w:sz w:val="16"/>
                <w:szCs w:val="16"/>
              </w:rPr>
              <w:t xml:space="preserve"> and Co-chair(s) </w:t>
            </w:r>
          </w:p>
        </w:tc>
        <w:tc>
          <w:tcPr>
            <w:tcW w:w="3260" w:type="dxa"/>
            <w:tcBorders>
              <w:top w:val="single" w:sz="4" w:space="0" w:color="auto"/>
              <w:bottom w:val="single" w:sz="12" w:space="0" w:color="auto"/>
            </w:tcBorders>
            <w:shd w:val="clear" w:color="auto" w:fill="auto"/>
          </w:tcPr>
          <w:p w:rsidR="00C00457" w:rsidRPr="00B32C19" w:rsidRDefault="00C00457" w:rsidP="003666E4">
            <w:pPr>
              <w:tabs>
                <w:tab w:val="left" w:pos="5103"/>
              </w:tabs>
              <w:spacing w:before="40" w:after="120"/>
              <w:ind w:left="57" w:right="113"/>
              <w:rPr>
                <w:i/>
                <w:sz w:val="16"/>
                <w:szCs w:val="16"/>
              </w:rPr>
            </w:pPr>
            <w:r w:rsidRPr="00B32C19">
              <w:rPr>
                <w:i/>
                <w:sz w:val="16"/>
                <w:szCs w:val="16"/>
              </w:rPr>
              <w:t>Secretary</w:t>
            </w:r>
          </w:p>
        </w:tc>
        <w:tc>
          <w:tcPr>
            <w:tcW w:w="1183" w:type="dxa"/>
            <w:tcBorders>
              <w:top w:val="single" w:sz="4" w:space="0" w:color="auto"/>
              <w:bottom w:val="single" w:sz="12" w:space="0" w:color="auto"/>
            </w:tcBorders>
          </w:tcPr>
          <w:p w:rsidR="005E1744" w:rsidRPr="00B32C19" w:rsidRDefault="00C00457" w:rsidP="003666E4">
            <w:pPr>
              <w:tabs>
                <w:tab w:val="left" w:pos="5103"/>
              </w:tabs>
              <w:spacing w:before="40" w:after="120"/>
              <w:ind w:left="57" w:right="113"/>
              <w:rPr>
                <w:i/>
                <w:iCs/>
                <w:sz w:val="16"/>
                <w:szCs w:val="16"/>
              </w:rPr>
            </w:pPr>
            <w:r w:rsidRPr="00B32C19">
              <w:rPr>
                <w:i/>
                <w:iCs/>
                <w:sz w:val="16"/>
                <w:szCs w:val="16"/>
              </w:rPr>
              <w:t>Expiry date of the mandate</w:t>
            </w:r>
          </w:p>
        </w:tc>
      </w:tr>
      <w:tr w:rsidR="00C00457" w:rsidRPr="00B32C19" w:rsidTr="00F634A6">
        <w:tc>
          <w:tcPr>
            <w:tcW w:w="993" w:type="dxa"/>
            <w:shd w:val="clear" w:color="auto" w:fill="auto"/>
            <w:tcMar>
              <w:top w:w="113" w:type="dxa"/>
              <w:bottom w:w="113" w:type="dxa"/>
            </w:tcMar>
          </w:tcPr>
          <w:p w:rsidR="00C00457" w:rsidRPr="00B32C19" w:rsidRDefault="00C00457" w:rsidP="003666E4">
            <w:pPr>
              <w:tabs>
                <w:tab w:val="left" w:pos="5103"/>
              </w:tabs>
              <w:ind w:left="57"/>
            </w:pPr>
            <w:r w:rsidRPr="00B32C19">
              <w:t>Quiet road transport vehicles (QRTV)</w:t>
            </w:r>
            <w:r w:rsidR="00B36E37" w:rsidRPr="00B32C19">
              <w:t xml:space="preserve"> for GTR</w:t>
            </w:r>
          </w:p>
        </w:tc>
        <w:tc>
          <w:tcPr>
            <w:tcW w:w="3118" w:type="dxa"/>
            <w:shd w:val="clear" w:color="auto" w:fill="auto"/>
            <w:tcMar>
              <w:top w:w="113" w:type="dxa"/>
              <w:bottom w:w="113" w:type="dxa"/>
            </w:tcMar>
            <w:vAlign w:val="center"/>
          </w:tcPr>
          <w:p w:rsidR="00C00457" w:rsidRPr="005D5B99" w:rsidRDefault="00C00457" w:rsidP="003666E4">
            <w:pPr>
              <w:tabs>
                <w:tab w:val="left" w:pos="5103"/>
              </w:tabs>
              <w:ind w:left="57"/>
              <w:rPr>
                <w:lang w:val="es-ES"/>
              </w:rPr>
            </w:pPr>
            <w:r w:rsidRPr="005D5B99">
              <w:rPr>
                <w:lang w:val="es-ES"/>
              </w:rPr>
              <w:t>Mr. Ezana Wondimneh (USA)</w:t>
            </w:r>
            <w:r w:rsidRPr="005D5B99">
              <w:rPr>
                <w:lang w:val="es-ES"/>
              </w:rPr>
              <w:br/>
              <w:t>Tel: +1 202 366 21 17</w:t>
            </w:r>
            <w:r w:rsidRPr="005D5B99">
              <w:rPr>
                <w:lang w:val="es-ES"/>
              </w:rPr>
              <w:br/>
              <w:t>Email: Ezana.wondimneh@dot.gov</w:t>
            </w:r>
          </w:p>
          <w:p w:rsidR="009F3F74" w:rsidRPr="005D5B99" w:rsidRDefault="00EB3633" w:rsidP="003666E4">
            <w:pPr>
              <w:tabs>
                <w:tab w:val="left" w:pos="5103"/>
              </w:tabs>
              <w:spacing w:before="120"/>
              <w:ind w:left="57"/>
              <w:rPr>
                <w:lang w:val="es-ES" w:eastAsia="ja-JP"/>
              </w:rPr>
            </w:pPr>
            <w:r w:rsidRPr="005D5B99">
              <w:rPr>
                <w:lang w:val="es-ES" w:eastAsia="ja-JP"/>
              </w:rPr>
              <w:t xml:space="preserve">Mr. </w:t>
            </w:r>
            <w:r w:rsidR="009F3F74" w:rsidRPr="005D5B99">
              <w:rPr>
                <w:lang w:val="es-ES" w:eastAsia="ja-JP"/>
              </w:rPr>
              <w:t>Ichiro Sakamoto</w:t>
            </w:r>
            <w:r w:rsidR="00C8349E" w:rsidRPr="005D5B99">
              <w:rPr>
                <w:lang w:val="es-ES" w:eastAsia="ja-JP"/>
              </w:rPr>
              <w:t xml:space="preserve"> (Japan)</w:t>
            </w:r>
          </w:p>
          <w:p w:rsidR="009F3F74" w:rsidRPr="005D5B99" w:rsidRDefault="009F3F74" w:rsidP="003666E4">
            <w:pPr>
              <w:keepNext/>
              <w:keepLines/>
              <w:tabs>
                <w:tab w:val="left" w:pos="4536"/>
              </w:tabs>
              <w:ind w:left="57"/>
              <w:rPr>
                <w:lang w:val="es-ES"/>
              </w:rPr>
            </w:pPr>
            <w:r w:rsidRPr="005D5B99">
              <w:rPr>
                <w:lang w:val="es-ES" w:eastAsia="ja-JP"/>
              </w:rPr>
              <w:t>Tel:</w:t>
            </w:r>
            <w:r w:rsidRPr="005D5B99">
              <w:rPr>
                <w:lang w:val="es-ES"/>
              </w:rPr>
              <w:t>+81 422 41 66 18</w:t>
            </w:r>
          </w:p>
          <w:p w:rsidR="009F3F74" w:rsidRPr="005D5B99" w:rsidRDefault="009F3F74" w:rsidP="003666E4">
            <w:pPr>
              <w:keepNext/>
              <w:keepLines/>
              <w:tabs>
                <w:tab w:val="left" w:pos="4536"/>
              </w:tabs>
              <w:ind w:left="57"/>
              <w:rPr>
                <w:lang w:val="es-ES"/>
              </w:rPr>
            </w:pPr>
            <w:r w:rsidRPr="005D5B99">
              <w:rPr>
                <w:lang w:val="es-ES"/>
              </w:rPr>
              <w:t>Fax:+81 422 76 86 04</w:t>
            </w:r>
          </w:p>
          <w:p w:rsidR="009F3F74" w:rsidRPr="005D5B99" w:rsidRDefault="009F3F74" w:rsidP="003666E4">
            <w:pPr>
              <w:ind w:left="57"/>
              <w:rPr>
                <w:lang w:val="es-ES" w:eastAsia="ja-JP"/>
              </w:rPr>
            </w:pPr>
            <w:r w:rsidRPr="005D5B99">
              <w:rPr>
                <w:lang w:val="es-ES"/>
              </w:rPr>
              <w:t xml:space="preserve">E-mail: </w:t>
            </w:r>
            <w:r w:rsidRPr="005D5B99">
              <w:rPr>
                <w:lang w:val="es-ES" w:eastAsia="ja-JP"/>
              </w:rPr>
              <w:t>i-saka@ntsel.go.jp</w:t>
            </w:r>
          </w:p>
        </w:tc>
        <w:tc>
          <w:tcPr>
            <w:tcW w:w="3260" w:type="dxa"/>
            <w:shd w:val="clear" w:color="auto" w:fill="auto"/>
            <w:tcMar>
              <w:top w:w="113" w:type="dxa"/>
              <w:bottom w:w="113" w:type="dxa"/>
            </w:tcMar>
          </w:tcPr>
          <w:p w:rsidR="00BC4A3D" w:rsidRPr="00B32C19" w:rsidRDefault="00C00457" w:rsidP="003666E4">
            <w:pPr>
              <w:keepNext/>
              <w:keepLines/>
              <w:tabs>
                <w:tab w:val="left" w:pos="4536"/>
              </w:tabs>
              <w:ind w:left="57"/>
            </w:pPr>
            <w:r w:rsidRPr="00B32C19">
              <w:t xml:space="preserve">Mr. </w:t>
            </w:r>
            <w:r w:rsidR="00BC4A3D" w:rsidRPr="00B32C19">
              <w:t xml:space="preserve">Andreas Vosinis </w:t>
            </w:r>
            <w:r w:rsidRPr="00B32C19">
              <w:t xml:space="preserve"> (</w:t>
            </w:r>
            <w:r w:rsidR="00C365AF" w:rsidRPr="00B32C19">
              <w:t xml:space="preserve">Directorate General </w:t>
            </w:r>
            <w:r w:rsidR="00BC4A3D" w:rsidRPr="00B32C19">
              <w:t>Growth</w:t>
            </w:r>
            <w:r w:rsidR="007E448B" w:rsidRPr="00B32C19">
              <w:t>,</w:t>
            </w:r>
            <w:r w:rsidR="00C365AF" w:rsidRPr="00B32C19">
              <w:t xml:space="preserve"> European Commission</w:t>
            </w:r>
            <w:r w:rsidRPr="00B32C19">
              <w:t>)</w:t>
            </w:r>
            <w:r w:rsidRPr="00B32C19">
              <w:br/>
            </w:r>
            <w:r w:rsidR="00C365AF" w:rsidRPr="00B32C19">
              <w:t>Tel:+</w:t>
            </w:r>
            <w:r w:rsidR="00BC4A3D" w:rsidRPr="00B32C19">
              <w:t xml:space="preserve"> 32 2 2992116 </w:t>
            </w:r>
          </w:p>
          <w:p w:rsidR="00BC4A3D" w:rsidRPr="00B32C19" w:rsidRDefault="00BC4A3D" w:rsidP="003666E4">
            <w:pPr>
              <w:keepNext/>
              <w:keepLines/>
              <w:tabs>
                <w:tab w:val="left" w:pos="4536"/>
              </w:tabs>
              <w:ind w:left="57"/>
            </w:pPr>
            <w:r w:rsidRPr="00B32C19">
              <w:t xml:space="preserve">Email: andreas.vosinis@ec.europa.eu </w:t>
            </w:r>
          </w:p>
          <w:p w:rsidR="00C00457" w:rsidRPr="00B32C19" w:rsidRDefault="00C00457" w:rsidP="003666E4">
            <w:pPr>
              <w:tabs>
                <w:tab w:val="left" w:pos="5103"/>
              </w:tabs>
              <w:ind w:left="57"/>
            </w:pPr>
          </w:p>
        </w:tc>
        <w:tc>
          <w:tcPr>
            <w:tcW w:w="1183" w:type="dxa"/>
          </w:tcPr>
          <w:p w:rsidR="00C00457" w:rsidRPr="00B32C19" w:rsidRDefault="00EA2A15" w:rsidP="001740F5">
            <w:pPr>
              <w:tabs>
                <w:tab w:val="left" w:pos="5103"/>
              </w:tabs>
              <w:ind w:left="57"/>
            </w:pPr>
            <w:r w:rsidRPr="00B32C19">
              <w:t xml:space="preserve">December </w:t>
            </w:r>
            <w:r w:rsidR="00565904" w:rsidRPr="00B32C19">
              <w:t>201</w:t>
            </w:r>
            <w:r w:rsidR="001740F5" w:rsidRPr="00B32C19">
              <w:t>8</w:t>
            </w:r>
          </w:p>
        </w:tc>
      </w:tr>
      <w:tr w:rsidR="005B61FD" w:rsidRPr="00B32C19" w:rsidTr="00F634A6">
        <w:tc>
          <w:tcPr>
            <w:tcW w:w="993" w:type="dxa"/>
            <w:tcBorders>
              <w:bottom w:val="single" w:sz="12" w:space="0" w:color="auto"/>
            </w:tcBorders>
            <w:shd w:val="clear" w:color="auto" w:fill="auto"/>
            <w:tcMar>
              <w:top w:w="113" w:type="dxa"/>
              <w:bottom w:w="113" w:type="dxa"/>
            </w:tcMar>
          </w:tcPr>
          <w:p w:rsidR="005B61FD" w:rsidRPr="00B32C19" w:rsidRDefault="005B61FD" w:rsidP="001740F5">
            <w:pPr>
              <w:tabs>
                <w:tab w:val="left" w:pos="5103"/>
              </w:tabs>
              <w:ind w:left="57"/>
            </w:pPr>
            <w:r w:rsidRPr="00B32C19">
              <w:t>Additional sound emission provisions (ASEP)</w:t>
            </w:r>
          </w:p>
        </w:tc>
        <w:tc>
          <w:tcPr>
            <w:tcW w:w="3118" w:type="dxa"/>
            <w:tcBorders>
              <w:bottom w:val="single" w:sz="12" w:space="0" w:color="auto"/>
            </w:tcBorders>
            <w:shd w:val="clear" w:color="auto" w:fill="auto"/>
            <w:tcMar>
              <w:top w:w="113" w:type="dxa"/>
              <w:bottom w:w="113" w:type="dxa"/>
            </w:tcMar>
          </w:tcPr>
          <w:p w:rsidR="00A910F2" w:rsidRPr="00B32C19" w:rsidRDefault="00A910F2" w:rsidP="00A910F2">
            <w:pPr>
              <w:keepNext/>
              <w:keepLines/>
              <w:tabs>
                <w:tab w:val="left" w:pos="4536"/>
              </w:tabs>
              <w:ind w:left="57"/>
            </w:pPr>
            <w:r w:rsidRPr="00B32C19">
              <w:t>Mr. Louis-Ferdinand Pardo (France)</w:t>
            </w:r>
          </w:p>
          <w:p w:rsidR="00A910F2" w:rsidRPr="00B32C19" w:rsidRDefault="00A910F2" w:rsidP="00A910F2">
            <w:pPr>
              <w:keepNext/>
              <w:keepLines/>
              <w:tabs>
                <w:tab w:val="left" w:pos="4536"/>
              </w:tabs>
              <w:ind w:left="57"/>
            </w:pPr>
            <w:r w:rsidRPr="00B32C19">
              <w:t>Tel: +33 1 69 80 17 66</w:t>
            </w:r>
          </w:p>
          <w:p w:rsidR="00A910F2" w:rsidRPr="00B32C19" w:rsidRDefault="00A910F2" w:rsidP="00A910F2">
            <w:pPr>
              <w:keepNext/>
              <w:keepLines/>
              <w:tabs>
                <w:tab w:val="left" w:pos="4536"/>
              </w:tabs>
              <w:ind w:left="57"/>
            </w:pPr>
            <w:r w:rsidRPr="00B32C19">
              <w:t>Fax: +33 1 69 80 17 09</w:t>
            </w:r>
          </w:p>
          <w:p w:rsidR="00A910F2" w:rsidRPr="00B32C19" w:rsidRDefault="00A910F2" w:rsidP="00A910F2">
            <w:pPr>
              <w:keepNext/>
              <w:keepLines/>
              <w:tabs>
                <w:tab w:val="left" w:pos="4536"/>
              </w:tabs>
              <w:ind w:left="57"/>
            </w:pPr>
            <w:r w:rsidRPr="00B32C19">
              <w:t>Email: louis-ferdinand.pardo@utaceram.com</w:t>
            </w:r>
          </w:p>
          <w:p w:rsidR="00626437" w:rsidRPr="00B32C19" w:rsidRDefault="00626437" w:rsidP="00626437">
            <w:pPr>
              <w:keepNext/>
              <w:keepLines/>
              <w:tabs>
                <w:tab w:val="left" w:pos="4536"/>
              </w:tabs>
              <w:spacing w:before="120"/>
              <w:ind w:left="57"/>
            </w:pPr>
            <w:r w:rsidRPr="00B32C19">
              <w:t>Mr. Dongming Xie (China)</w:t>
            </w:r>
          </w:p>
          <w:p w:rsidR="00626437" w:rsidRPr="00B32C19" w:rsidRDefault="00626437" w:rsidP="00626437">
            <w:pPr>
              <w:keepNext/>
              <w:keepLines/>
              <w:tabs>
                <w:tab w:val="left" w:pos="4536"/>
              </w:tabs>
              <w:ind w:left="57"/>
            </w:pPr>
            <w:r w:rsidRPr="00B32C19">
              <w:t>Phone: +86 22 843 79284</w:t>
            </w:r>
          </w:p>
          <w:p w:rsidR="00626437" w:rsidRPr="00B32C19" w:rsidRDefault="00626437" w:rsidP="00626437">
            <w:pPr>
              <w:keepNext/>
              <w:keepLines/>
              <w:tabs>
                <w:tab w:val="left" w:pos="4536"/>
              </w:tabs>
              <w:ind w:left="57"/>
            </w:pPr>
            <w:r w:rsidRPr="00B32C19">
              <w:t>Fax: +86 22 84379259</w:t>
            </w:r>
          </w:p>
          <w:p w:rsidR="00A910F2" w:rsidRPr="00B32C19" w:rsidRDefault="00626437" w:rsidP="00626437">
            <w:pPr>
              <w:keepNext/>
              <w:keepLines/>
              <w:tabs>
                <w:tab w:val="left" w:pos="4536"/>
              </w:tabs>
              <w:ind w:left="57"/>
            </w:pPr>
            <w:r w:rsidRPr="00B32C19">
              <w:t>Email: xiedongming@catarc.ac.cn</w:t>
            </w:r>
          </w:p>
          <w:p w:rsidR="00626437" w:rsidRPr="00B32C19" w:rsidRDefault="00626437" w:rsidP="00626437">
            <w:pPr>
              <w:tabs>
                <w:tab w:val="left" w:pos="5103"/>
              </w:tabs>
              <w:spacing w:before="120"/>
              <w:ind w:left="57"/>
            </w:pPr>
            <w:r w:rsidRPr="00B32C19">
              <w:t>Mr. Kazuhiro Okamoto (Japan)</w:t>
            </w:r>
          </w:p>
          <w:p w:rsidR="00626437" w:rsidRPr="00B32C19" w:rsidRDefault="00626437" w:rsidP="00626437">
            <w:pPr>
              <w:tabs>
                <w:tab w:val="left" w:pos="5103"/>
              </w:tabs>
              <w:ind w:left="57"/>
            </w:pPr>
            <w:r w:rsidRPr="00B32C19">
              <w:t>Phone: +81 422 41 3227</w:t>
            </w:r>
          </w:p>
          <w:p w:rsidR="00626437" w:rsidRPr="006B44AC" w:rsidRDefault="00626437" w:rsidP="00626437">
            <w:pPr>
              <w:tabs>
                <w:tab w:val="left" w:pos="5103"/>
              </w:tabs>
              <w:ind w:left="57"/>
              <w:rPr>
                <w:lang w:val="fr-FR"/>
              </w:rPr>
            </w:pPr>
            <w:r w:rsidRPr="006B44AC">
              <w:rPr>
                <w:lang w:val="fr-FR"/>
              </w:rPr>
              <w:t>Fax: +81 422 41 3232</w:t>
            </w:r>
          </w:p>
          <w:p w:rsidR="00626437" w:rsidRPr="006B44AC" w:rsidRDefault="00626437" w:rsidP="00F85F2A">
            <w:pPr>
              <w:tabs>
                <w:tab w:val="left" w:pos="5103"/>
              </w:tabs>
              <w:ind w:left="57"/>
              <w:rPr>
                <w:lang w:val="fr-FR"/>
              </w:rPr>
            </w:pPr>
            <w:r w:rsidRPr="006B44AC">
              <w:rPr>
                <w:lang w:val="fr-FR"/>
              </w:rPr>
              <w:t>Email: k-okamot@shinsa.ntsel.go.jp</w:t>
            </w:r>
          </w:p>
        </w:tc>
        <w:tc>
          <w:tcPr>
            <w:tcW w:w="3260" w:type="dxa"/>
            <w:tcBorders>
              <w:bottom w:val="single" w:sz="12" w:space="0" w:color="auto"/>
            </w:tcBorders>
            <w:shd w:val="clear" w:color="auto" w:fill="FFFFFF" w:themeFill="background1"/>
            <w:tcMar>
              <w:top w:w="113" w:type="dxa"/>
              <w:bottom w:w="113" w:type="dxa"/>
            </w:tcMar>
          </w:tcPr>
          <w:p w:rsidR="00F634A6" w:rsidRPr="005D5B99" w:rsidRDefault="00F634A6" w:rsidP="00F634A6">
            <w:pPr>
              <w:keepNext/>
              <w:keepLines/>
              <w:tabs>
                <w:tab w:val="left" w:pos="4536"/>
              </w:tabs>
              <w:ind w:left="57"/>
              <w:rPr>
                <w:lang w:val="fr-CH"/>
              </w:rPr>
            </w:pPr>
            <w:r w:rsidRPr="005D5B99">
              <w:rPr>
                <w:lang w:val="fr-CH"/>
              </w:rPr>
              <w:t>Mrs. Françoise Silvani</w:t>
            </w:r>
          </w:p>
          <w:p w:rsidR="00F634A6" w:rsidRPr="005D5B99" w:rsidRDefault="00F634A6" w:rsidP="00F634A6">
            <w:pPr>
              <w:keepNext/>
              <w:keepLines/>
              <w:tabs>
                <w:tab w:val="left" w:pos="4536"/>
              </w:tabs>
              <w:ind w:left="57"/>
              <w:rPr>
                <w:lang w:val="fr-CH"/>
              </w:rPr>
            </w:pPr>
            <w:r w:rsidRPr="005D5B99">
              <w:rPr>
                <w:lang w:val="fr-CH"/>
              </w:rPr>
              <w:t>(OICA)</w:t>
            </w:r>
          </w:p>
          <w:p w:rsidR="00F634A6" w:rsidRPr="005D5B99" w:rsidRDefault="00F634A6" w:rsidP="00F634A6">
            <w:pPr>
              <w:keepNext/>
              <w:keepLines/>
              <w:tabs>
                <w:tab w:val="left" w:pos="4536"/>
              </w:tabs>
              <w:ind w:left="57"/>
              <w:rPr>
                <w:lang w:val="fr-CH"/>
              </w:rPr>
            </w:pPr>
            <w:r w:rsidRPr="005D5B99">
              <w:rPr>
                <w:lang w:val="fr-CH"/>
              </w:rPr>
              <w:t>Tel: +33 1 76 85 05 92</w:t>
            </w:r>
          </w:p>
          <w:p w:rsidR="00F634A6" w:rsidRPr="005D5B99" w:rsidRDefault="00F634A6" w:rsidP="00F634A6">
            <w:pPr>
              <w:keepNext/>
              <w:keepLines/>
              <w:tabs>
                <w:tab w:val="left" w:pos="4536"/>
              </w:tabs>
              <w:ind w:left="57"/>
              <w:rPr>
                <w:lang w:val="fr-CH"/>
              </w:rPr>
            </w:pPr>
            <w:r w:rsidRPr="005D5B99">
              <w:rPr>
                <w:lang w:val="fr-CH"/>
              </w:rPr>
              <w:t>Fax: +33 1 76 86 92 89</w:t>
            </w:r>
          </w:p>
          <w:p w:rsidR="005B61FD" w:rsidRPr="005D5B99" w:rsidRDefault="00F634A6" w:rsidP="00F85F2A">
            <w:pPr>
              <w:keepNext/>
              <w:keepLines/>
              <w:tabs>
                <w:tab w:val="left" w:pos="4536"/>
              </w:tabs>
              <w:ind w:left="57"/>
              <w:rPr>
                <w:lang w:val="fr-CH"/>
              </w:rPr>
            </w:pPr>
            <w:r w:rsidRPr="005D5B99">
              <w:rPr>
                <w:lang w:val="fr-CH"/>
              </w:rPr>
              <w:t xml:space="preserve">Email: francoise.silvani@renault.com </w:t>
            </w:r>
            <w:r w:rsidR="00A910F2" w:rsidRPr="005D5B99">
              <w:rPr>
                <w:lang w:val="fr-CH"/>
              </w:rPr>
              <w:t xml:space="preserve"> </w:t>
            </w:r>
          </w:p>
        </w:tc>
        <w:tc>
          <w:tcPr>
            <w:tcW w:w="1183" w:type="dxa"/>
            <w:tcBorders>
              <w:bottom w:val="single" w:sz="12" w:space="0" w:color="auto"/>
            </w:tcBorders>
          </w:tcPr>
          <w:p w:rsidR="005B61FD" w:rsidRPr="00B32C19" w:rsidRDefault="00A910F2" w:rsidP="001740F5">
            <w:pPr>
              <w:tabs>
                <w:tab w:val="left" w:pos="5103"/>
              </w:tabs>
              <w:ind w:left="57"/>
              <w:rPr>
                <w:vertAlign w:val="superscript"/>
              </w:rPr>
            </w:pPr>
            <w:r w:rsidRPr="00B32C19">
              <w:t>September 2019</w:t>
            </w:r>
          </w:p>
        </w:tc>
      </w:tr>
    </w:tbl>
    <w:p w:rsidR="00F67AD0" w:rsidRPr="00B32C19" w:rsidRDefault="00C00457" w:rsidP="0024614E">
      <w:pPr>
        <w:pStyle w:val="SingleTxtG"/>
        <w:spacing w:before="240" w:after="0"/>
        <w:jc w:val="center"/>
        <w:rPr>
          <w:u w:val="single"/>
        </w:rPr>
      </w:pPr>
      <w:r w:rsidRPr="00B32C19">
        <w:rPr>
          <w:u w:val="single"/>
        </w:rPr>
        <w:tab/>
      </w:r>
      <w:r w:rsidRPr="00B32C19">
        <w:rPr>
          <w:u w:val="single"/>
        </w:rPr>
        <w:tab/>
      </w:r>
      <w:r w:rsidRPr="00B32C19">
        <w:rPr>
          <w:u w:val="single"/>
        </w:rPr>
        <w:tab/>
      </w:r>
    </w:p>
    <w:sectPr w:rsidR="00F67AD0" w:rsidRPr="00B32C19" w:rsidSect="00113FB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226"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DB" w:rsidRDefault="003F1EDB"/>
  </w:endnote>
  <w:endnote w:type="continuationSeparator" w:id="0">
    <w:p w:rsidR="003F1EDB" w:rsidRDefault="003F1EDB"/>
  </w:endnote>
  <w:endnote w:type="continuationNotice" w:id="1">
    <w:p w:rsidR="003F1EDB" w:rsidRDefault="003F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DB" w:rsidRDefault="003F1EDB"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486F14">
      <w:rPr>
        <w:b/>
        <w:noProof/>
        <w:sz w:val="18"/>
      </w:rPr>
      <w:t>2</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DB" w:rsidRDefault="003F1EDB"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486F14">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DB" w:rsidRDefault="003F1EDB" w:rsidP="003C7D88">
    <w:pPr>
      <w:pStyle w:val="Footer"/>
    </w:pPr>
    <w:r>
      <w:rPr>
        <w:rFonts w:ascii="C39T30Lfz" w:hAnsi="C39T30Lfz"/>
        <w:noProof/>
        <w:sz w:val="56"/>
        <w:lang w:eastAsia="zh-CN"/>
      </w:rPr>
      <w:drawing>
        <wp:anchor distT="0" distB="0" distL="114300" distR="114300" simplePos="0" relativeHeight="251657728" behindDoc="0" locked="0" layoutInCell="1" allowOverlap="1">
          <wp:simplePos x="0" y="0"/>
          <wp:positionH relativeFrom="margin">
            <wp:posOffset>5409769</wp:posOffset>
          </wp:positionH>
          <wp:positionV relativeFrom="margin">
            <wp:posOffset>7920607</wp:posOffset>
          </wp:positionV>
          <wp:extent cx="638175" cy="638175"/>
          <wp:effectExtent l="0" t="0" r="9525" b="9525"/>
          <wp:wrapNone/>
          <wp:docPr id="1" name="Picture 1" descr="https://undocs.org/m2/QRCode.ashx?DS=ECE/TRANS/WP.29/GRB/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4446905</wp:posOffset>
          </wp:positionH>
          <wp:positionV relativeFrom="margin">
            <wp:posOffset>8184515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F1EDB" w:rsidRDefault="003F1EDB" w:rsidP="003C7D88">
    <w:pPr>
      <w:pStyle w:val="Footer"/>
      <w:ind w:right="1134"/>
      <w:rPr>
        <w:sz w:val="20"/>
      </w:rPr>
    </w:pPr>
    <w:r>
      <w:rPr>
        <w:sz w:val="20"/>
      </w:rPr>
      <w:t>GE.18-03540(E)</w:t>
    </w:r>
  </w:p>
  <w:p w:rsidR="003F1EDB" w:rsidRPr="003C7D88" w:rsidRDefault="003F1EDB" w:rsidP="003C7D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DB" w:rsidRPr="000B175B" w:rsidRDefault="003F1EDB" w:rsidP="000B175B">
      <w:pPr>
        <w:tabs>
          <w:tab w:val="right" w:pos="2155"/>
        </w:tabs>
        <w:spacing w:after="80"/>
        <w:ind w:left="680"/>
        <w:rPr>
          <w:u w:val="single"/>
        </w:rPr>
      </w:pPr>
      <w:r>
        <w:rPr>
          <w:u w:val="single"/>
        </w:rPr>
        <w:tab/>
      </w:r>
    </w:p>
  </w:footnote>
  <w:footnote w:type="continuationSeparator" w:id="0">
    <w:p w:rsidR="003F1EDB" w:rsidRPr="00FC68B7" w:rsidRDefault="003F1EDB" w:rsidP="00FC68B7">
      <w:pPr>
        <w:tabs>
          <w:tab w:val="left" w:pos="2155"/>
        </w:tabs>
        <w:spacing w:after="80"/>
        <w:ind w:left="680"/>
        <w:rPr>
          <w:u w:val="single"/>
        </w:rPr>
      </w:pPr>
      <w:r>
        <w:rPr>
          <w:u w:val="single"/>
        </w:rPr>
        <w:tab/>
      </w:r>
    </w:p>
  </w:footnote>
  <w:footnote w:type="continuationNotice" w:id="1">
    <w:p w:rsidR="003F1EDB" w:rsidRDefault="003F1EDB"/>
  </w:footnote>
  <w:footnote w:id="2">
    <w:p w:rsidR="003F1EDB" w:rsidRPr="000A0BAF" w:rsidRDefault="003F1EDB" w:rsidP="00044B52">
      <w:pPr>
        <w:pStyle w:val="FootnoteText"/>
        <w:widowControl w:val="0"/>
        <w:tabs>
          <w:tab w:val="clear" w:pos="1021"/>
          <w:tab w:val="right" w:pos="1020"/>
        </w:tabs>
      </w:pPr>
      <w:r>
        <w:tab/>
      </w:r>
      <w:r>
        <w:rPr>
          <w:rStyle w:val="FootnoteReference"/>
        </w:rPr>
        <w:footnoteRef/>
      </w:r>
      <w:r>
        <w:tab/>
      </w:r>
      <w:r w:rsidRPr="000A0BAF">
        <w:t>Delete what does not apply.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DB" w:rsidRPr="00BE1AFD" w:rsidRDefault="003F1EDB">
    <w:pPr>
      <w:pStyle w:val="Header"/>
    </w:pPr>
    <w:r>
      <w:t>ECE/TRANS/WP.29/GRB/65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DB" w:rsidRPr="00BE1AFD" w:rsidRDefault="003F1EDB" w:rsidP="00BE1AFD">
    <w:pPr>
      <w:pStyle w:val="Header"/>
      <w:jc w:val="right"/>
    </w:pPr>
    <w:r>
      <w:t>ECE/TRANS/WP.29/GRB/65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19"/>
  </w:num>
  <w:num w:numId="16">
    <w:abstractNumId w:val="14"/>
  </w:num>
  <w:num w:numId="17">
    <w:abstractNumId w:val="15"/>
  </w:num>
  <w:num w:numId="18">
    <w:abstractNumId w:val="13"/>
  </w:num>
  <w:num w:numId="19">
    <w:abstractNumId w:val="20"/>
  </w:num>
  <w:num w:numId="20">
    <w:abstractNumId w:val="21"/>
  </w:num>
  <w:num w:numId="21">
    <w:abstractNumId w:val="12"/>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351"/>
    <w:rsid w:val="0000067B"/>
    <w:rsid w:val="00000CE0"/>
    <w:rsid w:val="00001996"/>
    <w:rsid w:val="00002B0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6D3"/>
    <w:rsid w:val="000160E6"/>
    <w:rsid w:val="000166C0"/>
    <w:rsid w:val="00016957"/>
    <w:rsid w:val="00016E2B"/>
    <w:rsid w:val="00017F70"/>
    <w:rsid w:val="000214E7"/>
    <w:rsid w:val="00022A4A"/>
    <w:rsid w:val="00023421"/>
    <w:rsid w:val="00023E7E"/>
    <w:rsid w:val="000241DC"/>
    <w:rsid w:val="00024AF6"/>
    <w:rsid w:val="000250BE"/>
    <w:rsid w:val="00025551"/>
    <w:rsid w:val="00026A7B"/>
    <w:rsid w:val="00031002"/>
    <w:rsid w:val="00031495"/>
    <w:rsid w:val="000315BC"/>
    <w:rsid w:val="000328DA"/>
    <w:rsid w:val="00033179"/>
    <w:rsid w:val="00033333"/>
    <w:rsid w:val="00033E2B"/>
    <w:rsid w:val="000353D7"/>
    <w:rsid w:val="000358C7"/>
    <w:rsid w:val="00035B7A"/>
    <w:rsid w:val="00036272"/>
    <w:rsid w:val="0003662D"/>
    <w:rsid w:val="000366F0"/>
    <w:rsid w:val="000402E0"/>
    <w:rsid w:val="000408AB"/>
    <w:rsid w:val="00040A84"/>
    <w:rsid w:val="000414E8"/>
    <w:rsid w:val="00041C59"/>
    <w:rsid w:val="000426D0"/>
    <w:rsid w:val="00042909"/>
    <w:rsid w:val="00042BC7"/>
    <w:rsid w:val="00043360"/>
    <w:rsid w:val="000433BC"/>
    <w:rsid w:val="000435E0"/>
    <w:rsid w:val="00043CE3"/>
    <w:rsid w:val="00043E14"/>
    <w:rsid w:val="00044690"/>
    <w:rsid w:val="00044B52"/>
    <w:rsid w:val="000461B1"/>
    <w:rsid w:val="000463EA"/>
    <w:rsid w:val="0004663C"/>
    <w:rsid w:val="00046B1F"/>
    <w:rsid w:val="000478C9"/>
    <w:rsid w:val="00050536"/>
    <w:rsid w:val="00050F58"/>
    <w:rsid w:val="00050F6B"/>
    <w:rsid w:val="00052635"/>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E13"/>
    <w:rsid w:val="00066A7A"/>
    <w:rsid w:val="00067B90"/>
    <w:rsid w:val="000704BC"/>
    <w:rsid w:val="00070725"/>
    <w:rsid w:val="000712A4"/>
    <w:rsid w:val="000713DF"/>
    <w:rsid w:val="00071543"/>
    <w:rsid w:val="00071BBC"/>
    <w:rsid w:val="00072C8C"/>
    <w:rsid w:val="000733B5"/>
    <w:rsid w:val="00073999"/>
    <w:rsid w:val="00074EF6"/>
    <w:rsid w:val="00075D50"/>
    <w:rsid w:val="00075EDD"/>
    <w:rsid w:val="00076AEA"/>
    <w:rsid w:val="00077B7B"/>
    <w:rsid w:val="000808DB"/>
    <w:rsid w:val="00080A83"/>
    <w:rsid w:val="00080DFD"/>
    <w:rsid w:val="0008118E"/>
    <w:rsid w:val="00081815"/>
    <w:rsid w:val="00082695"/>
    <w:rsid w:val="00082CA8"/>
    <w:rsid w:val="00082EC6"/>
    <w:rsid w:val="00084CC8"/>
    <w:rsid w:val="000854DD"/>
    <w:rsid w:val="00085F05"/>
    <w:rsid w:val="000865C8"/>
    <w:rsid w:val="0008664A"/>
    <w:rsid w:val="000876E6"/>
    <w:rsid w:val="00087A9D"/>
    <w:rsid w:val="00087BB8"/>
    <w:rsid w:val="0009071A"/>
    <w:rsid w:val="00090B1B"/>
    <w:rsid w:val="0009199E"/>
    <w:rsid w:val="00091D1D"/>
    <w:rsid w:val="0009204C"/>
    <w:rsid w:val="000923C7"/>
    <w:rsid w:val="00092701"/>
    <w:rsid w:val="000929F5"/>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3D49"/>
    <w:rsid w:val="000A60C7"/>
    <w:rsid w:val="000A6358"/>
    <w:rsid w:val="000B0595"/>
    <w:rsid w:val="000B0C2A"/>
    <w:rsid w:val="000B175B"/>
    <w:rsid w:val="000B2F02"/>
    <w:rsid w:val="000B38C7"/>
    <w:rsid w:val="000B3A0F"/>
    <w:rsid w:val="000B49E3"/>
    <w:rsid w:val="000B4A61"/>
    <w:rsid w:val="000B4EF7"/>
    <w:rsid w:val="000B5B3D"/>
    <w:rsid w:val="000B652C"/>
    <w:rsid w:val="000B6696"/>
    <w:rsid w:val="000B7028"/>
    <w:rsid w:val="000B78CA"/>
    <w:rsid w:val="000B7CA5"/>
    <w:rsid w:val="000B7E66"/>
    <w:rsid w:val="000B7F3C"/>
    <w:rsid w:val="000C0F91"/>
    <w:rsid w:val="000C1B9B"/>
    <w:rsid w:val="000C2C03"/>
    <w:rsid w:val="000C2D2E"/>
    <w:rsid w:val="000C2F28"/>
    <w:rsid w:val="000C37D4"/>
    <w:rsid w:val="000C3C54"/>
    <w:rsid w:val="000C4F08"/>
    <w:rsid w:val="000C60E7"/>
    <w:rsid w:val="000C6138"/>
    <w:rsid w:val="000C6238"/>
    <w:rsid w:val="000C66A3"/>
    <w:rsid w:val="000D1430"/>
    <w:rsid w:val="000D1988"/>
    <w:rsid w:val="000D246A"/>
    <w:rsid w:val="000D361E"/>
    <w:rsid w:val="000D3B3D"/>
    <w:rsid w:val="000D3D35"/>
    <w:rsid w:val="000D517E"/>
    <w:rsid w:val="000D5446"/>
    <w:rsid w:val="000D6B72"/>
    <w:rsid w:val="000D76C9"/>
    <w:rsid w:val="000E00BF"/>
    <w:rsid w:val="000E0415"/>
    <w:rsid w:val="000E0C44"/>
    <w:rsid w:val="000E18D2"/>
    <w:rsid w:val="000E2591"/>
    <w:rsid w:val="000E3BD2"/>
    <w:rsid w:val="000E3C8C"/>
    <w:rsid w:val="000E4BE4"/>
    <w:rsid w:val="000E5A6A"/>
    <w:rsid w:val="000E5CB3"/>
    <w:rsid w:val="000E6948"/>
    <w:rsid w:val="000E7032"/>
    <w:rsid w:val="000E743E"/>
    <w:rsid w:val="000F0273"/>
    <w:rsid w:val="000F1226"/>
    <w:rsid w:val="000F1257"/>
    <w:rsid w:val="000F1607"/>
    <w:rsid w:val="000F1A4F"/>
    <w:rsid w:val="000F378C"/>
    <w:rsid w:val="000F3DBB"/>
    <w:rsid w:val="000F5D7A"/>
    <w:rsid w:val="000F6891"/>
    <w:rsid w:val="000F6F3E"/>
    <w:rsid w:val="000F7713"/>
    <w:rsid w:val="000F7C20"/>
    <w:rsid w:val="001011B6"/>
    <w:rsid w:val="0010197F"/>
    <w:rsid w:val="00101DFE"/>
    <w:rsid w:val="001020F2"/>
    <w:rsid w:val="001024DF"/>
    <w:rsid w:val="00104A42"/>
    <w:rsid w:val="00105061"/>
    <w:rsid w:val="00105ED2"/>
    <w:rsid w:val="001063F5"/>
    <w:rsid w:val="001065F6"/>
    <w:rsid w:val="0010767F"/>
    <w:rsid w:val="001102E3"/>
    <w:rsid w:val="001103AA"/>
    <w:rsid w:val="00112861"/>
    <w:rsid w:val="00113353"/>
    <w:rsid w:val="00113B80"/>
    <w:rsid w:val="00113FBE"/>
    <w:rsid w:val="0011425D"/>
    <w:rsid w:val="0011666B"/>
    <w:rsid w:val="001178F4"/>
    <w:rsid w:val="00117915"/>
    <w:rsid w:val="00121DE7"/>
    <w:rsid w:val="00121FF6"/>
    <w:rsid w:val="001227F0"/>
    <w:rsid w:val="00123F23"/>
    <w:rsid w:val="0012459A"/>
    <w:rsid w:val="00125297"/>
    <w:rsid w:val="001275E7"/>
    <w:rsid w:val="0012784D"/>
    <w:rsid w:val="00127E41"/>
    <w:rsid w:val="00130543"/>
    <w:rsid w:val="001313B6"/>
    <w:rsid w:val="00131DAA"/>
    <w:rsid w:val="001320C9"/>
    <w:rsid w:val="00132EEE"/>
    <w:rsid w:val="001339F4"/>
    <w:rsid w:val="00133A74"/>
    <w:rsid w:val="001341AF"/>
    <w:rsid w:val="001342CA"/>
    <w:rsid w:val="00134702"/>
    <w:rsid w:val="00134882"/>
    <w:rsid w:val="00135A50"/>
    <w:rsid w:val="001361FC"/>
    <w:rsid w:val="00136358"/>
    <w:rsid w:val="00136CEA"/>
    <w:rsid w:val="00137BBB"/>
    <w:rsid w:val="00137CC6"/>
    <w:rsid w:val="00140039"/>
    <w:rsid w:val="001413CA"/>
    <w:rsid w:val="00141CF0"/>
    <w:rsid w:val="00142619"/>
    <w:rsid w:val="00143F26"/>
    <w:rsid w:val="0014447A"/>
    <w:rsid w:val="00144AF1"/>
    <w:rsid w:val="001454AD"/>
    <w:rsid w:val="0014586F"/>
    <w:rsid w:val="0014628C"/>
    <w:rsid w:val="0014737F"/>
    <w:rsid w:val="001474DD"/>
    <w:rsid w:val="00147F33"/>
    <w:rsid w:val="00147F59"/>
    <w:rsid w:val="001500AE"/>
    <w:rsid w:val="00150AE4"/>
    <w:rsid w:val="00151131"/>
    <w:rsid w:val="0015184A"/>
    <w:rsid w:val="00155666"/>
    <w:rsid w:val="00155E3A"/>
    <w:rsid w:val="00156246"/>
    <w:rsid w:val="00156CB1"/>
    <w:rsid w:val="0016010D"/>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859"/>
    <w:rsid w:val="00172AF8"/>
    <w:rsid w:val="00172DE8"/>
    <w:rsid w:val="00173794"/>
    <w:rsid w:val="00173D7D"/>
    <w:rsid w:val="001740F5"/>
    <w:rsid w:val="00174FF5"/>
    <w:rsid w:val="001753BC"/>
    <w:rsid w:val="0017720F"/>
    <w:rsid w:val="00180361"/>
    <w:rsid w:val="00181728"/>
    <w:rsid w:val="00181D40"/>
    <w:rsid w:val="00182290"/>
    <w:rsid w:val="00183499"/>
    <w:rsid w:val="00184D0F"/>
    <w:rsid w:val="001854CD"/>
    <w:rsid w:val="00185A46"/>
    <w:rsid w:val="00185B4E"/>
    <w:rsid w:val="00186503"/>
    <w:rsid w:val="00187697"/>
    <w:rsid w:val="0019022C"/>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92F"/>
    <w:rsid w:val="001A51A4"/>
    <w:rsid w:val="001A5C5B"/>
    <w:rsid w:val="001A6DA1"/>
    <w:rsid w:val="001B188D"/>
    <w:rsid w:val="001B2C09"/>
    <w:rsid w:val="001B2C49"/>
    <w:rsid w:val="001B2D7E"/>
    <w:rsid w:val="001B320F"/>
    <w:rsid w:val="001B4B04"/>
    <w:rsid w:val="001B58D0"/>
    <w:rsid w:val="001B5C26"/>
    <w:rsid w:val="001B67E7"/>
    <w:rsid w:val="001B6F5C"/>
    <w:rsid w:val="001B75FB"/>
    <w:rsid w:val="001C01BB"/>
    <w:rsid w:val="001C0262"/>
    <w:rsid w:val="001C0467"/>
    <w:rsid w:val="001C15D3"/>
    <w:rsid w:val="001C165D"/>
    <w:rsid w:val="001C18ED"/>
    <w:rsid w:val="001C1E0E"/>
    <w:rsid w:val="001C2D98"/>
    <w:rsid w:val="001C371B"/>
    <w:rsid w:val="001C3BF1"/>
    <w:rsid w:val="001C41FD"/>
    <w:rsid w:val="001C4CF3"/>
    <w:rsid w:val="001C5932"/>
    <w:rsid w:val="001C5AEB"/>
    <w:rsid w:val="001C6663"/>
    <w:rsid w:val="001C7638"/>
    <w:rsid w:val="001C7895"/>
    <w:rsid w:val="001C7B84"/>
    <w:rsid w:val="001D017D"/>
    <w:rsid w:val="001D0C8C"/>
    <w:rsid w:val="001D0F54"/>
    <w:rsid w:val="001D1419"/>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B78"/>
    <w:rsid w:val="001E30F4"/>
    <w:rsid w:val="001E3175"/>
    <w:rsid w:val="001E3601"/>
    <w:rsid w:val="001E36E0"/>
    <w:rsid w:val="001E4FA1"/>
    <w:rsid w:val="001E5451"/>
    <w:rsid w:val="001E6345"/>
    <w:rsid w:val="001E7545"/>
    <w:rsid w:val="001E78ED"/>
    <w:rsid w:val="001E7B67"/>
    <w:rsid w:val="001F0FEC"/>
    <w:rsid w:val="001F1026"/>
    <w:rsid w:val="001F114E"/>
    <w:rsid w:val="001F1D3C"/>
    <w:rsid w:val="001F211E"/>
    <w:rsid w:val="001F2DCB"/>
    <w:rsid w:val="001F4384"/>
    <w:rsid w:val="001F4CF1"/>
    <w:rsid w:val="001F5361"/>
    <w:rsid w:val="001F68C8"/>
    <w:rsid w:val="001F6936"/>
    <w:rsid w:val="001F7AAC"/>
    <w:rsid w:val="00200860"/>
    <w:rsid w:val="0020156D"/>
    <w:rsid w:val="00202DA8"/>
    <w:rsid w:val="00203E7E"/>
    <w:rsid w:val="002041EE"/>
    <w:rsid w:val="002048BB"/>
    <w:rsid w:val="002067CE"/>
    <w:rsid w:val="00206839"/>
    <w:rsid w:val="00207739"/>
    <w:rsid w:val="002102AE"/>
    <w:rsid w:val="002106EF"/>
    <w:rsid w:val="00211E0B"/>
    <w:rsid w:val="00211FE9"/>
    <w:rsid w:val="00212DA9"/>
    <w:rsid w:val="00213D75"/>
    <w:rsid w:val="002141E0"/>
    <w:rsid w:val="00214757"/>
    <w:rsid w:val="002147C2"/>
    <w:rsid w:val="002152E0"/>
    <w:rsid w:val="00215330"/>
    <w:rsid w:val="002158FF"/>
    <w:rsid w:val="002160DB"/>
    <w:rsid w:val="00216899"/>
    <w:rsid w:val="00217C43"/>
    <w:rsid w:val="002213A4"/>
    <w:rsid w:val="002216FF"/>
    <w:rsid w:val="002218EF"/>
    <w:rsid w:val="00221A9C"/>
    <w:rsid w:val="00221FDC"/>
    <w:rsid w:val="00222ABE"/>
    <w:rsid w:val="0022374C"/>
    <w:rsid w:val="00224531"/>
    <w:rsid w:val="002267B2"/>
    <w:rsid w:val="00226BC6"/>
    <w:rsid w:val="00226BF9"/>
    <w:rsid w:val="00227450"/>
    <w:rsid w:val="002309F1"/>
    <w:rsid w:val="00231056"/>
    <w:rsid w:val="00231786"/>
    <w:rsid w:val="00231A2F"/>
    <w:rsid w:val="002329F2"/>
    <w:rsid w:val="00233A74"/>
    <w:rsid w:val="00234ED3"/>
    <w:rsid w:val="00235843"/>
    <w:rsid w:val="0023626A"/>
    <w:rsid w:val="002365FE"/>
    <w:rsid w:val="00236758"/>
    <w:rsid w:val="00237436"/>
    <w:rsid w:val="002375D5"/>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72E"/>
    <w:rsid w:val="002509C0"/>
    <w:rsid w:val="002512C9"/>
    <w:rsid w:val="00252800"/>
    <w:rsid w:val="0025428C"/>
    <w:rsid w:val="00254928"/>
    <w:rsid w:val="00255445"/>
    <w:rsid w:val="00255CA2"/>
    <w:rsid w:val="00256778"/>
    <w:rsid w:val="00261E02"/>
    <w:rsid w:val="002624A9"/>
    <w:rsid w:val="002624E0"/>
    <w:rsid w:val="00263B18"/>
    <w:rsid w:val="00264122"/>
    <w:rsid w:val="0026546E"/>
    <w:rsid w:val="00265E11"/>
    <w:rsid w:val="0026631F"/>
    <w:rsid w:val="0026699E"/>
    <w:rsid w:val="00267598"/>
    <w:rsid w:val="00267B57"/>
    <w:rsid w:val="00267BA4"/>
    <w:rsid w:val="00267BF6"/>
    <w:rsid w:val="00267F5F"/>
    <w:rsid w:val="00270B5D"/>
    <w:rsid w:val="00270DC8"/>
    <w:rsid w:val="00272871"/>
    <w:rsid w:val="00272E03"/>
    <w:rsid w:val="00273D9C"/>
    <w:rsid w:val="0027519C"/>
    <w:rsid w:val="00276539"/>
    <w:rsid w:val="00277278"/>
    <w:rsid w:val="002801DD"/>
    <w:rsid w:val="00280322"/>
    <w:rsid w:val="002805E3"/>
    <w:rsid w:val="00280A23"/>
    <w:rsid w:val="0028145C"/>
    <w:rsid w:val="00282479"/>
    <w:rsid w:val="002826E8"/>
    <w:rsid w:val="002834A0"/>
    <w:rsid w:val="00283764"/>
    <w:rsid w:val="0028443E"/>
    <w:rsid w:val="00284A8A"/>
    <w:rsid w:val="00286658"/>
    <w:rsid w:val="00286B46"/>
    <w:rsid w:val="00286B4D"/>
    <w:rsid w:val="00286C04"/>
    <w:rsid w:val="00287342"/>
    <w:rsid w:val="00287E61"/>
    <w:rsid w:val="00287EE8"/>
    <w:rsid w:val="00293D7E"/>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8A9"/>
    <w:rsid w:val="002A7343"/>
    <w:rsid w:val="002B055C"/>
    <w:rsid w:val="002B153C"/>
    <w:rsid w:val="002B1997"/>
    <w:rsid w:val="002B1B1B"/>
    <w:rsid w:val="002B2323"/>
    <w:rsid w:val="002B3A41"/>
    <w:rsid w:val="002B3A65"/>
    <w:rsid w:val="002B4B64"/>
    <w:rsid w:val="002B526C"/>
    <w:rsid w:val="002B5EAE"/>
    <w:rsid w:val="002B639E"/>
    <w:rsid w:val="002B66B8"/>
    <w:rsid w:val="002B6781"/>
    <w:rsid w:val="002B74F1"/>
    <w:rsid w:val="002B77BD"/>
    <w:rsid w:val="002C00F5"/>
    <w:rsid w:val="002C094B"/>
    <w:rsid w:val="002C21B9"/>
    <w:rsid w:val="002C2265"/>
    <w:rsid w:val="002C2D23"/>
    <w:rsid w:val="002C3F66"/>
    <w:rsid w:val="002C725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75C"/>
    <w:rsid w:val="002F1E02"/>
    <w:rsid w:val="002F3B7D"/>
    <w:rsid w:val="002F4E73"/>
    <w:rsid w:val="002F5C78"/>
    <w:rsid w:val="002F5F44"/>
    <w:rsid w:val="002F685F"/>
    <w:rsid w:val="002F6879"/>
    <w:rsid w:val="002F6C84"/>
    <w:rsid w:val="002F759C"/>
    <w:rsid w:val="002F7DE0"/>
    <w:rsid w:val="002F7FC1"/>
    <w:rsid w:val="00300AF9"/>
    <w:rsid w:val="0030246D"/>
    <w:rsid w:val="00302643"/>
    <w:rsid w:val="00302CB9"/>
    <w:rsid w:val="00302E18"/>
    <w:rsid w:val="00302FA8"/>
    <w:rsid w:val="0030375C"/>
    <w:rsid w:val="003043CF"/>
    <w:rsid w:val="00305CDB"/>
    <w:rsid w:val="00306261"/>
    <w:rsid w:val="003064D7"/>
    <w:rsid w:val="00306A8F"/>
    <w:rsid w:val="00307BF6"/>
    <w:rsid w:val="00307EBC"/>
    <w:rsid w:val="00310C40"/>
    <w:rsid w:val="0031137C"/>
    <w:rsid w:val="00311D6B"/>
    <w:rsid w:val="00311EF3"/>
    <w:rsid w:val="00312493"/>
    <w:rsid w:val="0031298C"/>
    <w:rsid w:val="003134B6"/>
    <w:rsid w:val="0031367B"/>
    <w:rsid w:val="00314C7E"/>
    <w:rsid w:val="00316BDC"/>
    <w:rsid w:val="00317810"/>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5FC0"/>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571"/>
    <w:rsid w:val="00355820"/>
    <w:rsid w:val="00355B28"/>
    <w:rsid w:val="00356D81"/>
    <w:rsid w:val="00357603"/>
    <w:rsid w:val="003619B5"/>
    <w:rsid w:val="00361AC3"/>
    <w:rsid w:val="0036211D"/>
    <w:rsid w:val="003625EA"/>
    <w:rsid w:val="00362BE6"/>
    <w:rsid w:val="00363251"/>
    <w:rsid w:val="003644A2"/>
    <w:rsid w:val="0036512F"/>
    <w:rsid w:val="00365763"/>
    <w:rsid w:val="003658F7"/>
    <w:rsid w:val="00365B8E"/>
    <w:rsid w:val="003666E4"/>
    <w:rsid w:val="00367795"/>
    <w:rsid w:val="003704E6"/>
    <w:rsid w:val="003705C5"/>
    <w:rsid w:val="003709B3"/>
    <w:rsid w:val="00371178"/>
    <w:rsid w:val="00371CB7"/>
    <w:rsid w:val="00371F55"/>
    <w:rsid w:val="00372E1A"/>
    <w:rsid w:val="00374439"/>
    <w:rsid w:val="00376244"/>
    <w:rsid w:val="00376C9B"/>
    <w:rsid w:val="003771F9"/>
    <w:rsid w:val="00377D76"/>
    <w:rsid w:val="0038097D"/>
    <w:rsid w:val="00380D95"/>
    <w:rsid w:val="003820BC"/>
    <w:rsid w:val="0038253F"/>
    <w:rsid w:val="00382E59"/>
    <w:rsid w:val="00386569"/>
    <w:rsid w:val="00387557"/>
    <w:rsid w:val="003879E8"/>
    <w:rsid w:val="00387FE8"/>
    <w:rsid w:val="003912B6"/>
    <w:rsid w:val="00391DDD"/>
    <w:rsid w:val="00392E47"/>
    <w:rsid w:val="00393E13"/>
    <w:rsid w:val="00394226"/>
    <w:rsid w:val="0039443A"/>
    <w:rsid w:val="00394B38"/>
    <w:rsid w:val="00395F19"/>
    <w:rsid w:val="00395FB3"/>
    <w:rsid w:val="003963A0"/>
    <w:rsid w:val="0039692E"/>
    <w:rsid w:val="00397DA2"/>
    <w:rsid w:val="003A163A"/>
    <w:rsid w:val="003A185D"/>
    <w:rsid w:val="003A26BD"/>
    <w:rsid w:val="003A2CA3"/>
    <w:rsid w:val="003A5197"/>
    <w:rsid w:val="003A5846"/>
    <w:rsid w:val="003A58BC"/>
    <w:rsid w:val="003A6810"/>
    <w:rsid w:val="003A7736"/>
    <w:rsid w:val="003B1B48"/>
    <w:rsid w:val="003B1CF2"/>
    <w:rsid w:val="003B251A"/>
    <w:rsid w:val="003B4D15"/>
    <w:rsid w:val="003B54CA"/>
    <w:rsid w:val="003B5808"/>
    <w:rsid w:val="003B5B94"/>
    <w:rsid w:val="003C0492"/>
    <w:rsid w:val="003C0BE8"/>
    <w:rsid w:val="003C0CEC"/>
    <w:rsid w:val="003C1867"/>
    <w:rsid w:val="003C1FBA"/>
    <w:rsid w:val="003C236F"/>
    <w:rsid w:val="003C2385"/>
    <w:rsid w:val="003C2CC4"/>
    <w:rsid w:val="003C39C1"/>
    <w:rsid w:val="003C47CF"/>
    <w:rsid w:val="003C489B"/>
    <w:rsid w:val="003C4D82"/>
    <w:rsid w:val="003C4E8C"/>
    <w:rsid w:val="003C534D"/>
    <w:rsid w:val="003C54D2"/>
    <w:rsid w:val="003C78EC"/>
    <w:rsid w:val="003C79AC"/>
    <w:rsid w:val="003C7D88"/>
    <w:rsid w:val="003D0108"/>
    <w:rsid w:val="003D0947"/>
    <w:rsid w:val="003D4B23"/>
    <w:rsid w:val="003D4EAD"/>
    <w:rsid w:val="003D4F57"/>
    <w:rsid w:val="003D4FED"/>
    <w:rsid w:val="003D528F"/>
    <w:rsid w:val="003D5A8C"/>
    <w:rsid w:val="003D61DD"/>
    <w:rsid w:val="003D7245"/>
    <w:rsid w:val="003E068B"/>
    <w:rsid w:val="003E130E"/>
    <w:rsid w:val="003E1371"/>
    <w:rsid w:val="003E2D5C"/>
    <w:rsid w:val="003E337D"/>
    <w:rsid w:val="003E3F24"/>
    <w:rsid w:val="003E49FF"/>
    <w:rsid w:val="003E4D14"/>
    <w:rsid w:val="003E4E4A"/>
    <w:rsid w:val="003E5CD2"/>
    <w:rsid w:val="003E5EA9"/>
    <w:rsid w:val="003F0F05"/>
    <w:rsid w:val="003F0FBB"/>
    <w:rsid w:val="003F1EDB"/>
    <w:rsid w:val="003F36C9"/>
    <w:rsid w:val="003F43B4"/>
    <w:rsid w:val="003F480A"/>
    <w:rsid w:val="003F4D5C"/>
    <w:rsid w:val="003F5E11"/>
    <w:rsid w:val="003F61A0"/>
    <w:rsid w:val="003F6D1C"/>
    <w:rsid w:val="003F6D62"/>
    <w:rsid w:val="00400B04"/>
    <w:rsid w:val="00401EB0"/>
    <w:rsid w:val="00402B59"/>
    <w:rsid w:val="004045D1"/>
    <w:rsid w:val="004054F2"/>
    <w:rsid w:val="00406A01"/>
    <w:rsid w:val="00407299"/>
    <w:rsid w:val="00407D6B"/>
    <w:rsid w:val="004108CE"/>
    <w:rsid w:val="00410C89"/>
    <w:rsid w:val="00412421"/>
    <w:rsid w:val="00412650"/>
    <w:rsid w:val="00412EB0"/>
    <w:rsid w:val="0041302F"/>
    <w:rsid w:val="00413191"/>
    <w:rsid w:val="00413EC5"/>
    <w:rsid w:val="00414D6D"/>
    <w:rsid w:val="00415265"/>
    <w:rsid w:val="00415CD7"/>
    <w:rsid w:val="00416243"/>
    <w:rsid w:val="0041626A"/>
    <w:rsid w:val="004162FF"/>
    <w:rsid w:val="004165C1"/>
    <w:rsid w:val="00422E03"/>
    <w:rsid w:val="0042450D"/>
    <w:rsid w:val="004253E5"/>
    <w:rsid w:val="004254B0"/>
    <w:rsid w:val="00425D8C"/>
    <w:rsid w:val="004265A2"/>
    <w:rsid w:val="00426938"/>
    <w:rsid w:val="00426B9B"/>
    <w:rsid w:val="00430797"/>
    <w:rsid w:val="004307B9"/>
    <w:rsid w:val="00430A91"/>
    <w:rsid w:val="00431967"/>
    <w:rsid w:val="00431ED8"/>
    <w:rsid w:val="00431F1C"/>
    <w:rsid w:val="00431F8A"/>
    <w:rsid w:val="004321B4"/>
    <w:rsid w:val="004321D0"/>
    <w:rsid w:val="004325CB"/>
    <w:rsid w:val="0043325A"/>
    <w:rsid w:val="004338C6"/>
    <w:rsid w:val="00434BD0"/>
    <w:rsid w:val="0043604E"/>
    <w:rsid w:val="00437627"/>
    <w:rsid w:val="004402AA"/>
    <w:rsid w:val="0044167A"/>
    <w:rsid w:val="0044170A"/>
    <w:rsid w:val="00441B2B"/>
    <w:rsid w:val="004426D3"/>
    <w:rsid w:val="00442A83"/>
    <w:rsid w:val="00443087"/>
    <w:rsid w:val="004430B9"/>
    <w:rsid w:val="0044528E"/>
    <w:rsid w:val="004469BA"/>
    <w:rsid w:val="00446F2E"/>
    <w:rsid w:val="00446F5E"/>
    <w:rsid w:val="00447218"/>
    <w:rsid w:val="00447381"/>
    <w:rsid w:val="00447447"/>
    <w:rsid w:val="004474FC"/>
    <w:rsid w:val="00447AD7"/>
    <w:rsid w:val="004527DF"/>
    <w:rsid w:val="00453246"/>
    <w:rsid w:val="00453775"/>
    <w:rsid w:val="00454068"/>
    <w:rsid w:val="00454769"/>
    <w:rsid w:val="0045495B"/>
    <w:rsid w:val="00454E23"/>
    <w:rsid w:val="00455631"/>
    <w:rsid w:val="004561E5"/>
    <w:rsid w:val="00456D83"/>
    <w:rsid w:val="004573CB"/>
    <w:rsid w:val="00457BFF"/>
    <w:rsid w:val="004603D5"/>
    <w:rsid w:val="0046184D"/>
    <w:rsid w:val="00461AE1"/>
    <w:rsid w:val="00461AFE"/>
    <w:rsid w:val="00461F78"/>
    <w:rsid w:val="004620BA"/>
    <w:rsid w:val="00462C5A"/>
    <w:rsid w:val="004635BC"/>
    <w:rsid w:val="00464465"/>
    <w:rsid w:val="0046463B"/>
    <w:rsid w:val="0046775C"/>
    <w:rsid w:val="004709A7"/>
    <w:rsid w:val="0047142A"/>
    <w:rsid w:val="0047172F"/>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DB"/>
    <w:rsid w:val="00491E3C"/>
    <w:rsid w:val="004924BC"/>
    <w:rsid w:val="0049276D"/>
    <w:rsid w:val="0049360D"/>
    <w:rsid w:val="00493CCF"/>
    <w:rsid w:val="004943EA"/>
    <w:rsid w:val="004953AC"/>
    <w:rsid w:val="00496280"/>
    <w:rsid w:val="00496DFB"/>
    <w:rsid w:val="004971DC"/>
    <w:rsid w:val="00497247"/>
    <w:rsid w:val="00497FB8"/>
    <w:rsid w:val="004A0ABB"/>
    <w:rsid w:val="004A1120"/>
    <w:rsid w:val="004A1547"/>
    <w:rsid w:val="004A16A4"/>
    <w:rsid w:val="004A1A4F"/>
    <w:rsid w:val="004A1B41"/>
    <w:rsid w:val="004A1C92"/>
    <w:rsid w:val="004A1F5B"/>
    <w:rsid w:val="004A330E"/>
    <w:rsid w:val="004A3363"/>
    <w:rsid w:val="004A3A6B"/>
    <w:rsid w:val="004A452C"/>
    <w:rsid w:val="004A6083"/>
    <w:rsid w:val="004A6B1E"/>
    <w:rsid w:val="004B03B0"/>
    <w:rsid w:val="004B08EF"/>
    <w:rsid w:val="004B1030"/>
    <w:rsid w:val="004B2611"/>
    <w:rsid w:val="004B294B"/>
    <w:rsid w:val="004B2BBF"/>
    <w:rsid w:val="004B2CAC"/>
    <w:rsid w:val="004B30BF"/>
    <w:rsid w:val="004B3474"/>
    <w:rsid w:val="004B414A"/>
    <w:rsid w:val="004B6C8D"/>
    <w:rsid w:val="004B6F3E"/>
    <w:rsid w:val="004B7184"/>
    <w:rsid w:val="004B73C4"/>
    <w:rsid w:val="004B7770"/>
    <w:rsid w:val="004B7F9F"/>
    <w:rsid w:val="004B7FFD"/>
    <w:rsid w:val="004C0AF8"/>
    <w:rsid w:val="004C2461"/>
    <w:rsid w:val="004C32B6"/>
    <w:rsid w:val="004C3DC8"/>
    <w:rsid w:val="004C4903"/>
    <w:rsid w:val="004C5442"/>
    <w:rsid w:val="004C7462"/>
    <w:rsid w:val="004C7870"/>
    <w:rsid w:val="004C7D97"/>
    <w:rsid w:val="004D05A1"/>
    <w:rsid w:val="004D098D"/>
    <w:rsid w:val="004D0DFD"/>
    <w:rsid w:val="004D146A"/>
    <w:rsid w:val="004D1C19"/>
    <w:rsid w:val="004D3012"/>
    <w:rsid w:val="004D4035"/>
    <w:rsid w:val="004D433C"/>
    <w:rsid w:val="004D51F2"/>
    <w:rsid w:val="004D58E1"/>
    <w:rsid w:val="004D5A5C"/>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2B9"/>
    <w:rsid w:val="005023CA"/>
    <w:rsid w:val="00502538"/>
    <w:rsid w:val="00503692"/>
    <w:rsid w:val="00504B2D"/>
    <w:rsid w:val="00505444"/>
    <w:rsid w:val="00505F0A"/>
    <w:rsid w:val="00505F44"/>
    <w:rsid w:val="005067CA"/>
    <w:rsid w:val="00506DCB"/>
    <w:rsid w:val="00507315"/>
    <w:rsid w:val="0051096F"/>
    <w:rsid w:val="00510A6A"/>
    <w:rsid w:val="0051208B"/>
    <w:rsid w:val="00512686"/>
    <w:rsid w:val="00512C13"/>
    <w:rsid w:val="00513997"/>
    <w:rsid w:val="00513C24"/>
    <w:rsid w:val="00514B47"/>
    <w:rsid w:val="00515475"/>
    <w:rsid w:val="005166F6"/>
    <w:rsid w:val="00516AD6"/>
    <w:rsid w:val="00516BBE"/>
    <w:rsid w:val="005172F8"/>
    <w:rsid w:val="0051748F"/>
    <w:rsid w:val="00517E5F"/>
    <w:rsid w:val="0052136D"/>
    <w:rsid w:val="00521929"/>
    <w:rsid w:val="00521CFE"/>
    <w:rsid w:val="00522751"/>
    <w:rsid w:val="00523590"/>
    <w:rsid w:val="00523E92"/>
    <w:rsid w:val="00524591"/>
    <w:rsid w:val="00524956"/>
    <w:rsid w:val="005250DB"/>
    <w:rsid w:val="00525B4B"/>
    <w:rsid w:val="00525C37"/>
    <w:rsid w:val="0052628D"/>
    <w:rsid w:val="005262FF"/>
    <w:rsid w:val="00526485"/>
    <w:rsid w:val="0052651C"/>
    <w:rsid w:val="00526789"/>
    <w:rsid w:val="00526BFF"/>
    <w:rsid w:val="0052737B"/>
    <w:rsid w:val="0052775E"/>
    <w:rsid w:val="0052776A"/>
    <w:rsid w:val="00527FB1"/>
    <w:rsid w:val="005309D0"/>
    <w:rsid w:val="00532AC1"/>
    <w:rsid w:val="00532F7E"/>
    <w:rsid w:val="00533C52"/>
    <w:rsid w:val="00534220"/>
    <w:rsid w:val="0053492C"/>
    <w:rsid w:val="00534AD1"/>
    <w:rsid w:val="00534BEB"/>
    <w:rsid w:val="00535950"/>
    <w:rsid w:val="00536283"/>
    <w:rsid w:val="005370E2"/>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EE3"/>
    <w:rsid w:val="00550F9F"/>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7A8D"/>
    <w:rsid w:val="005604AD"/>
    <w:rsid w:val="00561014"/>
    <w:rsid w:val="0056209A"/>
    <w:rsid w:val="005620BD"/>
    <w:rsid w:val="005628B6"/>
    <w:rsid w:val="00562B7B"/>
    <w:rsid w:val="00562DD0"/>
    <w:rsid w:val="005644EB"/>
    <w:rsid w:val="00564D0E"/>
    <w:rsid w:val="0056516A"/>
    <w:rsid w:val="00565482"/>
    <w:rsid w:val="00565904"/>
    <w:rsid w:val="00566239"/>
    <w:rsid w:val="0056629C"/>
    <w:rsid w:val="00566DA1"/>
    <w:rsid w:val="005702DC"/>
    <w:rsid w:val="00570FBD"/>
    <w:rsid w:val="0057121C"/>
    <w:rsid w:val="00571829"/>
    <w:rsid w:val="00572EEA"/>
    <w:rsid w:val="0057359C"/>
    <w:rsid w:val="00573B52"/>
    <w:rsid w:val="00573EEA"/>
    <w:rsid w:val="005743B0"/>
    <w:rsid w:val="00574C00"/>
    <w:rsid w:val="00575273"/>
    <w:rsid w:val="00575514"/>
    <w:rsid w:val="005770C1"/>
    <w:rsid w:val="00577308"/>
    <w:rsid w:val="00580796"/>
    <w:rsid w:val="005809BE"/>
    <w:rsid w:val="00581AD1"/>
    <w:rsid w:val="00583A35"/>
    <w:rsid w:val="0058428C"/>
    <w:rsid w:val="0058546A"/>
    <w:rsid w:val="00585AF5"/>
    <w:rsid w:val="00587326"/>
    <w:rsid w:val="0058753D"/>
    <w:rsid w:val="00593F56"/>
    <w:rsid w:val="0059405C"/>
    <w:rsid w:val="005941EC"/>
    <w:rsid w:val="00595C6F"/>
    <w:rsid w:val="0059724D"/>
    <w:rsid w:val="00597BC2"/>
    <w:rsid w:val="005A0371"/>
    <w:rsid w:val="005A095F"/>
    <w:rsid w:val="005A2206"/>
    <w:rsid w:val="005A4860"/>
    <w:rsid w:val="005A494A"/>
    <w:rsid w:val="005A5E32"/>
    <w:rsid w:val="005A79DC"/>
    <w:rsid w:val="005A7F62"/>
    <w:rsid w:val="005B022C"/>
    <w:rsid w:val="005B0799"/>
    <w:rsid w:val="005B1103"/>
    <w:rsid w:val="005B250D"/>
    <w:rsid w:val="005B320C"/>
    <w:rsid w:val="005B32A1"/>
    <w:rsid w:val="005B3524"/>
    <w:rsid w:val="005B3DB3"/>
    <w:rsid w:val="005B4A74"/>
    <w:rsid w:val="005B4E13"/>
    <w:rsid w:val="005B4FB6"/>
    <w:rsid w:val="005B52A6"/>
    <w:rsid w:val="005B5B7A"/>
    <w:rsid w:val="005B6073"/>
    <w:rsid w:val="005B6126"/>
    <w:rsid w:val="005B61FD"/>
    <w:rsid w:val="005B673D"/>
    <w:rsid w:val="005C0CD8"/>
    <w:rsid w:val="005C0DEC"/>
    <w:rsid w:val="005C1461"/>
    <w:rsid w:val="005C1FA0"/>
    <w:rsid w:val="005C2150"/>
    <w:rsid w:val="005C23CA"/>
    <w:rsid w:val="005C29BA"/>
    <w:rsid w:val="005C3127"/>
    <w:rsid w:val="005C31C3"/>
    <w:rsid w:val="005C342F"/>
    <w:rsid w:val="005C3B3A"/>
    <w:rsid w:val="005C3F21"/>
    <w:rsid w:val="005C4356"/>
    <w:rsid w:val="005C4AF2"/>
    <w:rsid w:val="005C4D13"/>
    <w:rsid w:val="005C5DA8"/>
    <w:rsid w:val="005C628C"/>
    <w:rsid w:val="005C7876"/>
    <w:rsid w:val="005C7934"/>
    <w:rsid w:val="005C7BF8"/>
    <w:rsid w:val="005C7D1E"/>
    <w:rsid w:val="005D0481"/>
    <w:rsid w:val="005D06D4"/>
    <w:rsid w:val="005D0A1E"/>
    <w:rsid w:val="005D1D3A"/>
    <w:rsid w:val="005D1E58"/>
    <w:rsid w:val="005D2D28"/>
    <w:rsid w:val="005D380B"/>
    <w:rsid w:val="005D50B2"/>
    <w:rsid w:val="005D5B99"/>
    <w:rsid w:val="005D632B"/>
    <w:rsid w:val="005D658A"/>
    <w:rsid w:val="005D736D"/>
    <w:rsid w:val="005D75F2"/>
    <w:rsid w:val="005E0040"/>
    <w:rsid w:val="005E06C7"/>
    <w:rsid w:val="005E0D2B"/>
    <w:rsid w:val="005E11E4"/>
    <w:rsid w:val="005E1744"/>
    <w:rsid w:val="005E28EB"/>
    <w:rsid w:val="005E29A8"/>
    <w:rsid w:val="005E2A36"/>
    <w:rsid w:val="005E3217"/>
    <w:rsid w:val="005E33DF"/>
    <w:rsid w:val="005E4082"/>
    <w:rsid w:val="005E4CB7"/>
    <w:rsid w:val="005E5B0D"/>
    <w:rsid w:val="005E7C72"/>
    <w:rsid w:val="005F0032"/>
    <w:rsid w:val="005F004D"/>
    <w:rsid w:val="005F0091"/>
    <w:rsid w:val="005F0097"/>
    <w:rsid w:val="005F2295"/>
    <w:rsid w:val="005F23B1"/>
    <w:rsid w:val="005F3D30"/>
    <w:rsid w:val="005F5623"/>
    <w:rsid w:val="005F6871"/>
    <w:rsid w:val="005F689E"/>
    <w:rsid w:val="005F7AA8"/>
    <w:rsid w:val="005F7B75"/>
    <w:rsid w:val="006000AE"/>
    <w:rsid w:val="006001EE"/>
    <w:rsid w:val="006006FD"/>
    <w:rsid w:val="00600FAB"/>
    <w:rsid w:val="00601851"/>
    <w:rsid w:val="00601D81"/>
    <w:rsid w:val="006045AD"/>
    <w:rsid w:val="00604E0C"/>
    <w:rsid w:val="00605042"/>
    <w:rsid w:val="0060664E"/>
    <w:rsid w:val="006066E8"/>
    <w:rsid w:val="00606987"/>
    <w:rsid w:val="00607D60"/>
    <w:rsid w:val="00607FA8"/>
    <w:rsid w:val="00610317"/>
    <w:rsid w:val="00610F69"/>
    <w:rsid w:val="00611FC4"/>
    <w:rsid w:val="006121BB"/>
    <w:rsid w:val="006126C5"/>
    <w:rsid w:val="00612AA3"/>
    <w:rsid w:val="00613B45"/>
    <w:rsid w:val="00614478"/>
    <w:rsid w:val="0061528A"/>
    <w:rsid w:val="006167D1"/>
    <w:rsid w:val="006176FB"/>
    <w:rsid w:val="00617A8B"/>
    <w:rsid w:val="00617DC6"/>
    <w:rsid w:val="0062091C"/>
    <w:rsid w:val="0062094F"/>
    <w:rsid w:val="00620E36"/>
    <w:rsid w:val="00621024"/>
    <w:rsid w:val="00621E0F"/>
    <w:rsid w:val="006240C2"/>
    <w:rsid w:val="00624C40"/>
    <w:rsid w:val="006253DF"/>
    <w:rsid w:val="0062564E"/>
    <w:rsid w:val="0062583E"/>
    <w:rsid w:val="00625E48"/>
    <w:rsid w:val="00625F12"/>
    <w:rsid w:val="00626437"/>
    <w:rsid w:val="00626503"/>
    <w:rsid w:val="00626E3A"/>
    <w:rsid w:val="006273C1"/>
    <w:rsid w:val="00627659"/>
    <w:rsid w:val="00627819"/>
    <w:rsid w:val="00631413"/>
    <w:rsid w:val="00631A63"/>
    <w:rsid w:val="00631DF4"/>
    <w:rsid w:val="00632DDD"/>
    <w:rsid w:val="00633113"/>
    <w:rsid w:val="006346C4"/>
    <w:rsid w:val="00634B6C"/>
    <w:rsid w:val="006356F2"/>
    <w:rsid w:val="00635733"/>
    <w:rsid w:val="006370C2"/>
    <w:rsid w:val="00637C87"/>
    <w:rsid w:val="006402B1"/>
    <w:rsid w:val="00640396"/>
    <w:rsid w:val="006405EE"/>
    <w:rsid w:val="006406EF"/>
    <w:rsid w:val="00640B26"/>
    <w:rsid w:val="00641ABC"/>
    <w:rsid w:val="00642383"/>
    <w:rsid w:val="00643A91"/>
    <w:rsid w:val="00644C1B"/>
    <w:rsid w:val="00645756"/>
    <w:rsid w:val="00646354"/>
    <w:rsid w:val="006465CE"/>
    <w:rsid w:val="00650D21"/>
    <w:rsid w:val="00650E9A"/>
    <w:rsid w:val="00650F99"/>
    <w:rsid w:val="006529FE"/>
    <w:rsid w:val="00652D0A"/>
    <w:rsid w:val="0065313A"/>
    <w:rsid w:val="00654312"/>
    <w:rsid w:val="00654A5F"/>
    <w:rsid w:val="00655ECA"/>
    <w:rsid w:val="00657C63"/>
    <w:rsid w:val="0066201B"/>
    <w:rsid w:val="006623FB"/>
    <w:rsid w:val="006626D9"/>
    <w:rsid w:val="00662727"/>
    <w:rsid w:val="00662BB6"/>
    <w:rsid w:val="00662F71"/>
    <w:rsid w:val="006635FE"/>
    <w:rsid w:val="00663D72"/>
    <w:rsid w:val="00665A40"/>
    <w:rsid w:val="006666FA"/>
    <w:rsid w:val="00666AC1"/>
    <w:rsid w:val="00666ADB"/>
    <w:rsid w:val="00666E4E"/>
    <w:rsid w:val="00667140"/>
    <w:rsid w:val="00667814"/>
    <w:rsid w:val="0066796A"/>
    <w:rsid w:val="00667B13"/>
    <w:rsid w:val="00670F05"/>
    <w:rsid w:val="00671B51"/>
    <w:rsid w:val="006727E6"/>
    <w:rsid w:val="0067362F"/>
    <w:rsid w:val="00673891"/>
    <w:rsid w:val="00674284"/>
    <w:rsid w:val="00675604"/>
    <w:rsid w:val="00676606"/>
    <w:rsid w:val="00676BC2"/>
    <w:rsid w:val="00677306"/>
    <w:rsid w:val="006776D3"/>
    <w:rsid w:val="00677BFE"/>
    <w:rsid w:val="00680018"/>
    <w:rsid w:val="006812CA"/>
    <w:rsid w:val="00681899"/>
    <w:rsid w:val="00681AB4"/>
    <w:rsid w:val="006826EF"/>
    <w:rsid w:val="006828DF"/>
    <w:rsid w:val="00683F24"/>
    <w:rsid w:val="00684208"/>
    <w:rsid w:val="00684C21"/>
    <w:rsid w:val="00686760"/>
    <w:rsid w:val="00686961"/>
    <w:rsid w:val="00693162"/>
    <w:rsid w:val="00693CA0"/>
    <w:rsid w:val="006945B9"/>
    <w:rsid w:val="00694EE9"/>
    <w:rsid w:val="0069546B"/>
    <w:rsid w:val="00695877"/>
    <w:rsid w:val="00697A19"/>
    <w:rsid w:val="006A2530"/>
    <w:rsid w:val="006A31C0"/>
    <w:rsid w:val="006A3351"/>
    <w:rsid w:val="006A3C9D"/>
    <w:rsid w:val="006A4452"/>
    <w:rsid w:val="006A5D4A"/>
    <w:rsid w:val="006A613A"/>
    <w:rsid w:val="006A64FE"/>
    <w:rsid w:val="006A65FE"/>
    <w:rsid w:val="006A6B49"/>
    <w:rsid w:val="006A6D90"/>
    <w:rsid w:val="006A7858"/>
    <w:rsid w:val="006B1945"/>
    <w:rsid w:val="006B2083"/>
    <w:rsid w:val="006B2B1A"/>
    <w:rsid w:val="006B3773"/>
    <w:rsid w:val="006B4058"/>
    <w:rsid w:val="006B44AC"/>
    <w:rsid w:val="006B5061"/>
    <w:rsid w:val="006B5AEF"/>
    <w:rsid w:val="006B7118"/>
    <w:rsid w:val="006C04BC"/>
    <w:rsid w:val="006C1380"/>
    <w:rsid w:val="006C1545"/>
    <w:rsid w:val="006C1601"/>
    <w:rsid w:val="006C262F"/>
    <w:rsid w:val="006C2BB2"/>
    <w:rsid w:val="006C3589"/>
    <w:rsid w:val="006C4614"/>
    <w:rsid w:val="006C5044"/>
    <w:rsid w:val="006C58B0"/>
    <w:rsid w:val="006C5C02"/>
    <w:rsid w:val="006C7676"/>
    <w:rsid w:val="006D0F89"/>
    <w:rsid w:val="006D142A"/>
    <w:rsid w:val="006D20AE"/>
    <w:rsid w:val="006D2B3A"/>
    <w:rsid w:val="006D37AF"/>
    <w:rsid w:val="006D3892"/>
    <w:rsid w:val="006D3BAF"/>
    <w:rsid w:val="006D4D51"/>
    <w:rsid w:val="006D51D0"/>
    <w:rsid w:val="006D5FB9"/>
    <w:rsid w:val="006D658E"/>
    <w:rsid w:val="006D7359"/>
    <w:rsid w:val="006D7602"/>
    <w:rsid w:val="006D7A47"/>
    <w:rsid w:val="006D7B90"/>
    <w:rsid w:val="006D7BF8"/>
    <w:rsid w:val="006E05DE"/>
    <w:rsid w:val="006E0C51"/>
    <w:rsid w:val="006E0DC8"/>
    <w:rsid w:val="006E1030"/>
    <w:rsid w:val="006E1165"/>
    <w:rsid w:val="006E2A5E"/>
    <w:rsid w:val="006E2B8C"/>
    <w:rsid w:val="006E337D"/>
    <w:rsid w:val="006E429A"/>
    <w:rsid w:val="006E477A"/>
    <w:rsid w:val="006E53A8"/>
    <w:rsid w:val="006E53FB"/>
    <w:rsid w:val="006E564B"/>
    <w:rsid w:val="006E7191"/>
    <w:rsid w:val="006E797D"/>
    <w:rsid w:val="006E7CA1"/>
    <w:rsid w:val="006F02AA"/>
    <w:rsid w:val="006F09CD"/>
    <w:rsid w:val="006F1A5C"/>
    <w:rsid w:val="006F1D5A"/>
    <w:rsid w:val="006F2374"/>
    <w:rsid w:val="006F254D"/>
    <w:rsid w:val="006F3001"/>
    <w:rsid w:val="006F473F"/>
    <w:rsid w:val="006F49CA"/>
    <w:rsid w:val="006F4E58"/>
    <w:rsid w:val="006F68E2"/>
    <w:rsid w:val="006F7D84"/>
    <w:rsid w:val="007001A3"/>
    <w:rsid w:val="00700A3E"/>
    <w:rsid w:val="00701239"/>
    <w:rsid w:val="007017DE"/>
    <w:rsid w:val="00702034"/>
    <w:rsid w:val="007021F3"/>
    <w:rsid w:val="00702DD7"/>
    <w:rsid w:val="00703577"/>
    <w:rsid w:val="007036B5"/>
    <w:rsid w:val="00703C08"/>
    <w:rsid w:val="00705894"/>
    <w:rsid w:val="00705B62"/>
    <w:rsid w:val="0070716D"/>
    <w:rsid w:val="007103F8"/>
    <w:rsid w:val="00711C10"/>
    <w:rsid w:val="00711DA9"/>
    <w:rsid w:val="00711DB6"/>
    <w:rsid w:val="00712361"/>
    <w:rsid w:val="007133A3"/>
    <w:rsid w:val="007136E0"/>
    <w:rsid w:val="00713AAD"/>
    <w:rsid w:val="00715010"/>
    <w:rsid w:val="0071648B"/>
    <w:rsid w:val="00716FC7"/>
    <w:rsid w:val="00717973"/>
    <w:rsid w:val="00717FA2"/>
    <w:rsid w:val="00720BF7"/>
    <w:rsid w:val="00720E80"/>
    <w:rsid w:val="0072158D"/>
    <w:rsid w:val="00721725"/>
    <w:rsid w:val="00723728"/>
    <w:rsid w:val="00724069"/>
    <w:rsid w:val="00724D32"/>
    <w:rsid w:val="00725968"/>
    <w:rsid w:val="0072597C"/>
    <w:rsid w:val="00725C57"/>
    <w:rsid w:val="00725F8F"/>
    <w:rsid w:val="00726029"/>
    <w:rsid w:val="0072632A"/>
    <w:rsid w:val="00726E8A"/>
    <w:rsid w:val="0072787D"/>
    <w:rsid w:val="00727E82"/>
    <w:rsid w:val="00727FB3"/>
    <w:rsid w:val="007301D3"/>
    <w:rsid w:val="007307BF"/>
    <w:rsid w:val="00730A2A"/>
    <w:rsid w:val="00730C79"/>
    <w:rsid w:val="00730FCF"/>
    <w:rsid w:val="00731DD6"/>
    <w:rsid w:val="00731EEE"/>
    <w:rsid w:val="007327D5"/>
    <w:rsid w:val="00732CF3"/>
    <w:rsid w:val="0073353E"/>
    <w:rsid w:val="00734F6B"/>
    <w:rsid w:val="00736374"/>
    <w:rsid w:val="00736F34"/>
    <w:rsid w:val="00737149"/>
    <w:rsid w:val="00740113"/>
    <w:rsid w:val="007404C1"/>
    <w:rsid w:val="007416CB"/>
    <w:rsid w:val="007429EE"/>
    <w:rsid w:val="00742FBA"/>
    <w:rsid w:val="00743777"/>
    <w:rsid w:val="007453C0"/>
    <w:rsid w:val="00746DCB"/>
    <w:rsid w:val="00747716"/>
    <w:rsid w:val="00750C18"/>
    <w:rsid w:val="00750F0D"/>
    <w:rsid w:val="00751297"/>
    <w:rsid w:val="00751F9B"/>
    <w:rsid w:val="00752548"/>
    <w:rsid w:val="00752C73"/>
    <w:rsid w:val="0075378F"/>
    <w:rsid w:val="00753927"/>
    <w:rsid w:val="00754221"/>
    <w:rsid w:val="0075753D"/>
    <w:rsid w:val="0075777F"/>
    <w:rsid w:val="00760528"/>
    <w:rsid w:val="007613FA"/>
    <w:rsid w:val="0076188B"/>
    <w:rsid w:val="007629C8"/>
    <w:rsid w:val="00763704"/>
    <w:rsid w:val="007645DF"/>
    <w:rsid w:val="0076503F"/>
    <w:rsid w:val="0076591B"/>
    <w:rsid w:val="00766E79"/>
    <w:rsid w:val="0077047D"/>
    <w:rsid w:val="007704E6"/>
    <w:rsid w:val="007705E2"/>
    <w:rsid w:val="0077070B"/>
    <w:rsid w:val="00770C1E"/>
    <w:rsid w:val="00771899"/>
    <w:rsid w:val="00772E5D"/>
    <w:rsid w:val="00773244"/>
    <w:rsid w:val="0077410B"/>
    <w:rsid w:val="0077656F"/>
    <w:rsid w:val="00776DAD"/>
    <w:rsid w:val="0077799E"/>
    <w:rsid w:val="007779F8"/>
    <w:rsid w:val="00777D62"/>
    <w:rsid w:val="0078107D"/>
    <w:rsid w:val="00781612"/>
    <w:rsid w:val="00782319"/>
    <w:rsid w:val="007825FB"/>
    <w:rsid w:val="00782DF6"/>
    <w:rsid w:val="007836C4"/>
    <w:rsid w:val="0078379C"/>
    <w:rsid w:val="0078412D"/>
    <w:rsid w:val="007846CE"/>
    <w:rsid w:val="00784B38"/>
    <w:rsid w:val="00785AE3"/>
    <w:rsid w:val="00786412"/>
    <w:rsid w:val="00792DA0"/>
    <w:rsid w:val="007938CA"/>
    <w:rsid w:val="00793E18"/>
    <w:rsid w:val="00793E53"/>
    <w:rsid w:val="007942BC"/>
    <w:rsid w:val="007945CA"/>
    <w:rsid w:val="007959F1"/>
    <w:rsid w:val="007966B6"/>
    <w:rsid w:val="00796AB8"/>
    <w:rsid w:val="00796BFC"/>
    <w:rsid w:val="00796D39"/>
    <w:rsid w:val="007A17F2"/>
    <w:rsid w:val="007A255C"/>
    <w:rsid w:val="007A2BFC"/>
    <w:rsid w:val="007A453E"/>
    <w:rsid w:val="007A4C8D"/>
    <w:rsid w:val="007A5DFC"/>
    <w:rsid w:val="007B0B77"/>
    <w:rsid w:val="007B0C73"/>
    <w:rsid w:val="007B185A"/>
    <w:rsid w:val="007B218B"/>
    <w:rsid w:val="007B3191"/>
    <w:rsid w:val="007B39A9"/>
    <w:rsid w:val="007B3BA0"/>
    <w:rsid w:val="007B535E"/>
    <w:rsid w:val="007B6527"/>
    <w:rsid w:val="007B68BB"/>
    <w:rsid w:val="007B6BA5"/>
    <w:rsid w:val="007B722A"/>
    <w:rsid w:val="007B7434"/>
    <w:rsid w:val="007B7DB9"/>
    <w:rsid w:val="007C09A1"/>
    <w:rsid w:val="007C3390"/>
    <w:rsid w:val="007C3CA3"/>
    <w:rsid w:val="007C4324"/>
    <w:rsid w:val="007C4F4B"/>
    <w:rsid w:val="007C6CDB"/>
    <w:rsid w:val="007C702A"/>
    <w:rsid w:val="007D249D"/>
    <w:rsid w:val="007D28C2"/>
    <w:rsid w:val="007D2FD9"/>
    <w:rsid w:val="007D396F"/>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256C"/>
    <w:rsid w:val="007F3B21"/>
    <w:rsid w:val="007F3DA3"/>
    <w:rsid w:val="007F3DF4"/>
    <w:rsid w:val="007F3E63"/>
    <w:rsid w:val="007F5246"/>
    <w:rsid w:val="007F6611"/>
    <w:rsid w:val="007F6955"/>
    <w:rsid w:val="007F6AC6"/>
    <w:rsid w:val="00801596"/>
    <w:rsid w:val="00801B0B"/>
    <w:rsid w:val="00803766"/>
    <w:rsid w:val="00803F63"/>
    <w:rsid w:val="008042D0"/>
    <w:rsid w:val="008072FA"/>
    <w:rsid w:val="00807EC8"/>
    <w:rsid w:val="0081022D"/>
    <w:rsid w:val="0081102F"/>
    <w:rsid w:val="0081144B"/>
    <w:rsid w:val="00811920"/>
    <w:rsid w:val="00815153"/>
    <w:rsid w:val="00815549"/>
    <w:rsid w:val="00815AD0"/>
    <w:rsid w:val="00815CD6"/>
    <w:rsid w:val="00815EDB"/>
    <w:rsid w:val="00816D94"/>
    <w:rsid w:val="008176F0"/>
    <w:rsid w:val="00817A1D"/>
    <w:rsid w:val="00820683"/>
    <w:rsid w:val="00820C4A"/>
    <w:rsid w:val="00820F57"/>
    <w:rsid w:val="00821DA3"/>
    <w:rsid w:val="00821F21"/>
    <w:rsid w:val="008222A3"/>
    <w:rsid w:val="00822928"/>
    <w:rsid w:val="008242D7"/>
    <w:rsid w:val="00824B78"/>
    <w:rsid w:val="008257B1"/>
    <w:rsid w:val="00826CE1"/>
    <w:rsid w:val="00826FF2"/>
    <w:rsid w:val="00827166"/>
    <w:rsid w:val="008274A6"/>
    <w:rsid w:val="00827928"/>
    <w:rsid w:val="0083013D"/>
    <w:rsid w:val="00830852"/>
    <w:rsid w:val="00831977"/>
    <w:rsid w:val="008321A5"/>
    <w:rsid w:val="00832238"/>
    <w:rsid w:val="00832256"/>
    <w:rsid w:val="00832334"/>
    <w:rsid w:val="00832534"/>
    <w:rsid w:val="008330AF"/>
    <w:rsid w:val="00833B5B"/>
    <w:rsid w:val="00833DA1"/>
    <w:rsid w:val="00834D31"/>
    <w:rsid w:val="00835A45"/>
    <w:rsid w:val="00835C27"/>
    <w:rsid w:val="008366A3"/>
    <w:rsid w:val="00836920"/>
    <w:rsid w:val="00836E25"/>
    <w:rsid w:val="0084070E"/>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BA7"/>
    <w:rsid w:val="00853114"/>
    <w:rsid w:val="00853374"/>
    <w:rsid w:val="00853D6A"/>
    <w:rsid w:val="008547E5"/>
    <w:rsid w:val="0085568D"/>
    <w:rsid w:val="00856289"/>
    <w:rsid w:val="00857884"/>
    <w:rsid w:val="008606AC"/>
    <w:rsid w:val="00860B1E"/>
    <w:rsid w:val="00861811"/>
    <w:rsid w:val="00863273"/>
    <w:rsid w:val="00863F9E"/>
    <w:rsid w:val="0086484D"/>
    <w:rsid w:val="008663D6"/>
    <w:rsid w:val="0086703B"/>
    <w:rsid w:val="0086721F"/>
    <w:rsid w:val="008679D9"/>
    <w:rsid w:val="00870D44"/>
    <w:rsid w:val="008719DC"/>
    <w:rsid w:val="00871FF6"/>
    <w:rsid w:val="008722F7"/>
    <w:rsid w:val="0087230B"/>
    <w:rsid w:val="0087476F"/>
    <w:rsid w:val="00875FCC"/>
    <w:rsid w:val="00876530"/>
    <w:rsid w:val="0087676A"/>
    <w:rsid w:val="00877A04"/>
    <w:rsid w:val="00877E2D"/>
    <w:rsid w:val="00880E8D"/>
    <w:rsid w:val="00882056"/>
    <w:rsid w:val="0088207E"/>
    <w:rsid w:val="0088255B"/>
    <w:rsid w:val="00882926"/>
    <w:rsid w:val="008842D6"/>
    <w:rsid w:val="0088530F"/>
    <w:rsid w:val="008865CB"/>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B20FB"/>
    <w:rsid w:val="008B2335"/>
    <w:rsid w:val="008B25FF"/>
    <w:rsid w:val="008B29A3"/>
    <w:rsid w:val="008B2E36"/>
    <w:rsid w:val="008B382E"/>
    <w:rsid w:val="008B3B01"/>
    <w:rsid w:val="008B43C4"/>
    <w:rsid w:val="008B506E"/>
    <w:rsid w:val="008B5098"/>
    <w:rsid w:val="008B5F2F"/>
    <w:rsid w:val="008B6E32"/>
    <w:rsid w:val="008B7565"/>
    <w:rsid w:val="008C0C37"/>
    <w:rsid w:val="008C0E22"/>
    <w:rsid w:val="008C1088"/>
    <w:rsid w:val="008C1301"/>
    <w:rsid w:val="008C1C59"/>
    <w:rsid w:val="008C2771"/>
    <w:rsid w:val="008C3B7E"/>
    <w:rsid w:val="008C4090"/>
    <w:rsid w:val="008C418F"/>
    <w:rsid w:val="008C445D"/>
    <w:rsid w:val="008D0B22"/>
    <w:rsid w:val="008D0B7A"/>
    <w:rsid w:val="008D17C6"/>
    <w:rsid w:val="008D2117"/>
    <w:rsid w:val="008D2816"/>
    <w:rsid w:val="008D3EA9"/>
    <w:rsid w:val="008D4F2E"/>
    <w:rsid w:val="008D55B8"/>
    <w:rsid w:val="008D59C7"/>
    <w:rsid w:val="008D5A07"/>
    <w:rsid w:val="008D63F1"/>
    <w:rsid w:val="008D7202"/>
    <w:rsid w:val="008E0678"/>
    <w:rsid w:val="008E3ADE"/>
    <w:rsid w:val="008E40CC"/>
    <w:rsid w:val="008E49F0"/>
    <w:rsid w:val="008E4CD4"/>
    <w:rsid w:val="008E5439"/>
    <w:rsid w:val="008E54E7"/>
    <w:rsid w:val="008E69C7"/>
    <w:rsid w:val="008E6CC6"/>
    <w:rsid w:val="008F10C7"/>
    <w:rsid w:val="008F2534"/>
    <w:rsid w:val="008F31D2"/>
    <w:rsid w:val="008F4195"/>
    <w:rsid w:val="008F462E"/>
    <w:rsid w:val="008F4CB8"/>
    <w:rsid w:val="008F4F88"/>
    <w:rsid w:val="008F7222"/>
    <w:rsid w:val="008F7BFE"/>
    <w:rsid w:val="008F7F33"/>
    <w:rsid w:val="0090034B"/>
    <w:rsid w:val="009008F4"/>
    <w:rsid w:val="00901387"/>
    <w:rsid w:val="00901DBA"/>
    <w:rsid w:val="00901F3B"/>
    <w:rsid w:val="0090295F"/>
    <w:rsid w:val="00902B51"/>
    <w:rsid w:val="009031F5"/>
    <w:rsid w:val="00904882"/>
    <w:rsid w:val="00904ADD"/>
    <w:rsid w:val="00905107"/>
    <w:rsid w:val="009053E4"/>
    <w:rsid w:val="00905944"/>
    <w:rsid w:val="00905ED3"/>
    <w:rsid w:val="009062CD"/>
    <w:rsid w:val="00906C66"/>
    <w:rsid w:val="0090783F"/>
    <w:rsid w:val="00911145"/>
    <w:rsid w:val="009115F2"/>
    <w:rsid w:val="0091171C"/>
    <w:rsid w:val="00911E03"/>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2BB9"/>
    <w:rsid w:val="009434C4"/>
    <w:rsid w:val="00943605"/>
    <w:rsid w:val="00943AEB"/>
    <w:rsid w:val="00943BBA"/>
    <w:rsid w:val="009448C3"/>
    <w:rsid w:val="00945A36"/>
    <w:rsid w:val="00947467"/>
    <w:rsid w:val="00947C05"/>
    <w:rsid w:val="00951230"/>
    <w:rsid w:val="009516BC"/>
    <w:rsid w:val="009517D9"/>
    <w:rsid w:val="009538E4"/>
    <w:rsid w:val="00954004"/>
    <w:rsid w:val="00954D06"/>
    <w:rsid w:val="0095501B"/>
    <w:rsid w:val="0095594B"/>
    <w:rsid w:val="00956843"/>
    <w:rsid w:val="00956878"/>
    <w:rsid w:val="00957104"/>
    <w:rsid w:val="009577AA"/>
    <w:rsid w:val="00960383"/>
    <w:rsid w:val="00960576"/>
    <w:rsid w:val="00961266"/>
    <w:rsid w:val="00961A77"/>
    <w:rsid w:val="00962543"/>
    <w:rsid w:val="00965710"/>
    <w:rsid w:val="00965CB3"/>
    <w:rsid w:val="009668A1"/>
    <w:rsid w:val="00967473"/>
    <w:rsid w:val="00967640"/>
    <w:rsid w:val="009714B2"/>
    <w:rsid w:val="009719F6"/>
    <w:rsid w:val="0097262A"/>
    <w:rsid w:val="0097352B"/>
    <w:rsid w:val="00973C9D"/>
    <w:rsid w:val="00974476"/>
    <w:rsid w:val="00974BBE"/>
    <w:rsid w:val="00974C55"/>
    <w:rsid w:val="00975569"/>
    <w:rsid w:val="009760F3"/>
    <w:rsid w:val="00976937"/>
    <w:rsid w:val="00976CFB"/>
    <w:rsid w:val="00977620"/>
    <w:rsid w:val="00980569"/>
    <w:rsid w:val="00980E6D"/>
    <w:rsid w:val="00981FED"/>
    <w:rsid w:val="00982BD4"/>
    <w:rsid w:val="00983302"/>
    <w:rsid w:val="00983C60"/>
    <w:rsid w:val="00984B5D"/>
    <w:rsid w:val="00984F9C"/>
    <w:rsid w:val="009859E7"/>
    <w:rsid w:val="00986846"/>
    <w:rsid w:val="00987477"/>
    <w:rsid w:val="00990884"/>
    <w:rsid w:val="00991576"/>
    <w:rsid w:val="009919EA"/>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26AE"/>
    <w:rsid w:val="009A2AE0"/>
    <w:rsid w:val="009A4565"/>
    <w:rsid w:val="009A47DF"/>
    <w:rsid w:val="009A48EF"/>
    <w:rsid w:val="009A496A"/>
    <w:rsid w:val="009A5EA4"/>
    <w:rsid w:val="009A7C3E"/>
    <w:rsid w:val="009A7EB0"/>
    <w:rsid w:val="009A7EFB"/>
    <w:rsid w:val="009B0DB2"/>
    <w:rsid w:val="009B167B"/>
    <w:rsid w:val="009B2352"/>
    <w:rsid w:val="009B26E7"/>
    <w:rsid w:val="009B3275"/>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4B01"/>
    <w:rsid w:val="009C4D63"/>
    <w:rsid w:val="009C532C"/>
    <w:rsid w:val="009C5E3B"/>
    <w:rsid w:val="009D010D"/>
    <w:rsid w:val="009D214A"/>
    <w:rsid w:val="009D2255"/>
    <w:rsid w:val="009D3FCB"/>
    <w:rsid w:val="009D4276"/>
    <w:rsid w:val="009D439B"/>
    <w:rsid w:val="009D4D38"/>
    <w:rsid w:val="009D6E8D"/>
    <w:rsid w:val="009D7122"/>
    <w:rsid w:val="009D744D"/>
    <w:rsid w:val="009D75EF"/>
    <w:rsid w:val="009D7F0B"/>
    <w:rsid w:val="009E03FB"/>
    <w:rsid w:val="009E1C44"/>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F74"/>
    <w:rsid w:val="009F45E5"/>
    <w:rsid w:val="009F4F1B"/>
    <w:rsid w:val="009F558D"/>
    <w:rsid w:val="009F5BFC"/>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957"/>
    <w:rsid w:val="00A118E2"/>
    <w:rsid w:val="00A12AD3"/>
    <w:rsid w:val="00A12D95"/>
    <w:rsid w:val="00A13ECC"/>
    <w:rsid w:val="00A15BC8"/>
    <w:rsid w:val="00A1667A"/>
    <w:rsid w:val="00A1686F"/>
    <w:rsid w:val="00A16DAF"/>
    <w:rsid w:val="00A16E94"/>
    <w:rsid w:val="00A17615"/>
    <w:rsid w:val="00A17681"/>
    <w:rsid w:val="00A1790F"/>
    <w:rsid w:val="00A22BB0"/>
    <w:rsid w:val="00A230B3"/>
    <w:rsid w:val="00A23969"/>
    <w:rsid w:val="00A2507B"/>
    <w:rsid w:val="00A25553"/>
    <w:rsid w:val="00A25EC9"/>
    <w:rsid w:val="00A3026E"/>
    <w:rsid w:val="00A307F8"/>
    <w:rsid w:val="00A3097F"/>
    <w:rsid w:val="00A30F7E"/>
    <w:rsid w:val="00A325A3"/>
    <w:rsid w:val="00A32CAA"/>
    <w:rsid w:val="00A32E68"/>
    <w:rsid w:val="00A338F1"/>
    <w:rsid w:val="00A346FF"/>
    <w:rsid w:val="00A347C5"/>
    <w:rsid w:val="00A35BE0"/>
    <w:rsid w:val="00A37091"/>
    <w:rsid w:val="00A37D6C"/>
    <w:rsid w:val="00A405B7"/>
    <w:rsid w:val="00A40B38"/>
    <w:rsid w:val="00A4193F"/>
    <w:rsid w:val="00A41C88"/>
    <w:rsid w:val="00A42108"/>
    <w:rsid w:val="00A4219D"/>
    <w:rsid w:val="00A43182"/>
    <w:rsid w:val="00A436B8"/>
    <w:rsid w:val="00A43AE6"/>
    <w:rsid w:val="00A441F5"/>
    <w:rsid w:val="00A44857"/>
    <w:rsid w:val="00A45585"/>
    <w:rsid w:val="00A457A6"/>
    <w:rsid w:val="00A46749"/>
    <w:rsid w:val="00A46BBF"/>
    <w:rsid w:val="00A46FF4"/>
    <w:rsid w:val="00A47EFF"/>
    <w:rsid w:val="00A503DC"/>
    <w:rsid w:val="00A519BF"/>
    <w:rsid w:val="00A524DA"/>
    <w:rsid w:val="00A534E7"/>
    <w:rsid w:val="00A53A1B"/>
    <w:rsid w:val="00A55D07"/>
    <w:rsid w:val="00A55E38"/>
    <w:rsid w:val="00A56471"/>
    <w:rsid w:val="00A57143"/>
    <w:rsid w:val="00A57625"/>
    <w:rsid w:val="00A60163"/>
    <w:rsid w:val="00A605F5"/>
    <w:rsid w:val="00A60F8F"/>
    <w:rsid w:val="00A6129C"/>
    <w:rsid w:val="00A62201"/>
    <w:rsid w:val="00A623E0"/>
    <w:rsid w:val="00A62A82"/>
    <w:rsid w:val="00A63DC4"/>
    <w:rsid w:val="00A6485D"/>
    <w:rsid w:val="00A64F02"/>
    <w:rsid w:val="00A652CE"/>
    <w:rsid w:val="00A65339"/>
    <w:rsid w:val="00A66331"/>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77966"/>
    <w:rsid w:val="00A80C91"/>
    <w:rsid w:val="00A80FDA"/>
    <w:rsid w:val="00A8104A"/>
    <w:rsid w:val="00A81A11"/>
    <w:rsid w:val="00A81A7E"/>
    <w:rsid w:val="00A82596"/>
    <w:rsid w:val="00A83007"/>
    <w:rsid w:val="00A8347E"/>
    <w:rsid w:val="00A835FF"/>
    <w:rsid w:val="00A839F2"/>
    <w:rsid w:val="00A848A5"/>
    <w:rsid w:val="00A85DB2"/>
    <w:rsid w:val="00A86646"/>
    <w:rsid w:val="00A87676"/>
    <w:rsid w:val="00A90B92"/>
    <w:rsid w:val="00A910F2"/>
    <w:rsid w:val="00A91C3F"/>
    <w:rsid w:val="00A92769"/>
    <w:rsid w:val="00A92836"/>
    <w:rsid w:val="00A93FA3"/>
    <w:rsid w:val="00A942A1"/>
    <w:rsid w:val="00A94361"/>
    <w:rsid w:val="00A94533"/>
    <w:rsid w:val="00A95628"/>
    <w:rsid w:val="00A96406"/>
    <w:rsid w:val="00A972D6"/>
    <w:rsid w:val="00AA023E"/>
    <w:rsid w:val="00AA07B2"/>
    <w:rsid w:val="00AA0887"/>
    <w:rsid w:val="00AA0F0A"/>
    <w:rsid w:val="00AA256F"/>
    <w:rsid w:val="00AA293C"/>
    <w:rsid w:val="00AA2D37"/>
    <w:rsid w:val="00AA4283"/>
    <w:rsid w:val="00AA4321"/>
    <w:rsid w:val="00AA5619"/>
    <w:rsid w:val="00AA5A07"/>
    <w:rsid w:val="00AA5C63"/>
    <w:rsid w:val="00AA69E0"/>
    <w:rsid w:val="00AA7810"/>
    <w:rsid w:val="00AB2E88"/>
    <w:rsid w:val="00AB4007"/>
    <w:rsid w:val="00AB42CA"/>
    <w:rsid w:val="00AB4496"/>
    <w:rsid w:val="00AB6D6C"/>
    <w:rsid w:val="00AB7E77"/>
    <w:rsid w:val="00AC0020"/>
    <w:rsid w:val="00AC0334"/>
    <w:rsid w:val="00AC0675"/>
    <w:rsid w:val="00AC085F"/>
    <w:rsid w:val="00AC0E11"/>
    <w:rsid w:val="00AC0F29"/>
    <w:rsid w:val="00AC26D3"/>
    <w:rsid w:val="00AC3457"/>
    <w:rsid w:val="00AC371F"/>
    <w:rsid w:val="00AC3878"/>
    <w:rsid w:val="00AC3CB7"/>
    <w:rsid w:val="00AC3EB6"/>
    <w:rsid w:val="00AC3F4E"/>
    <w:rsid w:val="00AC499A"/>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5205"/>
    <w:rsid w:val="00AD5684"/>
    <w:rsid w:val="00AD5690"/>
    <w:rsid w:val="00AD5C4B"/>
    <w:rsid w:val="00AD5EB5"/>
    <w:rsid w:val="00AD5EDC"/>
    <w:rsid w:val="00AD76F0"/>
    <w:rsid w:val="00AE061E"/>
    <w:rsid w:val="00AE1968"/>
    <w:rsid w:val="00AE29BD"/>
    <w:rsid w:val="00AE31DF"/>
    <w:rsid w:val="00AE35B5"/>
    <w:rsid w:val="00AE40BE"/>
    <w:rsid w:val="00AE40F5"/>
    <w:rsid w:val="00AE41CF"/>
    <w:rsid w:val="00AE4571"/>
    <w:rsid w:val="00AE4F27"/>
    <w:rsid w:val="00AE598D"/>
    <w:rsid w:val="00AE6162"/>
    <w:rsid w:val="00AE6249"/>
    <w:rsid w:val="00AF1824"/>
    <w:rsid w:val="00AF3A06"/>
    <w:rsid w:val="00AF5127"/>
    <w:rsid w:val="00AF64EB"/>
    <w:rsid w:val="00AF6A1D"/>
    <w:rsid w:val="00AF75F9"/>
    <w:rsid w:val="00AF7DC4"/>
    <w:rsid w:val="00B00C3E"/>
    <w:rsid w:val="00B00C96"/>
    <w:rsid w:val="00B01403"/>
    <w:rsid w:val="00B01BF2"/>
    <w:rsid w:val="00B02136"/>
    <w:rsid w:val="00B02AB7"/>
    <w:rsid w:val="00B030DE"/>
    <w:rsid w:val="00B044EB"/>
    <w:rsid w:val="00B04B56"/>
    <w:rsid w:val="00B050B1"/>
    <w:rsid w:val="00B05153"/>
    <w:rsid w:val="00B05C95"/>
    <w:rsid w:val="00B06397"/>
    <w:rsid w:val="00B06667"/>
    <w:rsid w:val="00B06703"/>
    <w:rsid w:val="00B06984"/>
    <w:rsid w:val="00B07B35"/>
    <w:rsid w:val="00B103F8"/>
    <w:rsid w:val="00B10BF8"/>
    <w:rsid w:val="00B10DB2"/>
    <w:rsid w:val="00B127E9"/>
    <w:rsid w:val="00B1287D"/>
    <w:rsid w:val="00B12F84"/>
    <w:rsid w:val="00B13580"/>
    <w:rsid w:val="00B13E3E"/>
    <w:rsid w:val="00B14122"/>
    <w:rsid w:val="00B14414"/>
    <w:rsid w:val="00B1468F"/>
    <w:rsid w:val="00B156FC"/>
    <w:rsid w:val="00B15DFF"/>
    <w:rsid w:val="00B1615F"/>
    <w:rsid w:val="00B16536"/>
    <w:rsid w:val="00B16A78"/>
    <w:rsid w:val="00B204C4"/>
    <w:rsid w:val="00B20B6C"/>
    <w:rsid w:val="00B217EE"/>
    <w:rsid w:val="00B22076"/>
    <w:rsid w:val="00B22753"/>
    <w:rsid w:val="00B22AB6"/>
    <w:rsid w:val="00B25CB5"/>
    <w:rsid w:val="00B26417"/>
    <w:rsid w:val="00B267D5"/>
    <w:rsid w:val="00B27264"/>
    <w:rsid w:val="00B27331"/>
    <w:rsid w:val="00B27411"/>
    <w:rsid w:val="00B27D82"/>
    <w:rsid w:val="00B30179"/>
    <w:rsid w:val="00B32C19"/>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7027"/>
    <w:rsid w:val="00B4725B"/>
    <w:rsid w:val="00B502FC"/>
    <w:rsid w:val="00B51987"/>
    <w:rsid w:val="00B51BB1"/>
    <w:rsid w:val="00B523B9"/>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E4A"/>
    <w:rsid w:val="00B56E9C"/>
    <w:rsid w:val="00B57F5C"/>
    <w:rsid w:val="00B6002C"/>
    <w:rsid w:val="00B625C8"/>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67DE5"/>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B9A"/>
    <w:rsid w:val="00B91DA4"/>
    <w:rsid w:val="00B92A79"/>
    <w:rsid w:val="00B92AB1"/>
    <w:rsid w:val="00B92B27"/>
    <w:rsid w:val="00B92B2E"/>
    <w:rsid w:val="00B92DF5"/>
    <w:rsid w:val="00B92E9B"/>
    <w:rsid w:val="00B9326C"/>
    <w:rsid w:val="00B93DB0"/>
    <w:rsid w:val="00B93E13"/>
    <w:rsid w:val="00B95A04"/>
    <w:rsid w:val="00BA2807"/>
    <w:rsid w:val="00BA2893"/>
    <w:rsid w:val="00BA2E62"/>
    <w:rsid w:val="00BA3419"/>
    <w:rsid w:val="00BA3E67"/>
    <w:rsid w:val="00BA451F"/>
    <w:rsid w:val="00BA521F"/>
    <w:rsid w:val="00BA5492"/>
    <w:rsid w:val="00BA599F"/>
    <w:rsid w:val="00BA5C6F"/>
    <w:rsid w:val="00BA5DB6"/>
    <w:rsid w:val="00BA60BD"/>
    <w:rsid w:val="00BB0970"/>
    <w:rsid w:val="00BB0972"/>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5957"/>
    <w:rsid w:val="00BC62EF"/>
    <w:rsid w:val="00BC6831"/>
    <w:rsid w:val="00BC6CB4"/>
    <w:rsid w:val="00BC74E9"/>
    <w:rsid w:val="00BD210A"/>
    <w:rsid w:val="00BD2392"/>
    <w:rsid w:val="00BD24B1"/>
    <w:rsid w:val="00BD3334"/>
    <w:rsid w:val="00BD59A8"/>
    <w:rsid w:val="00BD77DC"/>
    <w:rsid w:val="00BD7DFD"/>
    <w:rsid w:val="00BD7FBA"/>
    <w:rsid w:val="00BE06F3"/>
    <w:rsid w:val="00BE0E14"/>
    <w:rsid w:val="00BE1404"/>
    <w:rsid w:val="00BE1AFD"/>
    <w:rsid w:val="00BE1D84"/>
    <w:rsid w:val="00BE246B"/>
    <w:rsid w:val="00BE258B"/>
    <w:rsid w:val="00BE2680"/>
    <w:rsid w:val="00BE28D0"/>
    <w:rsid w:val="00BE35D7"/>
    <w:rsid w:val="00BE5CD4"/>
    <w:rsid w:val="00BE6331"/>
    <w:rsid w:val="00BE6A4B"/>
    <w:rsid w:val="00BE7BFF"/>
    <w:rsid w:val="00BE7E81"/>
    <w:rsid w:val="00BF2419"/>
    <w:rsid w:val="00BF49DF"/>
    <w:rsid w:val="00BF5D7C"/>
    <w:rsid w:val="00BF68A8"/>
    <w:rsid w:val="00BF6D58"/>
    <w:rsid w:val="00BF78E4"/>
    <w:rsid w:val="00BF7CE2"/>
    <w:rsid w:val="00C00457"/>
    <w:rsid w:val="00C006F2"/>
    <w:rsid w:val="00C01638"/>
    <w:rsid w:val="00C017E7"/>
    <w:rsid w:val="00C01E5E"/>
    <w:rsid w:val="00C02A87"/>
    <w:rsid w:val="00C02F17"/>
    <w:rsid w:val="00C034DA"/>
    <w:rsid w:val="00C04016"/>
    <w:rsid w:val="00C06A10"/>
    <w:rsid w:val="00C07278"/>
    <w:rsid w:val="00C072D3"/>
    <w:rsid w:val="00C07F5A"/>
    <w:rsid w:val="00C1071A"/>
    <w:rsid w:val="00C110F5"/>
    <w:rsid w:val="00C11A03"/>
    <w:rsid w:val="00C11C4D"/>
    <w:rsid w:val="00C12DAE"/>
    <w:rsid w:val="00C13326"/>
    <w:rsid w:val="00C15A28"/>
    <w:rsid w:val="00C163DD"/>
    <w:rsid w:val="00C167D0"/>
    <w:rsid w:val="00C17272"/>
    <w:rsid w:val="00C202C2"/>
    <w:rsid w:val="00C204E1"/>
    <w:rsid w:val="00C21477"/>
    <w:rsid w:val="00C22C0C"/>
    <w:rsid w:val="00C23265"/>
    <w:rsid w:val="00C234A7"/>
    <w:rsid w:val="00C24E3B"/>
    <w:rsid w:val="00C25644"/>
    <w:rsid w:val="00C2638D"/>
    <w:rsid w:val="00C2736E"/>
    <w:rsid w:val="00C30104"/>
    <w:rsid w:val="00C30938"/>
    <w:rsid w:val="00C30A89"/>
    <w:rsid w:val="00C30BBC"/>
    <w:rsid w:val="00C3168F"/>
    <w:rsid w:val="00C32603"/>
    <w:rsid w:val="00C337CD"/>
    <w:rsid w:val="00C338C5"/>
    <w:rsid w:val="00C33DC2"/>
    <w:rsid w:val="00C3410A"/>
    <w:rsid w:val="00C34206"/>
    <w:rsid w:val="00C34511"/>
    <w:rsid w:val="00C34D59"/>
    <w:rsid w:val="00C35321"/>
    <w:rsid w:val="00C365AF"/>
    <w:rsid w:val="00C40558"/>
    <w:rsid w:val="00C4090B"/>
    <w:rsid w:val="00C40DD3"/>
    <w:rsid w:val="00C41CA4"/>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724C"/>
    <w:rsid w:val="00C4765E"/>
    <w:rsid w:val="00C5084F"/>
    <w:rsid w:val="00C509DF"/>
    <w:rsid w:val="00C52F39"/>
    <w:rsid w:val="00C53D9C"/>
    <w:rsid w:val="00C54E99"/>
    <w:rsid w:val="00C550C5"/>
    <w:rsid w:val="00C574A5"/>
    <w:rsid w:val="00C57C50"/>
    <w:rsid w:val="00C6043F"/>
    <w:rsid w:val="00C609D6"/>
    <w:rsid w:val="00C6117A"/>
    <w:rsid w:val="00C61490"/>
    <w:rsid w:val="00C61ACA"/>
    <w:rsid w:val="00C629A0"/>
    <w:rsid w:val="00C62C2E"/>
    <w:rsid w:val="00C63371"/>
    <w:rsid w:val="00C642A5"/>
    <w:rsid w:val="00C64629"/>
    <w:rsid w:val="00C671F5"/>
    <w:rsid w:val="00C6721D"/>
    <w:rsid w:val="00C67AB1"/>
    <w:rsid w:val="00C704A4"/>
    <w:rsid w:val="00C709C4"/>
    <w:rsid w:val="00C71503"/>
    <w:rsid w:val="00C7229C"/>
    <w:rsid w:val="00C73480"/>
    <w:rsid w:val="00C73870"/>
    <w:rsid w:val="00C74513"/>
    <w:rsid w:val="00C745C3"/>
    <w:rsid w:val="00C748FA"/>
    <w:rsid w:val="00C75410"/>
    <w:rsid w:val="00C7560C"/>
    <w:rsid w:val="00C770FF"/>
    <w:rsid w:val="00C774DF"/>
    <w:rsid w:val="00C77743"/>
    <w:rsid w:val="00C77D78"/>
    <w:rsid w:val="00C80EB7"/>
    <w:rsid w:val="00C81344"/>
    <w:rsid w:val="00C814E0"/>
    <w:rsid w:val="00C81D9C"/>
    <w:rsid w:val="00C82528"/>
    <w:rsid w:val="00C82DED"/>
    <w:rsid w:val="00C8349E"/>
    <w:rsid w:val="00C83A89"/>
    <w:rsid w:val="00C84412"/>
    <w:rsid w:val="00C85792"/>
    <w:rsid w:val="00C86256"/>
    <w:rsid w:val="00C86CD7"/>
    <w:rsid w:val="00C873A4"/>
    <w:rsid w:val="00C878CB"/>
    <w:rsid w:val="00C905CD"/>
    <w:rsid w:val="00C90C39"/>
    <w:rsid w:val="00C93690"/>
    <w:rsid w:val="00C93793"/>
    <w:rsid w:val="00C93DE5"/>
    <w:rsid w:val="00C95775"/>
    <w:rsid w:val="00C96DF2"/>
    <w:rsid w:val="00C97C75"/>
    <w:rsid w:val="00C97DCC"/>
    <w:rsid w:val="00CA0259"/>
    <w:rsid w:val="00CA1370"/>
    <w:rsid w:val="00CA27E6"/>
    <w:rsid w:val="00CA49F0"/>
    <w:rsid w:val="00CA59DA"/>
    <w:rsid w:val="00CA7433"/>
    <w:rsid w:val="00CA7DB3"/>
    <w:rsid w:val="00CB0E14"/>
    <w:rsid w:val="00CB162E"/>
    <w:rsid w:val="00CB1A56"/>
    <w:rsid w:val="00CB2423"/>
    <w:rsid w:val="00CB3916"/>
    <w:rsid w:val="00CB3DDB"/>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2375"/>
    <w:rsid w:val="00CD294B"/>
    <w:rsid w:val="00CD2A9F"/>
    <w:rsid w:val="00CD2E61"/>
    <w:rsid w:val="00CD38B3"/>
    <w:rsid w:val="00CD4AA6"/>
    <w:rsid w:val="00CD4B8E"/>
    <w:rsid w:val="00CD6CCC"/>
    <w:rsid w:val="00CD70C6"/>
    <w:rsid w:val="00CD7130"/>
    <w:rsid w:val="00CD759C"/>
    <w:rsid w:val="00CE0335"/>
    <w:rsid w:val="00CE0359"/>
    <w:rsid w:val="00CE0EA3"/>
    <w:rsid w:val="00CE13AE"/>
    <w:rsid w:val="00CE1A40"/>
    <w:rsid w:val="00CE2F75"/>
    <w:rsid w:val="00CE3D10"/>
    <w:rsid w:val="00CE3D96"/>
    <w:rsid w:val="00CE3F95"/>
    <w:rsid w:val="00CE4A8F"/>
    <w:rsid w:val="00CE547F"/>
    <w:rsid w:val="00CE54EC"/>
    <w:rsid w:val="00CE591A"/>
    <w:rsid w:val="00CE6194"/>
    <w:rsid w:val="00CE74DB"/>
    <w:rsid w:val="00CF02D2"/>
    <w:rsid w:val="00CF06C8"/>
    <w:rsid w:val="00CF1A0B"/>
    <w:rsid w:val="00CF2696"/>
    <w:rsid w:val="00CF2954"/>
    <w:rsid w:val="00CF2BA2"/>
    <w:rsid w:val="00CF2D78"/>
    <w:rsid w:val="00CF2E8B"/>
    <w:rsid w:val="00CF307D"/>
    <w:rsid w:val="00CF588C"/>
    <w:rsid w:val="00CF5969"/>
    <w:rsid w:val="00CF7074"/>
    <w:rsid w:val="00CF73B9"/>
    <w:rsid w:val="00CF7A42"/>
    <w:rsid w:val="00D00240"/>
    <w:rsid w:val="00D0067D"/>
    <w:rsid w:val="00D011C1"/>
    <w:rsid w:val="00D01481"/>
    <w:rsid w:val="00D014CD"/>
    <w:rsid w:val="00D030A8"/>
    <w:rsid w:val="00D03463"/>
    <w:rsid w:val="00D03BE2"/>
    <w:rsid w:val="00D047C7"/>
    <w:rsid w:val="00D04818"/>
    <w:rsid w:val="00D052C4"/>
    <w:rsid w:val="00D0629D"/>
    <w:rsid w:val="00D0710E"/>
    <w:rsid w:val="00D07166"/>
    <w:rsid w:val="00D07681"/>
    <w:rsid w:val="00D07C42"/>
    <w:rsid w:val="00D1105D"/>
    <w:rsid w:val="00D131DC"/>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768"/>
    <w:rsid w:val="00D35C57"/>
    <w:rsid w:val="00D361C7"/>
    <w:rsid w:val="00D36ECD"/>
    <w:rsid w:val="00D371AA"/>
    <w:rsid w:val="00D40E3B"/>
    <w:rsid w:val="00D41037"/>
    <w:rsid w:val="00D41AEA"/>
    <w:rsid w:val="00D4211D"/>
    <w:rsid w:val="00D42D57"/>
    <w:rsid w:val="00D42DA2"/>
    <w:rsid w:val="00D43252"/>
    <w:rsid w:val="00D43708"/>
    <w:rsid w:val="00D43E34"/>
    <w:rsid w:val="00D4467E"/>
    <w:rsid w:val="00D44A10"/>
    <w:rsid w:val="00D45383"/>
    <w:rsid w:val="00D45F63"/>
    <w:rsid w:val="00D469C6"/>
    <w:rsid w:val="00D4713E"/>
    <w:rsid w:val="00D476B0"/>
    <w:rsid w:val="00D4783D"/>
    <w:rsid w:val="00D47E27"/>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08E3"/>
    <w:rsid w:val="00D61815"/>
    <w:rsid w:val="00D629DB"/>
    <w:rsid w:val="00D64D56"/>
    <w:rsid w:val="00D6538C"/>
    <w:rsid w:val="00D660CA"/>
    <w:rsid w:val="00D66589"/>
    <w:rsid w:val="00D701F1"/>
    <w:rsid w:val="00D71299"/>
    <w:rsid w:val="00D72108"/>
    <w:rsid w:val="00D728C0"/>
    <w:rsid w:val="00D73D33"/>
    <w:rsid w:val="00D73F2D"/>
    <w:rsid w:val="00D74556"/>
    <w:rsid w:val="00D7458A"/>
    <w:rsid w:val="00D74AFA"/>
    <w:rsid w:val="00D75361"/>
    <w:rsid w:val="00D75FB1"/>
    <w:rsid w:val="00D773DF"/>
    <w:rsid w:val="00D77B97"/>
    <w:rsid w:val="00D77BA0"/>
    <w:rsid w:val="00D801D3"/>
    <w:rsid w:val="00D8120D"/>
    <w:rsid w:val="00D824CB"/>
    <w:rsid w:val="00D82D5A"/>
    <w:rsid w:val="00D8341C"/>
    <w:rsid w:val="00D8637A"/>
    <w:rsid w:val="00D86943"/>
    <w:rsid w:val="00D86FAE"/>
    <w:rsid w:val="00D87AEC"/>
    <w:rsid w:val="00D904F6"/>
    <w:rsid w:val="00D91206"/>
    <w:rsid w:val="00D9229F"/>
    <w:rsid w:val="00D9285A"/>
    <w:rsid w:val="00D946CF"/>
    <w:rsid w:val="00D94CFE"/>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730"/>
    <w:rsid w:val="00DA6A5A"/>
    <w:rsid w:val="00DA6C39"/>
    <w:rsid w:val="00DA7500"/>
    <w:rsid w:val="00DB04DB"/>
    <w:rsid w:val="00DB257F"/>
    <w:rsid w:val="00DB258D"/>
    <w:rsid w:val="00DB2B6C"/>
    <w:rsid w:val="00DB3B73"/>
    <w:rsid w:val="00DB48EC"/>
    <w:rsid w:val="00DB58A6"/>
    <w:rsid w:val="00DB5F7C"/>
    <w:rsid w:val="00DB60FA"/>
    <w:rsid w:val="00DB6467"/>
    <w:rsid w:val="00DB6871"/>
    <w:rsid w:val="00DB6ECC"/>
    <w:rsid w:val="00DB7141"/>
    <w:rsid w:val="00DB7F4C"/>
    <w:rsid w:val="00DB7F6B"/>
    <w:rsid w:val="00DC6A67"/>
    <w:rsid w:val="00DC6B40"/>
    <w:rsid w:val="00DC6D39"/>
    <w:rsid w:val="00DD0567"/>
    <w:rsid w:val="00DD2907"/>
    <w:rsid w:val="00DD4A90"/>
    <w:rsid w:val="00DD5394"/>
    <w:rsid w:val="00DD5F2A"/>
    <w:rsid w:val="00DD600B"/>
    <w:rsid w:val="00DD6A9A"/>
    <w:rsid w:val="00DD731B"/>
    <w:rsid w:val="00DE0D72"/>
    <w:rsid w:val="00DE1A29"/>
    <w:rsid w:val="00DE472A"/>
    <w:rsid w:val="00DE4924"/>
    <w:rsid w:val="00DE6AEE"/>
    <w:rsid w:val="00DE6D8A"/>
    <w:rsid w:val="00DE76E1"/>
    <w:rsid w:val="00DF0253"/>
    <w:rsid w:val="00DF025D"/>
    <w:rsid w:val="00DF0E38"/>
    <w:rsid w:val="00DF14E2"/>
    <w:rsid w:val="00DF17FB"/>
    <w:rsid w:val="00DF1F4E"/>
    <w:rsid w:val="00DF370F"/>
    <w:rsid w:val="00DF38A9"/>
    <w:rsid w:val="00DF3AF1"/>
    <w:rsid w:val="00DF3E81"/>
    <w:rsid w:val="00DF4677"/>
    <w:rsid w:val="00DF4B2B"/>
    <w:rsid w:val="00DF508C"/>
    <w:rsid w:val="00DF538A"/>
    <w:rsid w:val="00DF5841"/>
    <w:rsid w:val="00DF69E1"/>
    <w:rsid w:val="00DF6F07"/>
    <w:rsid w:val="00E00573"/>
    <w:rsid w:val="00E0155F"/>
    <w:rsid w:val="00E01892"/>
    <w:rsid w:val="00E02ED9"/>
    <w:rsid w:val="00E030C2"/>
    <w:rsid w:val="00E03B55"/>
    <w:rsid w:val="00E03C6C"/>
    <w:rsid w:val="00E040B1"/>
    <w:rsid w:val="00E043D6"/>
    <w:rsid w:val="00E04486"/>
    <w:rsid w:val="00E0449C"/>
    <w:rsid w:val="00E046DF"/>
    <w:rsid w:val="00E050FD"/>
    <w:rsid w:val="00E065D0"/>
    <w:rsid w:val="00E06CC8"/>
    <w:rsid w:val="00E10125"/>
    <w:rsid w:val="00E12F53"/>
    <w:rsid w:val="00E13AD9"/>
    <w:rsid w:val="00E14105"/>
    <w:rsid w:val="00E14AA2"/>
    <w:rsid w:val="00E1535F"/>
    <w:rsid w:val="00E1670B"/>
    <w:rsid w:val="00E17AAB"/>
    <w:rsid w:val="00E17C92"/>
    <w:rsid w:val="00E17F92"/>
    <w:rsid w:val="00E21398"/>
    <w:rsid w:val="00E220F6"/>
    <w:rsid w:val="00E2250B"/>
    <w:rsid w:val="00E22B0C"/>
    <w:rsid w:val="00E22DCB"/>
    <w:rsid w:val="00E2449D"/>
    <w:rsid w:val="00E25887"/>
    <w:rsid w:val="00E27346"/>
    <w:rsid w:val="00E275A1"/>
    <w:rsid w:val="00E27A55"/>
    <w:rsid w:val="00E322E3"/>
    <w:rsid w:val="00E32D1C"/>
    <w:rsid w:val="00E33486"/>
    <w:rsid w:val="00E3600A"/>
    <w:rsid w:val="00E3737B"/>
    <w:rsid w:val="00E37C9D"/>
    <w:rsid w:val="00E37DD0"/>
    <w:rsid w:val="00E40281"/>
    <w:rsid w:val="00E40A45"/>
    <w:rsid w:val="00E40D7B"/>
    <w:rsid w:val="00E41A2A"/>
    <w:rsid w:val="00E42232"/>
    <w:rsid w:val="00E425FB"/>
    <w:rsid w:val="00E42B72"/>
    <w:rsid w:val="00E43D71"/>
    <w:rsid w:val="00E44D01"/>
    <w:rsid w:val="00E459C4"/>
    <w:rsid w:val="00E46469"/>
    <w:rsid w:val="00E50079"/>
    <w:rsid w:val="00E503DE"/>
    <w:rsid w:val="00E5061F"/>
    <w:rsid w:val="00E50896"/>
    <w:rsid w:val="00E50C96"/>
    <w:rsid w:val="00E50DA9"/>
    <w:rsid w:val="00E515DD"/>
    <w:rsid w:val="00E53BAE"/>
    <w:rsid w:val="00E54AB5"/>
    <w:rsid w:val="00E5532C"/>
    <w:rsid w:val="00E560CA"/>
    <w:rsid w:val="00E56475"/>
    <w:rsid w:val="00E56565"/>
    <w:rsid w:val="00E56784"/>
    <w:rsid w:val="00E57E02"/>
    <w:rsid w:val="00E6013D"/>
    <w:rsid w:val="00E60707"/>
    <w:rsid w:val="00E60767"/>
    <w:rsid w:val="00E6160C"/>
    <w:rsid w:val="00E62304"/>
    <w:rsid w:val="00E6271D"/>
    <w:rsid w:val="00E62A1B"/>
    <w:rsid w:val="00E64755"/>
    <w:rsid w:val="00E64BB4"/>
    <w:rsid w:val="00E67484"/>
    <w:rsid w:val="00E6777E"/>
    <w:rsid w:val="00E70948"/>
    <w:rsid w:val="00E71620"/>
    <w:rsid w:val="00E71BC8"/>
    <w:rsid w:val="00E725B3"/>
    <w:rsid w:val="00E725C9"/>
    <w:rsid w:val="00E7260F"/>
    <w:rsid w:val="00E730C9"/>
    <w:rsid w:val="00E73F5D"/>
    <w:rsid w:val="00E74401"/>
    <w:rsid w:val="00E74F04"/>
    <w:rsid w:val="00E7530A"/>
    <w:rsid w:val="00E7536C"/>
    <w:rsid w:val="00E7556E"/>
    <w:rsid w:val="00E75797"/>
    <w:rsid w:val="00E75F7C"/>
    <w:rsid w:val="00E76E4A"/>
    <w:rsid w:val="00E77E4E"/>
    <w:rsid w:val="00E81413"/>
    <w:rsid w:val="00E81595"/>
    <w:rsid w:val="00E825D6"/>
    <w:rsid w:val="00E82C1A"/>
    <w:rsid w:val="00E82D4A"/>
    <w:rsid w:val="00E833C5"/>
    <w:rsid w:val="00E84AF6"/>
    <w:rsid w:val="00E859B6"/>
    <w:rsid w:val="00E85F33"/>
    <w:rsid w:val="00E86C77"/>
    <w:rsid w:val="00E874EC"/>
    <w:rsid w:val="00E87621"/>
    <w:rsid w:val="00E87C07"/>
    <w:rsid w:val="00E87C39"/>
    <w:rsid w:val="00E929A8"/>
    <w:rsid w:val="00E937B3"/>
    <w:rsid w:val="00E93E06"/>
    <w:rsid w:val="00E950F7"/>
    <w:rsid w:val="00E96630"/>
    <w:rsid w:val="00EA10E6"/>
    <w:rsid w:val="00EA116A"/>
    <w:rsid w:val="00EA1581"/>
    <w:rsid w:val="00EA1C65"/>
    <w:rsid w:val="00EA216F"/>
    <w:rsid w:val="00EA23A7"/>
    <w:rsid w:val="00EA2A15"/>
    <w:rsid w:val="00EA2A77"/>
    <w:rsid w:val="00EA2BC4"/>
    <w:rsid w:val="00EA35F5"/>
    <w:rsid w:val="00EA44E2"/>
    <w:rsid w:val="00EA4B8C"/>
    <w:rsid w:val="00EA4E09"/>
    <w:rsid w:val="00EA5ACD"/>
    <w:rsid w:val="00EA62F7"/>
    <w:rsid w:val="00EA6D52"/>
    <w:rsid w:val="00EA7068"/>
    <w:rsid w:val="00EA7603"/>
    <w:rsid w:val="00EB024A"/>
    <w:rsid w:val="00EB062B"/>
    <w:rsid w:val="00EB07C3"/>
    <w:rsid w:val="00EB1747"/>
    <w:rsid w:val="00EB2B4F"/>
    <w:rsid w:val="00EB3633"/>
    <w:rsid w:val="00EB485F"/>
    <w:rsid w:val="00EB4F3C"/>
    <w:rsid w:val="00EB5323"/>
    <w:rsid w:val="00EB624F"/>
    <w:rsid w:val="00EB6432"/>
    <w:rsid w:val="00EB6725"/>
    <w:rsid w:val="00EB6903"/>
    <w:rsid w:val="00EB6A89"/>
    <w:rsid w:val="00EC08A7"/>
    <w:rsid w:val="00EC1B75"/>
    <w:rsid w:val="00EC1BA7"/>
    <w:rsid w:val="00EC24BC"/>
    <w:rsid w:val="00EC3CF8"/>
    <w:rsid w:val="00EC421C"/>
    <w:rsid w:val="00EC48DB"/>
    <w:rsid w:val="00EC4C96"/>
    <w:rsid w:val="00EC510B"/>
    <w:rsid w:val="00EC7120"/>
    <w:rsid w:val="00EC75F4"/>
    <w:rsid w:val="00EC79BA"/>
    <w:rsid w:val="00ED01D9"/>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0594"/>
    <w:rsid w:val="00EE1427"/>
    <w:rsid w:val="00EE2369"/>
    <w:rsid w:val="00EE2DCD"/>
    <w:rsid w:val="00EE358C"/>
    <w:rsid w:val="00EE4248"/>
    <w:rsid w:val="00EE51D5"/>
    <w:rsid w:val="00EE73ED"/>
    <w:rsid w:val="00EE74EF"/>
    <w:rsid w:val="00EF0093"/>
    <w:rsid w:val="00EF100D"/>
    <w:rsid w:val="00EF1D7F"/>
    <w:rsid w:val="00EF2139"/>
    <w:rsid w:val="00EF2141"/>
    <w:rsid w:val="00EF254E"/>
    <w:rsid w:val="00EF2EF0"/>
    <w:rsid w:val="00EF454F"/>
    <w:rsid w:val="00EF45DE"/>
    <w:rsid w:val="00EF49E5"/>
    <w:rsid w:val="00EF51A3"/>
    <w:rsid w:val="00EF5DA7"/>
    <w:rsid w:val="00EF73DF"/>
    <w:rsid w:val="00F02280"/>
    <w:rsid w:val="00F02C4F"/>
    <w:rsid w:val="00F04422"/>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6D2A"/>
    <w:rsid w:val="00F27ABB"/>
    <w:rsid w:val="00F30247"/>
    <w:rsid w:val="00F304B7"/>
    <w:rsid w:val="00F3089D"/>
    <w:rsid w:val="00F30965"/>
    <w:rsid w:val="00F3151D"/>
    <w:rsid w:val="00F31BAB"/>
    <w:rsid w:val="00F31E5F"/>
    <w:rsid w:val="00F32360"/>
    <w:rsid w:val="00F33D71"/>
    <w:rsid w:val="00F3428B"/>
    <w:rsid w:val="00F3429B"/>
    <w:rsid w:val="00F344BF"/>
    <w:rsid w:val="00F34829"/>
    <w:rsid w:val="00F34AEC"/>
    <w:rsid w:val="00F367F2"/>
    <w:rsid w:val="00F36965"/>
    <w:rsid w:val="00F36B6A"/>
    <w:rsid w:val="00F36D57"/>
    <w:rsid w:val="00F37759"/>
    <w:rsid w:val="00F402F5"/>
    <w:rsid w:val="00F40BE0"/>
    <w:rsid w:val="00F416A3"/>
    <w:rsid w:val="00F424A5"/>
    <w:rsid w:val="00F42A1C"/>
    <w:rsid w:val="00F43B8D"/>
    <w:rsid w:val="00F43E92"/>
    <w:rsid w:val="00F445FC"/>
    <w:rsid w:val="00F45AD2"/>
    <w:rsid w:val="00F4659C"/>
    <w:rsid w:val="00F469E5"/>
    <w:rsid w:val="00F46ED6"/>
    <w:rsid w:val="00F47583"/>
    <w:rsid w:val="00F47623"/>
    <w:rsid w:val="00F477BC"/>
    <w:rsid w:val="00F5057E"/>
    <w:rsid w:val="00F50AEA"/>
    <w:rsid w:val="00F52020"/>
    <w:rsid w:val="00F52C2C"/>
    <w:rsid w:val="00F5344A"/>
    <w:rsid w:val="00F534FB"/>
    <w:rsid w:val="00F538C2"/>
    <w:rsid w:val="00F54F07"/>
    <w:rsid w:val="00F55C33"/>
    <w:rsid w:val="00F55DCD"/>
    <w:rsid w:val="00F55DED"/>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B88"/>
    <w:rsid w:val="00F753E6"/>
    <w:rsid w:val="00F75980"/>
    <w:rsid w:val="00F75FC8"/>
    <w:rsid w:val="00F77F29"/>
    <w:rsid w:val="00F80D13"/>
    <w:rsid w:val="00F8193E"/>
    <w:rsid w:val="00F8203E"/>
    <w:rsid w:val="00F82D38"/>
    <w:rsid w:val="00F82EF3"/>
    <w:rsid w:val="00F8355E"/>
    <w:rsid w:val="00F84477"/>
    <w:rsid w:val="00F8581A"/>
    <w:rsid w:val="00F85AE2"/>
    <w:rsid w:val="00F85F2A"/>
    <w:rsid w:val="00F8622A"/>
    <w:rsid w:val="00F87187"/>
    <w:rsid w:val="00F87197"/>
    <w:rsid w:val="00F8753B"/>
    <w:rsid w:val="00F90A11"/>
    <w:rsid w:val="00F91AB1"/>
    <w:rsid w:val="00F91EF0"/>
    <w:rsid w:val="00F9210E"/>
    <w:rsid w:val="00F921A2"/>
    <w:rsid w:val="00F9297F"/>
    <w:rsid w:val="00F93781"/>
    <w:rsid w:val="00F93FF0"/>
    <w:rsid w:val="00F94A95"/>
    <w:rsid w:val="00F952B7"/>
    <w:rsid w:val="00F9626D"/>
    <w:rsid w:val="00F976C8"/>
    <w:rsid w:val="00FA0C31"/>
    <w:rsid w:val="00FA144E"/>
    <w:rsid w:val="00FA14BE"/>
    <w:rsid w:val="00FA18E0"/>
    <w:rsid w:val="00FA2EBE"/>
    <w:rsid w:val="00FA441F"/>
    <w:rsid w:val="00FA4A6A"/>
    <w:rsid w:val="00FA500D"/>
    <w:rsid w:val="00FA58FA"/>
    <w:rsid w:val="00FA5919"/>
    <w:rsid w:val="00FA7131"/>
    <w:rsid w:val="00FA74FE"/>
    <w:rsid w:val="00FA76BB"/>
    <w:rsid w:val="00FA77C2"/>
    <w:rsid w:val="00FB00C2"/>
    <w:rsid w:val="00FB0587"/>
    <w:rsid w:val="00FB0B3A"/>
    <w:rsid w:val="00FB1734"/>
    <w:rsid w:val="00FB18D4"/>
    <w:rsid w:val="00FB31BC"/>
    <w:rsid w:val="00FB3D40"/>
    <w:rsid w:val="00FB53C8"/>
    <w:rsid w:val="00FB613B"/>
    <w:rsid w:val="00FB6315"/>
    <w:rsid w:val="00FB6D23"/>
    <w:rsid w:val="00FB7304"/>
    <w:rsid w:val="00FB760D"/>
    <w:rsid w:val="00FB767B"/>
    <w:rsid w:val="00FC039C"/>
    <w:rsid w:val="00FC0F3D"/>
    <w:rsid w:val="00FC18A3"/>
    <w:rsid w:val="00FC1C6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B9"/>
    <w:rsid w:val="00FD45B8"/>
    <w:rsid w:val="00FD56F2"/>
    <w:rsid w:val="00FD6706"/>
    <w:rsid w:val="00FD6B76"/>
    <w:rsid w:val="00FD724D"/>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2793"/>
    <w:rsid w:val="00FF3E8E"/>
    <w:rsid w:val="00FF42D5"/>
    <w:rsid w:val="00FF46A0"/>
    <w:rsid w:val="00FF4750"/>
    <w:rsid w:val="00FF6478"/>
    <w:rsid w:val="00FF68DA"/>
    <w:rsid w:val="00FF692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73BE6F-E454-4705-913E-DD05BA9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B61F-90EF-4BBB-945C-AAF89611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19</Pages>
  <Words>5564</Words>
  <Characters>31719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1803540</vt:lpstr>
    </vt:vector>
  </TitlesOfParts>
  <Company>CSD</Company>
  <LinksUpToDate>false</LinksUpToDate>
  <CharactersWithSpaces>37209</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1803540</dc:title>
  <dc:subject>ECE/TRANS/WP.29/GRB/65</dc:subject>
  <dc:creator>Romain HUBERT</dc:creator>
  <cp:keywords/>
  <dc:description/>
  <cp:lastModifiedBy>Benedicte Boudol</cp:lastModifiedBy>
  <cp:revision>2</cp:revision>
  <cp:lastPrinted>2018-03-07T16:11:00Z</cp:lastPrinted>
  <dcterms:created xsi:type="dcterms:W3CDTF">2018-06-06T08:21:00Z</dcterms:created>
  <dcterms:modified xsi:type="dcterms:W3CDTF">2018-06-06T08:21:00Z</dcterms:modified>
</cp:coreProperties>
</file>