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E5C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E5C4C" w:rsidP="007E5C4C">
            <w:pPr>
              <w:jc w:val="right"/>
            </w:pPr>
            <w:r w:rsidRPr="007E5C4C">
              <w:rPr>
                <w:sz w:val="40"/>
              </w:rPr>
              <w:t>ECE</w:t>
            </w:r>
            <w:r>
              <w:t>/TRANS/WP.29/GRB/2018/5</w:t>
            </w:r>
          </w:p>
        </w:tc>
      </w:tr>
      <w:tr w:rsidR="002D5AAC" w:rsidRPr="002145C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E5C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E5C4C" w:rsidRDefault="007E5C4C" w:rsidP="007E5C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2018</w:t>
            </w:r>
          </w:p>
          <w:p w:rsidR="007E5C4C" w:rsidRDefault="007E5C4C" w:rsidP="007E5C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E5C4C" w:rsidRPr="008D53B6" w:rsidRDefault="007E5C4C" w:rsidP="007E5C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E5C4C" w:rsidRPr="00823D78" w:rsidRDefault="007E5C4C" w:rsidP="007E5C4C">
      <w:pPr>
        <w:spacing w:before="120"/>
        <w:rPr>
          <w:sz w:val="28"/>
          <w:szCs w:val="28"/>
        </w:rPr>
      </w:pPr>
      <w:r w:rsidRPr="00823D78">
        <w:rPr>
          <w:sz w:val="28"/>
          <w:szCs w:val="28"/>
        </w:rPr>
        <w:t>Комитет по внутреннему транспорту</w:t>
      </w:r>
    </w:p>
    <w:p w:rsidR="007E5C4C" w:rsidRPr="00823D78" w:rsidRDefault="007E5C4C" w:rsidP="007E5C4C">
      <w:pPr>
        <w:spacing w:before="120"/>
        <w:rPr>
          <w:b/>
          <w:bCs/>
          <w:sz w:val="24"/>
          <w:szCs w:val="24"/>
        </w:rPr>
      </w:pPr>
      <w:r w:rsidRPr="00823D7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823D78">
        <w:rPr>
          <w:b/>
          <w:bCs/>
          <w:sz w:val="24"/>
          <w:szCs w:val="24"/>
        </w:rPr>
        <w:br/>
      </w:r>
      <w:r w:rsidRPr="00823D78">
        <w:rPr>
          <w:b/>
          <w:bCs/>
          <w:sz w:val="24"/>
          <w:szCs w:val="24"/>
        </w:rPr>
        <w:t>в области транспортных средств</w:t>
      </w:r>
    </w:p>
    <w:p w:rsidR="007E5C4C" w:rsidRPr="007E5C4C" w:rsidRDefault="007E5C4C" w:rsidP="007E5C4C">
      <w:pPr>
        <w:spacing w:before="120"/>
        <w:rPr>
          <w:b/>
          <w:bCs/>
        </w:rPr>
      </w:pPr>
      <w:r w:rsidRPr="00EC2054">
        <w:rPr>
          <w:b/>
          <w:bCs/>
        </w:rPr>
        <w:t>Рабочая группа по вопросам шума</w:t>
      </w:r>
    </w:p>
    <w:p w:rsidR="007E5C4C" w:rsidRPr="007E5C4C" w:rsidRDefault="007E5C4C" w:rsidP="007E5C4C">
      <w:pPr>
        <w:spacing w:before="120"/>
        <w:rPr>
          <w:b/>
          <w:bCs/>
        </w:rPr>
      </w:pPr>
      <w:r w:rsidRPr="00EC2054">
        <w:rPr>
          <w:b/>
          <w:bCs/>
        </w:rPr>
        <w:t>Шестьдесят восьмая сессия</w:t>
      </w:r>
    </w:p>
    <w:p w:rsidR="007E5C4C" w:rsidRPr="007E5C4C" w:rsidRDefault="007E5C4C" w:rsidP="007E5C4C">
      <w:r w:rsidRPr="00EC2054">
        <w:t>Женева, 12</w:t>
      </w:r>
      <w:r w:rsidR="00823D78" w:rsidRPr="002145C9">
        <w:t>–</w:t>
      </w:r>
      <w:r w:rsidRPr="00EC2054">
        <w:t>14 сентября 2018 года</w:t>
      </w:r>
    </w:p>
    <w:p w:rsidR="007E5C4C" w:rsidRPr="007E5C4C" w:rsidRDefault="007E5C4C" w:rsidP="007E5C4C">
      <w:r w:rsidRPr="00EC2054">
        <w:t>Пункт 1 предварительной повестки дня</w:t>
      </w:r>
    </w:p>
    <w:p w:rsidR="007E5C4C" w:rsidRPr="007E5C4C" w:rsidRDefault="007E5C4C" w:rsidP="007E5C4C">
      <w:pPr>
        <w:rPr>
          <w:b/>
          <w:bCs/>
        </w:rPr>
      </w:pPr>
      <w:r w:rsidRPr="00EC2054">
        <w:rPr>
          <w:b/>
          <w:bCs/>
        </w:rPr>
        <w:t>Утверждение повестки дня</w:t>
      </w:r>
    </w:p>
    <w:p w:rsidR="007E5C4C" w:rsidRPr="002145C9" w:rsidRDefault="007E5C4C" w:rsidP="007E5C4C">
      <w:pPr>
        <w:pStyle w:val="HChG"/>
        <w:rPr>
          <w:b w:val="0"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Аннотированная предварительная повестка дня шестьдесят восьмой сессии</w:t>
      </w:r>
      <w:r w:rsidR="00823D78" w:rsidRPr="00823D78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 xml:space="preserve">* </w:t>
      </w:r>
      <w:r w:rsidR="00823D78" w:rsidRPr="00823D78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2"/>
        <w:t>**</w:t>
      </w:r>
      <w:r w:rsidR="000E36B7" w:rsidRPr="000E36B7">
        <w:rPr>
          <w:lang w:val="ru-RU"/>
        </w:rPr>
        <w:t>,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>которая состоится во Дворце Наций в Женеве, начнется в 14 ч 30 мин 12 сентября и</w:t>
      </w:r>
      <w:r w:rsidR="00823D78">
        <w:rPr>
          <w:lang w:val="en-US"/>
        </w:rPr>
        <w:t> </w:t>
      </w:r>
      <w:r>
        <w:rPr>
          <w:lang w:val="ru-RU"/>
        </w:rPr>
        <w:t xml:space="preserve">завершится в 17 ч 30 мин 14 сентября 2018 года </w:t>
      </w:r>
    </w:p>
    <w:p w:rsidR="007E5C4C" w:rsidRPr="007E5C4C" w:rsidRDefault="007E5C4C" w:rsidP="007E5C4C">
      <w:pPr>
        <w:suppressAutoHyphens w:val="0"/>
        <w:spacing w:line="240" w:lineRule="auto"/>
        <w:rPr>
          <w:b/>
          <w:sz w:val="28"/>
        </w:rPr>
      </w:pPr>
      <w:r w:rsidRPr="007E5C4C">
        <w:br w:type="page"/>
      </w:r>
    </w:p>
    <w:p w:rsidR="007E5C4C" w:rsidRPr="008D04D0" w:rsidRDefault="00823D78" w:rsidP="00823D78">
      <w:pPr>
        <w:pStyle w:val="HChGR"/>
      </w:pPr>
      <w:r>
        <w:lastRenderedPageBreak/>
        <w:tab/>
      </w:r>
      <w:r w:rsidR="007E5C4C">
        <w:t>I.</w:t>
      </w:r>
      <w:r w:rsidR="007E5C4C">
        <w:tab/>
      </w:r>
      <w:r w:rsidR="007E5C4C">
        <w:tab/>
        <w:t>Предварительная повестка дня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Утверждение повестки дня.</w:t>
      </w:r>
    </w:p>
    <w:p w:rsidR="007E5C4C" w:rsidRPr="007E5C4C" w:rsidRDefault="007E5C4C" w:rsidP="007E5C4C">
      <w:pPr>
        <w:pStyle w:val="SingleTxtG"/>
        <w:ind w:left="1701" w:hanging="56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Правила № 9</w:t>
      </w:r>
      <w:r w:rsidRPr="0080338C">
        <w:rPr>
          <w:lang w:val="ru-RU"/>
        </w:rPr>
        <w:t xml:space="preserve"> </w:t>
      </w:r>
      <w:r>
        <w:rPr>
          <w:lang w:val="ru-RU"/>
        </w:rPr>
        <w:t>ООН (шум, производимый трехколесными транспортными средствами).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Правила № 41 ООН (шум, производимый мотоциклами): разработка.</w:t>
      </w:r>
    </w:p>
    <w:p w:rsidR="007E5C4C" w:rsidRPr="007E5C4C" w:rsidRDefault="007E5C4C" w:rsidP="007E5C4C">
      <w:pPr>
        <w:pStyle w:val="SingleTxtG"/>
        <w:ind w:left="1701" w:hanging="567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Правила № 51 ООН (шум, производимый транспортными средствами категорий</w:t>
      </w:r>
      <w:r w:rsidR="00823D78">
        <w:rPr>
          <w:lang w:val="en-US"/>
        </w:rPr>
        <w:t> </w:t>
      </w:r>
      <w:r>
        <w:rPr>
          <w:lang w:val="ru-RU"/>
        </w:rPr>
        <w:t>M и N):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</w:t>
      </w:r>
      <w:r>
        <w:rPr>
          <w:lang w:val="ru-RU"/>
        </w:rPr>
        <w:tab/>
        <w:t>разработка;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дополнительные положения об уровне звука.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Правила № 92 ООН (сменные системы глушителей для мотоциклов).</w:t>
      </w:r>
    </w:p>
    <w:p w:rsidR="007E5C4C" w:rsidRPr="007E5C4C" w:rsidRDefault="007E5C4C" w:rsidP="007E5C4C">
      <w:pPr>
        <w:pStyle w:val="SingleTxtG"/>
        <w:ind w:left="1701" w:hanging="567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Правила № 117 ООН (сопротивление шин качению, шум, издаваемый шинами при качении, и их сцепление на мокрой поверхности).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Правила № 138 ООН (бесшумные автотранспортные средства).</w:t>
      </w:r>
    </w:p>
    <w:p w:rsidR="007E5C4C" w:rsidRPr="007E5C4C" w:rsidRDefault="007E5C4C" w:rsidP="007E5C4C">
      <w:pPr>
        <w:pStyle w:val="SingleTxtG"/>
        <w:ind w:left="1701" w:hanging="567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Проект правил</w:t>
      </w:r>
      <w:r w:rsidRPr="0080338C">
        <w:rPr>
          <w:lang w:val="ru-RU"/>
        </w:rPr>
        <w:t xml:space="preserve"> </w:t>
      </w:r>
      <w:r>
        <w:rPr>
          <w:lang w:val="ru-RU"/>
        </w:rPr>
        <w:t xml:space="preserve">ООН, касающихся сигналов движения задним ходом. </w:t>
      </w:r>
    </w:p>
    <w:p w:rsidR="007E5C4C" w:rsidRPr="007E5C4C" w:rsidRDefault="007E5C4C" w:rsidP="007E5C4C">
      <w:pPr>
        <w:pStyle w:val="SingleTxtG"/>
        <w:ind w:left="1701" w:hanging="567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Общие поправки.</w:t>
      </w:r>
    </w:p>
    <w:p w:rsidR="007E5C4C" w:rsidRPr="007E5C4C" w:rsidRDefault="007E5C4C" w:rsidP="007E5C4C">
      <w:pPr>
        <w:pStyle w:val="SingleTxtG"/>
        <w:ind w:left="1701" w:hanging="567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Обмен информацией о национальных и международных требованиях, касающихся уровней шума.</w:t>
      </w:r>
    </w:p>
    <w:p w:rsidR="007E5C4C" w:rsidRPr="007E5C4C" w:rsidRDefault="007E5C4C" w:rsidP="007E5C4C">
      <w:pPr>
        <w:pStyle w:val="SingleTxtG"/>
        <w:ind w:left="1701" w:hanging="567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Влияние поверхности дороги на уровень звука, производимого шинами при качении.</w:t>
      </w:r>
    </w:p>
    <w:p w:rsidR="007E5C4C" w:rsidRPr="007E5C4C" w:rsidRDefault="007E5C4C" w:rsidP="007E5C4C">
      <w:pPr>
        <w:pStyle w:val="SingleTxtG"/>
        <w:ind w:left="1701" w:hanging="567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Предложения по поправкам к Сводной резолюции о конструкции транспортных средств.</w:t>
      </w:r>
    </w:p>
    <w:p w:rsidR="007E5C4C" w:rsidRPr="007E5C4C" w:rsidRDefault="007E5C4C" w:rsidP="007E5C4C">
      <w:pPr>
        <w:pStyle w:val="SingleTxtG"/>
        <w:ind w:left="1701" w:hanging="567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Разработка международной системы официального утверждения типа комплектного транспортного средства и участие рабочих групп</w:t>
      </w:r>
      <w:r w:rsidR="00A44B43">
        <w:rPr>
          <w:lang w:val="ru-RU"/>
        </w:rPr>
        <w:t>.</w:t>
      </w:r>
    </w:p>
    <w:p w:rsidR="007E5C4C" w:rsidRPr="007E5C4C" w:rsidRDefault="007E5C4C" w:rsidP="007E5C4C">
      <w:pPr>
        <w:pStyle w:val="SingleTxtG"/>
        <w:ind w:left="1710" w:hanging="576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Основные вопросы, рассмотренные на сессиях WP.29 в марте и июне 2018 года, и реорганизация его рабочих групп.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Обмен мнениями о будущей работе GRB.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Прочие вопросы.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Предварительная повестка дня шестьдесят девятой сессии.</w:t>
      </w:r>
    </w:p>
    <w:p w:rsidR="007E5C4C" w:rsidRPr="007E5C4C" w:rsidRDefault="007E5C4C" w:rsidP="007E5C4C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Выборы должностных лиц.</w:t>
      </w:r>
    </w:p>
    <w:p w:rsidR="007E5C4C" w:rsidRPr="007E5C4C" w:rsidRDefault="007E5C4C" w:rsidP="00823D78">
      <w:pPr>
        <w:pStyle w:val="HChGR"/>
      </w:pPr>
      <w:r>
        <w:tab/>
        <w:t>II.</w:t>
      </w:r>
      <w:r>
        <w:tab/>
        <w:t>Aннотации</w:t>
      </w:r>
    </w:p>
    <w:p w:rsidR="007E5C4C" w:rsidRPr="007E5C4C" w:rsidRDefault="007E5C4C" w:rsidP="00823D78">
      <w:pPr>
        <w:pStyle w:val="H1GR"/>
      </w:pPr>
      <w:r>
        <w:tab/>
        <w:t>1.</w:t>
      </w:r>
      <w:r>
        <w:tab/>
        <w:t>Утверждение повестки дня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>В соответствии с правилом 7 главы III правил процедуры (TRANS/WP.29/690, Amend.1 и Amend.2)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7E5C4C" w:rsidRPr="007E5C4C" w:rsidRDefault="007E5C4C" w:rsidP="007E5C4C">
      <w:pPr>
        <w:pStyle w:val="SingleTxtG"/>
        <w:rPr>
          <w:b/>
          <w:lang w:val="ru-RU"/>
        </w:rPr>
      </w:pPr>
      <w:r>
        <w:rPr>
          <w:b/>
          <w:bCs/>
          <w:lang w:val="ru-RU"/>
        </w:rPr>
        <w:t>Документация</w:t>
      </w:r>
    </w:p>
    <w:p w:rsidR="007E5C4C" w:rsidRPr="007E5C4C" w:rsidRDefault="007E5C4C" w:rsidP="007E5C4C">
      <w:pPr>
        <w:pStyle w:val="SingleTxtG"/>
        <w:spacing w:after="0"/>
        <w:rPr>
          <w:lang w:val="ru-RU"/>
        </w:rPr>
      </w:pPr>
      <w:r>
        <w:rPr>
          <w:lang w:val="ru-RU"/>
        </w:rPr>
        <w:t>ECE/TRANS/WP.29/GRB/2018/5</w:t>
      </w:r>
    </w:p>
    <w:p w:rsidR="007E5C4C" w:rsidRPr="007E5C4C" w:rsidRDefault="007E5C4C" w:rsidP="00823D78">
      <w:pPr>
        <w:pStyle w:val="H1GR"/>
      </w:pPr>
      <w:r>
        <w:lastRenderedPageBreak/>
        <w:tab/>
        <w:t>2.</w:t>
      </w:r>
      <w:r>
        <w:tab/>
        <w:t xml:space="preserve">Правила № 9 ООН (шум, производимый трехколесными транспортными средствами) 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>GRB, возможно, пожелает рассмотреть предложения по поправкам, представленные экспертом от Европейской комиссии и предусматривающие введение дополнительных положений об уровне звука (ДПУЗ) для транспортных средств категорий L</w:t>
      </w:r>
      <w:r w:rsidRPr="002631B6">
        <w:rPr>
          <w:vertAlign w:val="subscript"/>
          <w:lang w:val="ru-RU"/>
        </w:rPr>
        <w:t>4</w:t>
      </w:r>
      <w:r>
        <w:rPr>
          <w:lang w:val="ru-RU"/>
        </w:rPr>
        <w:t xml:space="preserve"> и L</w:t>
      </w:r>
      <w:r w:rsidRPr="002631B6">
        <w:rPr>
          <w:vertAlign w:val="subscript"/>
          <w:lang w:val="ru-RU"/>
        </w:rPr>
        <w:t>5</w:t>
      </w:r>
      <w:r>
        <w:rPr>
          <w:lang w:val="ru-RU"/>
        </w:rPr>
        <w:t xml:space="preserve"> с удельной мощностью на един</w:t>
      </w:r>
      <w:r w:rsidR="00823D78">
        <w:rPr>
          <w:lang w:val="ru-RU"/>
        </w:rPr>
        <w:t>ицу массы (УММ) свыше 50 Вт/кг.</w:t>
      </w:r>
    </w:p>
    <w:p w:rsidR="007E5C4C" w:rsidRPr="007E5C4C" w:rsidRDefault="007E5C4C" w:rsidP="007E5C4C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:rsidR="007E5C4C" w:rsidRPr="007E5C4C" w:rsidRDefault="007E5C4C" w:rsidP="007E5C4C">
      <w:pPr>
        <w:ind w:left="1134" w:right="1134"/>
      </w:pPr>
      <w:r>
        <w:t>ECE/TRANS/WP.29/GRB/2018/7</w:t>
      </w:r>
    </w:p>
    <w:p w:rsidR="007E5C4C" w:rsidRPr="007E5C4C" w:rsidRDefault="007E5C4C" w:rsidP="00823D78">
      <w:pPr>
        <w:pStyle w:val="H1GR"/>
      </w:pPr>
      <w:r>
        <w:tab/>
        <w:t>3.</w:t>
      </w:r>
      <w:r>
        <w:tab/>
        <w:t>Правила № 41 ООН (шум, производимый мотоциклами): разработка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>GRB рассмотрит предложения по поправкам, подготовленные экспертом от Международной ассоциации заводов</w:t>
      </w:r>
      <w:r w:rsidR="0061132C">
        <w:rPr>
          <w:lang w:val="ru-RU"/>
        </w:rPr>
        <w:t xml:space="preserve"> – </w:t>
      </w:r>
      <w:r>
        <w:rPr>
          <w:lang w:val="ru-RU"/>
        </w:rPr>
        <w:t xml:space="preserve">изготовителей мотоциклов (МАЗМ) и предусматривающие обязательную проверку ДПУЗ.  </w:t>
      </w:r>
    </w:p>
    <w:p w:rsidR="007E5C4C" w:rsidRPr="007E5C4C" w:rsidRDefault="007E5C4C" w:rsidP="007E5C4C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:rsidR="007E5C4C" w:rsidRPr="007E5C4C" w:rsidRDefault="007E5C4C" w:rsidP="007E5C4C">
      <w:pPr>
        <w:ind w:left="1134" w:right="1134"/>
        <w:jc w:val="both"/>
      </w:pPr>
      <w:r>
        <w:t>ECE/TRANS/WP.29/GRB/2018/11</w:t>
      </w:r>
    </w:p>
    <w:p w:rsidR="007E5C4C" w:rsidRPr="007E5C4C" w:rsidRDefault="007E5C4C" w:rsidP="00823D78">
      <w:pPr>
        <w:pStyle w:val="H1GR"/>
      </w:pPr>
      <w:r>
        <w:tab/>
        <w:t>4.</w:t>
      </w:r>
      <w:r>
        <w:tab/>
        <w:t>Правила № 51 ООН (шум, производимый транспортными средствами категорий M и N)</w:t>
      </w:r>
    </w:p>
    <w:p w:rsidR="007E5C4C" w:rsidRPr="007E5C4C" w:rsidRDefault="007E5C4C" w:rsidP="00823D78">
      <w:pPr>
        <w:pStyle w:val="H23GR"/>
      </w:pPr>
      <w:r>
        <w:tab/>
        <w:t>а)</w:t>
      </w:r>
      <w:r>
        <w:tab/>
        <w:t>Разработка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GRB рассмотрит предложения неофициальной рабочей группы по дополнительным положениям, касающимся уровня звука (НРГ по ДПУЗ), в целях обновления и пересмотра дополнения 4 к поправкам серии 03 к Правилам № 51 ООН. </w:t>
      </w:r>
    </w:p>
    <w:p w:rsidR="007E5C4C" w:rsidRPr="007E5C4C" w:rsidRDefault="007E5C4C" w:rsidP="007E5C4C">
      <w:pPr>
        <w:pStyle w:val="SingleTxtG"/>
        <w:rPr>
          <w:b/>
          <w:lang w:val="ru-RU"/>
        </w:rPr>
      </w:pPr>
      <w:r>
        <w:rPr>
          <w:b/>
          <w:bCs/>
          <w:lang w:val="ru-RU"/>
        </w:rPr>
        <w:t>Документация</w:t>
      </w:r>
    </w:p>
    <w:p w:rsidR="007E5C4C" w:rsidRPr="007E5C4C" w:rsidRDefault="007E5C4C" w:rsidP="007E5C4C">
      <w:pPr>
        <w:pStyle w:val="SingleTxtG"/>
        <w:jc w:val="left"/>
        <w:rPr>
          <w:lang w:val="ru-RU"/>
        </w:rPr>
      </w:pPr>
      <w:r>
        <w:rPr>
          <w:lang w:val="ru-RU"/>
        </w:rPr>
        <w:t>ECE/TRANS/WP.29/GRB/2018/10</w:t>
      </w:r>
    </w:p>
    <w:p w:rsidR="007E5C4C" w:rsidRPr="007E5C4C" w:rsidRDefault="007E5C4C" w:rsidP="00823D78">
      <w:pPr>
        <w:pStyle w:val="H23GR"/>
      </w:pPr>
      <w:r>
        <w:tab/>
        <w:t>b)</w:t>
      </w:r>
      <w:r>
        <w:tab/>
        <w:t>Дополнительные положения об уровне звука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>НРГ по ДПУЗ проинформируе</w:t>
      </w:r>
      <w:r w:rsidR="00823D78">
        <w:rPr>
          <w:lang w:val="ru-RU"/>
        </w:rPr>
        <w:t>т о своей деятельности.</w:t>
      </w:r>
    </w:p>
    <w:p w:rsidR="007E5C4C" w:rsidRPr="007E5C4C" w:rsidRDefault="007E5C4C" w:rsidP="00823D78">
      <w:pPr>
        <w:pStyle w:val="H1GR"/>
      </w:pPr>
      <w:r>
        <w:tab/>
        <w:t>5.</w:t>
      </w:r>
      <w:r>
        <w:tab/>
        <w:t>Правила № 92 ООН (сменные системы глушителей для</w:t>
      </w:r>
      <w:r w:rsidR="00823D78">
        <w:rPr>
          <w:lang w:val="en-US"/>
        </w:rPr>
        <w:t> </w:t>
      </w:r>
      <w:r>
        <w:t>мотоциклов)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>GRB рассмотрит предложение по поправкам серии 02 к Правилам № 92 ООН, представленное экспертом от Германии.</w:t>
      </w:r>
    </w:p>
    <w:p w:rsidR="007E5C4C" w:rsidRPr="007E5C4C" w:rsidRDefault="007E5C4C" w:rsidP="007E5C4C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:rsidR="007E5C4C" w:rsidRPr="007E5C4C" w:rsidRDefault="007E5C4C" w:rsidP="007E5C4C">
      <w:pPr>
        <w:ind w:left="1134" w:right="1134"/>
      </w:pPr>
      <w:r>
        <w:t>ECE/TRANS/WP.29/GRB/2018/6</w:t>
      </w:r>
    </w:p>
    <w:p w:rsidR="007E5C4C" w:rsidRPr="007E5C4C" w:rsidRDefault="007E5C4C" w:rsidP="00823D78">
      <w:pPr>
        <w:pStyle w:val="H1GR"/>
      </w:pPr>
      <w:r>
        <w:tab/>
        <w:t>6.</w:t>
      </w:r>
      <w:r>
        <w:tab/>
        <w:t>Правила № 117 ООН (сопротивление шин качению, шум, издаваемый шинами при качении, и их сцепление на мокрой поверхности)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GRB рассмотрит новые предложения, если таковые будут представлены. GRB, возможно, пожелает также продолжить рассмотрение вопроса об изменении предельных значений, указанных в Правилах № 117 ООН.  </w:t>
      </w:r>
    </w:p>
    <w:p w:rsidR="007E5C4C" w:rsidRPr="007E5C4C" w:rsidRDefault="007E5C4C" w:rsidP="007E5C4C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:rsidR="007E5C4C" w:rsidRPr="007E5C4C" w:rsidRDefault="007E5C4C" w:rsidP="007E5C4C">
      <w:pPr>
        <w:ind w:left="1134" w:right="1134"/>
        <w:jc w:val="both"/>
      </w:pPr>
      <w:r>
        <w:t>ECE/TRANS/WP.29/GRB/65, пункты 15</w:t>
      </w:r>
      <w:r w:rsidR="00823D78" w:rsidRPr="002145C9">
        <w:t>–</w:t>
      </w:r>
      <w:r>
        <w:t>17</w:t>
      </w:r>
    </w:p>
    <w:p w:rsidR="007E5C4C" w:rsidRPr="007E5C4C" w:rsidRDefault="00823D78" w:rsidP="00823D78">
      <w:pPr>
        <w:pStyle w:val="H1GR"/>
      </w:pPr>
      <w:r>
        <w:lastRenderedPageBreak/>
        <w:tab/>
      </w:r>
      <w:r w:rsidR="007E5C4C">
        <w:t>7.</w:t>
      </w:r>
      <w:r w:rsidR="007E5C4C">
        <w:tab/>
        <w:t>Правила № 138 ООН (бесшумные автотранспортные средства)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>Неофициальная рабочая группа (НРГ) по глобальным техническим правилам (ГТП), касающимся бесшумных автотранспортных средств (БАТС), представит информацию о своей деятельности.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GRB, возможно, пожелает также вернуться к рассмотрению ранее представленных предложений эксперта от МОПАП для уточнения вопроса о применении поправок серии 01 к Правилам № 138 ООН и изменения переходных положений. </w:t>
      </w:r>
    </w:p>
    <w:p w:rsidR="007E5C4C" w:rsidRPr="007E5C4C" w:rsidRDefault="007E5C4C" w:rsidP="007E5C4C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:rsidR="007E5C4C" w:rsidRPr="007E5C4C" w:rsidRDefault="007E5C4C" w:rsidP="007E5C4C">
      <w:pPr>
        <w:ind w:left="1134" w:right="1134"/>
        <w:jc w:val="both"/>
      </w:pPr>
      <w:r>
        <w:t>ECE/TRANS/WP.29/GRB/2017/7, неофициальный документ GRB-67-09</w:t>
      </w:r>
    </w:p>
    <w:p w:rsidR="007E5C4C" w:rsidRPr="007E5C4C" w:rsidRDefault="007E5C4C" w:rsidP="00823D78">
      <w:pPr>
        <w:pStyle w:val="H1GR"/>
      </w:pPr>
      <w:r>
        <w:tab/>
        <w:t>8.</w:t>
      </w:r>
      <w:r>
        <w:tab/>
        <w:t>Проект правил</w:t>
      </w:r>
      <w:r w:rsidRPr="0080338C">
        <w:t xml:space="preserve"> </w:t>
      </w:r>
      <w:r>
        <w:t>ООН, касающихся сигналов движения задним ходом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GRB будет проинформирована о деятельности целевой группы, а также о ходе подготовки проекта новых правил. </w:t>
      </w:r>
    </w:p>
    <w:p w:rsidR="007E5C4C" w:rsidRPr="007E5C4C" w:rsidRDefault="007E5C4C" w:rsidP="007E5C4C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:rsidR="007E5C4C" w:rsidRPr="007E5C4C" w:rsidRDefault="007E5C4C" w:rsidP="007E5C4C">
      <w:pPr>
        <w:ind w:left="1134" w:right="1134"/>
        <w:jc w:val="both"/>
      </w:pPr>
      <w:r w:rsidRPr="0080338C">
        <w:rPr>
          <w:lang w:val="en-US"/>
        </w:rPr>
        <w:t>ECE</w:t>
      </w:r>
      <w:r w:rsidRPr="008D04D0">
        <w:t>/</w:t>
      </w:r>
      <w:r w:rsidRPr="0080338C">
        <w:rPr>
          <w:lang w:val="en-US"/>
        </w:rPr>
        <w:t>TRANS</w:t>
      </w:r>
      <w:r w:rsidRPr="008D04D0">
        <w:t>/</w:t>
      </w:r>
      <w:r w:rsidRPr="0080338C">
        <w:rPr>
          <w:lang w:val="en-US"/>
        </w:rPr>
        <w:t>WP</w:t>
      </w:r>
      <w:r w:rsidRPr="008D04D0">
        <w:t>.29/</w:t>
      </w:r>
      <w:r w:rsidRPr="0080338C">
        <w:rPr>
          <w:lang w:val="en-US"/>
        </w:rPr>
        <w:t>GRB</w:t>
      </w:r>
      <w:r w:rsidRPr="008D04D0">
        <w:t xml:space="preserve">/65, </w:t>
      </w:r>
      <w:r>
        <w:t>пункт</w:t>
      </w:r>
      <w:r w:rsidRPr="008D04D0">
        <w:t xml:space="preserve"> 19</w:t>
      </w:r>
    </w:p>
    <w:p w:rsidR="007E5C4C" w:rsidRPr="007E5C4C" w:rsidRDefault="00823D78" w:rsidP="00823D78">
      <w:pPr>
        <w:pStyle w:val="H1GR"/>
      </w:pPr>
      <w:r>
        <w:tab/>
        <w:t>9.</w:t>
      </w:r>
      <w:r>
        <w:tab/>
        <w:t>Общие поправки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GRB рассмотрит новые предложения, если таковые будут представлены.  </w:t>
      </w:r>
      <w:r>
        <w:rPr>
          <w:lang w:val="ru-RU"/>
        </w:rPr>
        <w:tab/>
      </w:r>
    </w:p>
    <w:p w:rsidR="007E5C4C" w:rsidRPr="007E5C4C" w:rsidRDefault="007E5C4C" w:rsidP="00823D78">
      <w:pPr>
        <w:pStyle w:val="H1GR"/>
      </w:pPr>
      <w:r>
        <w:tab/>
        <w:t>10.</w:t>
      </w:r>
      <w:r>
        <w:tab/>
        <w:t>Обмен информацией о национальных и международных требованиях, касающихся уровней шума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>GRВ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</w:t>
      </w:r>
    </w:p>
    <w:p w:rsidR="007E5C4C" w:rsidRPr="007E5C4C" w:rsidRDefault="007E5C4C" w:rsidP="00823D78">
      <w:pPr>
        <w:pStyle w:val="H1GR"/>
      </w:pPr>
      <w:r>
        <w:tab/>
        <w:t>11.</w:t>
      </w:r>
      <w:r>
        <w:tab/>
        <w:t>Влияние поверхности дороги на уровень звука, производимого шинами при качении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>GRB рассмотрит проект резолюции по маркировке дорожного покрытия, подготовленный экспертом от Нидерландов</w:t>
      </w:r>
      <w:r w:rsidR="00823D78">
        <w:rPr>
          <w:lang w:val="ru-RU"/>
        </w:rPr>
        <w:t>.</w:t>
      </w:r>
    </w:p>
    <w:p w:rsidR="007E5C4C" w:rsidRPr="002145C9" w:rsidRDefault="007E5C4C" w:rsidP="007E5C4C">
      <w:pPr>
        <w:pStyle w:val="SingleTxtG"/>
        <w:rPr>
          <w:b/>
          <w:lang w:val="en-US"/>
        </w:rPr>
      </w:pPr>
      <w:r>
        <w:rPr>
          <w:b/>
          <w:bCs/>
          <w:lang w:val="ru-RU"/>
        </w:rPr>
        <w:t>Документация</w:t>
      </w:r>
    </w:p>
    <w:p w:rsidR="007E5C4C" w:rsidRPr="002145C9" w:rsidRDefault="007E5C4C" w:rsidP="007E5C4C">
      <w:pPr>
        <w:pStyle w:val="SingleTxtG"/>
        <w:spacing w:after="0"/>
        <w:jc w:val="left"/>
        <w:rPr>
          <w:lang w:val="en-US"/>
        </w:rPr>
      </w:pPr>
      <w:r w:rsidRPr="002145C9">
        <w:rPr>
          <w:lang w:val="en-US"/>
        </w:rPr>
        <w:t>ECE/TRANS/WP.29/GRB/2018/8, ECE/TRANS/WP.29/GRB/2018/9</w:t>
      </w:r>
      <w:r w:rsidRPr="002145C9">
        <w:rPr>
          <w:lang w:val="en-US"/>
        </w:rPr>
        <w:tab/>
      </w:r>
    </w:p>
    <w:p w:rsidR="007E5C4C" w:rsidRPr="007E5C4C" w:rsidRDefault="007E5C4C" w:rsidP="00823D78">
      <w:pPr>
        <w:pStyle w:val="H1GR"/>
      </w:pPr>
      <w:r w:rsidRPr="002145C9">
        <w:rPr>
          <w:lang w:val="en-US"/>
        </w:rPr>
        <w:tab/>
      </w:r>
      <w:r>
        <w:t>12.</w:t>
      </w:r>
      <w:r>
        <w:tab/>
        <w:t>Предложения по поправкам к Сводной резолюции о конструкции транспортных средств</w:t>
      </w:r>
    </w:p>
    <w:p w:rsidR="007E5C4C" w:rsidRPr="007E5C4C" w:rsidRDefault="007E5C4C" w:rsidP="007E5C4C">
      <w:pPr>
        <w:pStyle w:val="SingleTxtG"/>
        <w:ind w:firstLine="567"/>
        <w:rPr>
          <w:bCs/>
          <w:lang w:val="ru-RU"/>
        </w:rPr>
      </w:pPr>
      <w:r>
        <w:rPr>
          <w:lang w:val="ru-RU"/>
        </w:rPr>
        <w:t>GRB рассмотрит новые предложения, если таковые будут представлены.</w:t>
      </w:r>
    </w:p>
    <w:p w:rsidR="007E5C4C" w:rsidRPr="007E5C4C" w:rsidRDefault="007E5C4C" w:rsidP="00823D78">
      <w:pPr>
        <w:pStyle w:val="H1GR"/>
      </w:pPr>
      <w:r>
        <w:tab/>
        <w:t>13.</w:t>
      </w:r>
      <w:r>
        <w:tab/>
        <w:t>Разработка международной системы официального утверждения типа комплектного транспортного средства и участие рабочих групп</w:t>
      </w:r>
    </w:p>
    <w:p w:rsidR="007E5C4C" w:rsidRPr="008D04D0" w:rsidRDefault="007E5C4C" w:rsidP="007E5C4C">
      <w:pPr>
        <w:spacing w:after="120"/>
        <w:ind w:left="1134" w:right="1134" w:firstLine="567"/>
        <w:jc w:val="both"/>
      </w:pPr>
      <w:r>
        <w:t xml:space="preserve">GRB, возможно, пожелает рассмотреть этот вопрос в свете обсуждений, состоявшихся на сессиях WP.29 в марте и июне 2018 года. В частности, GRB </w:t>
      </w:r>
      <w:r>
        <w:lastRenderedPageBreak/>
        <w:t>предлагается учесть озабоченность НРГ по международному официальному утверждению типа комплектного транспортного средства (МОУТКТС) относительно того, что номер официального утверждения типа, предписанный в Правилах № 117 ООН, не в полной мере соответству</w:t>
      </w:r>
      <w:r w:rsidR="00CE035A">
        <w:t>е</w:t>
      </w:r>
      <w:r>
        <w:t xml:space="preserve">т приложению 4 к пересмотренному Соглашению 1958 года. </w:t>
      </w:r>
    </w:p>
    <w:p w:rsidR="007E5C4C" w:rsidRPr="007E5C4C" w:rsidRDefault="007E5C4C" w:rsidP="007E5C4C">
      <w:pPr>
        <w:pStyle w:val="SingleTxtG"/>
        <w:rPr>
          <w:b/>
          <w:lang w:val="ru-RU"/>
        </w:rPr>
      </w:pPr>
      <w:r>
        <w:rPr>
          <w:b/>
          <w:bCs/>
          <w:lang w:val="ru-RU"/>
        </w:rPr>
        <w:t>Документация</w:t>
      </w:r>
    </w:p>
    <w:p w:rsidR="007E5C4C" w:rsidRPr="007E5C4C" w:rsidRDefault="007E5C4C" w:rsidP="007E5C4C">
      <w:pPr>
        <w:spacing w:after="120"/>
        <w:ind w:left="1134" w:right="1134"/>
        <w:jc w:val="both"/>
      </w:pPr>
      <w:r>
        <w:t>ECE/TRANS/WP.29/1139, пункт 69, и неофициальный документ WP.29-175-13</w:t>
      </w:r>
    </w:p>
    <w:p w:rsidR="007E5C4C" w:rsidRPr="007E5C4C" w:rsidRDefault="007E5C4C" w:rsidP="006E7224">
      <w:pPr>
        <w:pStyle w:val="H1GR"/>
      </w:pPr>
      <w:r>
        <w:tab/>
        <w:t>14.</w:t>
      </w:r>
      <w:r>
        <w:tab/>
        <w:t>Основные вопросы, рассмотренные на сессиях WP.29 в марте и</w:t>
      </w:r>
      <w:r w:rsidR="006E7224">
        <w:rPr>
          <w:lang w:val="en-US"/>
        </w:rPr>
        <w:t> </w:t>
      </w:r>
      <w:r>
        <w:t>июне 2018 года, и реорганизация его рабочих групп</w:t>
      </w:r>
    </w:p>
    <w:p w:rsidR="006E7224" w:rsidRDefault="007E5C4C" w:rsidP="007E5C4C">
      <w:pPr>
        <w:pStyle w:val="H23G"/>
        <w:keepNext w:val="0"/>
        <w:keepLines w:val="0"/>
        <w:ind w:firstLine="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ab/>
      </w:r>
      <w:r w:rsidRPr="0080338C">
        <w:rPr>
          <w:b w:val="0"/>
          <w:bCs/>
          <w:lang w:val="ru-RU"/>
        </w:rPr>
        <w:tab/>
        <w:t>GRB будет кратко проинформирована секретариатом об основных вопросах, рассмотренных на недавних сессиях WP.29, которые касаются GRB и общих тем.</w:t>
      </w:r>
    </w:p>
    <w:p w:rsidR="007E5C4C" w:rsidRPr="007E5C4C" w:rsidRDefault="007E5C4C" w:rsidP="007E5C4C">
      <w:pPr>
        <w:pStyle w:val="H23G"/>
        <w:keepNext w:val="0"/>
        <w:keepLines w:val="0"/>
        <w:ind w:firstLine="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ab/>
      </w:r>
      <w:r w:rsidRPr="0080338C">
        <w:rPr>
          <w:b w:val="0"/>
          <w:bCs/>
          <w:lang w:val="ru-RU"/>
        </w:rPr>
        <w:tab/>
        <w:t xml:space="preserve">GRB будет проинформирована о том, что на </w:t>
      </w:r>
      <w:r>
        <w:rPr>
          <w:b w:val="0"/>
          <w:bCs/>
          <w:lang w:val="ru-RU"/>
        </w:rPr>
        <w:t>своей</w:t>
      </w:r>
      <w:r w:rsidRPr="0080338C">
        <w:rPr>
          <w:b w:val="0"/>
          <w:bCs/>
          <w:lang w:val="ru-RU"/>
        </w:rPr>
        <w:t xml:space="preserve"> сессии в феврале 2018 года Комитет по внутреннему транспорту (КВТ) признал важность деятельности WP.29, связанной с автоматизированными, автономными и подключенными транспортными средствами, и просил WP.29 рассмотреть вопрос о создании специальной вспомогательной рабочей группы (GR). В соответствии с этой просьбой WP.29 на своей сессии в июне 2018 года решил преобразовать Рабочую группу по вопросам торможения и ходовой части (GRRF) в новую рабочую группу (</w:t>
      </w:r>
      <w:r w:rsidR="00E356D9">
        <w:rPr>
          <w:b w:val="0"/>
          <w:bCs/>
          <w:lang w:val="ru-RU"/>
        </w:rPr>
        <w:t>«</w:t>
      </w:r>
      <w:r w:rsidRPr="0080338C">
        <w:rPr>
          <w:b w:val="0"/>
          <w:bCs/>
          <w:lang w:val="ru-RU"/>
        </w:rPr>
        <w:t>Рабочую группу по автономным транспортным средствам</w:t>
      </w:r>
      <w:r w:rsidR="00E356D9">
        <w:rPr>
          <w:b w:val="0"/>
          <w:bCs/>
          <w:lang w:val="ru-RU"/>
        </w:rPr>
        <w:t>»</w:t>
      </w:r>
      <w:r w:rsidRPr="0080338C">
        <w:rPr>
          <w:b w:val="0"/>
          <w:bCs/>
          <w:lang w:val="ru-RU"/>
        </w:rPr>
        <w:t xml:space="preserve"> (GRVA)) и перераспределить некоторые прежние направления деятельности GRRF среди других рабочих групп. </w:t>
      </w:r>
    </w:p>
    <w:p w:rsidR="007E5C4C" w:rsidRPr="007E5C4C" w:rsidRDefault="007E5C4C" w:rsidP="007E5C4C">
      <w:pPr>
        <w:pStyle w:val="H23G"/>
        <w:keepNext w:val="0"/>
        <w:keepLines w:val="0"/>
        <w:ind w:firstLine="0"/>
        <w:jc w:val="both"/>
        <w:rPr>
          <w:b w:val="0"/>
          <w:bCs/>
          <w:lang w:val="ru-RU"/>
        </w:rPr>
      </w:pPr>
      <w:r w:rsidRPr="0080338C">
        <w:rPr>
          <w:b w:val="0"/>
          <w:bCs/>
          <w:lang w:val="ru-RU"/>
        </w:rPr>
        <w:tab/>
      </w:r>
      <w:r>
        <w:rPr>
          <w:b w:val="0"/>
          <w:bCs/>
          <w:lang w:val="ru-RU"/>
        </w:rPr>
        <w:tab/>
      </w:r>
      <w:r w:rsidRPr="0080338C">
        <w:rPr>
          <w:b w:val="0"/>
          <w:bCs/>
          <w:lang w:val="ru-RU"/>
        </w:rPr>
        <w:t xml:space="preserve">В частности, все </w:t>
      </w:r>
      <w:r>
        <w:rPr>
          <w:b w:val="0"/>
          <w:bCs/>
          <w:lang w:val="ru-RU"/>
        </w:rPr>
        <w:t>виды деятельности</w:t>
      </w:r>
      <w:r w:rsidRPr="0080338C">
        <w:rPr>
          <w:b w:val="0"/>
          <w:bCs/>
          <w:lang w:val="ru-RU"/>
        </w:rPr>
        <w:t xml:space="preserve"> GRRF, касающиеся шин, передаются GRB, включая ГТП № 16 ООН и правила ООН №:</w:t>
      </w:r>
    </w:p>
    <w:p w:rsidR="007E5C4C" w:rsidRPr="006E7224" w:rsidRDefault="007E5C4C" w:rsidP="006E7224">
      <w:pPr>
        <w:pStyle w:val="Bullet1GR"/>
      </w:pPr>
      <w:r w:rsidRPr="006E7224">
        <w:t>30 (шины для легковых автомобилей и их прицепов)</w:t>
      </w:r>
      <w:r w:rsidR="006E7224" w:rsidRPr="006E7224">
        <w:t>;</w:t>
      </w:r>
    </w:p>
    <w:p w:rsidR="007E5C4C" w:rsidRPr="006E7224" w:rsidRDefault="007E5C4C" w:rsidP="006E7224">
      <w:pPr>
        <w:pStyle w:val="Bullet1GR"/>
      </w:pPr>
      <w:r w:rsidRPr="006E7224">
        <w:t>54 (шины транспортных средств неиндивидуального пользования и их прицепов)</w:t>
      </w:r>
      <w:r w:rsidR="006E7224" w:rsidRPr="006E7224">
        <w:t>;</w:t>
      </w:r>
    </w:p>
    <w:p w:rsidR="007E5C4C" w:rsidRPr="006E7224" w:rsidRDefault="007E5C4C" w:rsidP="006E7224">
      <w:pPr>
        <w:pStyle w:val="Bullet1GR"/>
      </w:pPr>
      <w:r w:rsidRPr="006E7224">
        <w:t>64 (запасное колесо в сборе для временного использования, шины, пригодные для использования в спущенном состоянии, система эксплуатации шины в спущенном состоянии и система контроля давления в шинах)</w:t>
      </w:r>
      <w:r w:rsidR="006E7224" w:rsidRPr="006E7224">
        <w:t>;</w:t>
      </w:r>
    </w:p>
    <w:p w:rsidR="007E5C4C" w:rsidRPr="006E7224" w:rsidRDefault="007E5C4C" w:rsidP="006E7224">
      <w:pPr>
        <w:pStyle w:val="Bullet1GR"/>
      </w:pPr>
      <w:r w:rsidRPr="006E7224">
        <w:t>75 (шины для мотоциклов)</w:t>
      </w:r>
      <w:r w:rsidR="006E7224" w:rsidRPr="006E7224">
        <w:t>;</w:t>
      </w:r>
    </w:p>
    <w:p w:rsidR="007E5C4C" w:rsidRPr="006E7224" w:rsidRDefault="007E5C4C" w:rsidP="006E7224">
      <w:pPr>
        <w:pStyle w:val="Bullet1GR"/>
      </w:pPr>
      <w:r w:rsidRPr="006E7224">
        <w:t>106 (шины для сельскохозяйственных транспортных средств и их прицепов)</w:t>
      </w:r>
      <w:r w:rsidR="006E7224" w:rsidRPr="006E7224">
        <w:t>;</w:t>
      </w:r>
    </w:p>
    <w:p w:rsidR="007E5C4C" w:rsidRPr="006E7224" w:rsidRDefault="007E5C4C" w:rsidP="006E7224">
      <w:pPr>
        <w:pStyle w:val="Bullet1GR"/>
      </w:pPr>
      <w:r w:rsidRPr="006E7224">
        <w:t>108 (шины с восстановленным протектором для автотранспортных средств и их прицепов)</w:t>
      </w:r>
      <w:r w:rsidR="006E7224" w:rsidRPr="006E7224">
        <w:t>;</w:t>
      </w:r>
      <w:r w:rsidRPr="006E7224">
        <w:t xml:space="preserve"> </w:t>
      </w:r>
    </w:p>
    <w:p w:rsidR="007E5C4C" w:rsidRPr="006E7224" w:rsidRDefault="007E5C4C" w:rsidP="006E7224">
      <w:pPr>
        <w:pStyle w:val="Bullet1GR"/>
      </w:pPr>
      <w:r w:rsidRPr="006E7224">
        <w:t>109 (шины с восстановленным протектором для транспортных средств неиндивидуального пользования и их прицепов)</w:t>
      </w:r>
      <w:r w:rsidR="006E7224" w:rsidRPr="006E7224">
        <w:t>;</w:t>
      </w:r>
    </w:p>
    <w:p w:rsidR="007E5C4C" w:rsidRPr="006E7224" w:rsidRDefault="007E5C4C" w:rsidP="006E7224">
      <w:pPr>
        <w:pStyle w:val="Bullet1GR"/>
      </w:pPr>
      <w:r w:rsidRPr="006E7224">
        <w:t>117 (шины: сопротивление качению, издаваемый при качении звук и сцепление на мокрых поверхностях) (Правила в целом)</w:t>
      </w:r>
      <w:r w:rsidR="006E7224" w:rsidRPr="006E7224">
        <w:t>;</w:t>
      </w:r>
    </w:p>
    <w:p w:rsidR="007E5C4C" w:rsidRPr="006E7224" w:rsidRDefault="007E5C4C" w:rsidP="006E7224">
      <w:pPr>
        <w:pStyle w:val="Bullet1GR"/>
      </w:pPr>
      <w:r w:rsidRPr="006E7224">
        <w:t>124 (сменные колеса для легковых автомобилей)</w:t>
      </w:r>
      <w:r w:rsidR="006E7224" w:rsidRPr="006E7224">
        <w:t>;</w:t>
      </w:r>
    </w:p>
    <w:p w:rsidR="007E5C4C" w:rsidRPr="006E7224" w:rsidRDefault="007E5C4C" w:rsidP="006E7224">
      <w:pPr>
        <w:pStyle w:val="Bullet1GR"/>
      </w:pPr>
      <w:r w:rsidRPr="006E7224">
        <w:t>141 (системы контроля давления в шинах)</w:t>
      </w:r>
      <w:r w:rsidR="006E7224" w:rsidRPr="006E7224">
        <w:t>;</w:t>
      </w:r>
    </w:p>
    <w:p w:rsidR="007E5C4C" w:rsidRPr="006E7224" w:rsidRDefault="007E5C4C" w:rsidP="006E7224">
      <w:pPr>
        <w:pStyle w:val="Bullet1GR"/>
      </w:pPr>
      <w:r w:rsidRPr="006E7224">
        <w:t>142 (установка шин)</w:t>
      </w:r>
      <w:r w:rsidR="006E7224" w:rsidRPr="006E7224">
        <w:t>.</w:t>
      </w:r>
    </w:p>
    <w:p w:rsidR="007E5C4C" w:rsidRPr="007E5C4C" w:rsidRDefault="007E5C4C" w:rsidP="007E5C4C">
      <w:pPr>
        <w:pStyle w:val="H23G"/>
        <w:keepNext w:val="0"/>
        <w:keepLines w:val="0"/>
        <w:tabs>
          <w:tab w:val="clear" w:pos="851"/>
        </w:tabs>
        <w:ind w:firstLine="567"/>
        <w:jc w:val="both"/>
        <w:rPr>
          <w:b w:val="0"/>
          <w:lang w:val="ru-RU"/>
        </w:rPr>
      </w:pPr>
      <w:r w:rsidRPr="0080338C">
        <w:rPr>
          <w:b w:val="0"/>
          <w:bCs/>
          <w:lang w:val="ru-RU"/>
        </w:rPr>
        <w:t>Программа работы WP.29 была изменена соответствующим образом. Для того чтобы четко отразить новые обязанности GRB, касающи</w:t>
      </w:r>
      <w:r>
        <w:rPr>
          <w:b w:val="0"/>
          <w:bCs/>
          <w:lang w:val="ru-RU"/>
        </w:rPr>
        <w:t>е</w:t>
      </w:r>
      <w:r w:rsidRPr="0080338C">
        <w:rPr>
          <w:b w:val="0"/>
          <w:bCs/>
          <w:lang w:val="ru-RU"/>
        </w:rPr>
        <w:t>ся шин, WP.29 предложил изменить название GRB на GRBP (Рабочая группа по вопросам шума и шин).</w:t>
      </w:r>
    </w:p>
    <w:p w:rsidR="007E5C4C" w:rsidRPr="007E5C4C" w:rsidRDefault="007E5C4C" w:rsidP="007E5C4C">
      <w:pPr>
        <w:spacing w:after="120"/>
        <w:ind w:left="1134" w:right="1134" w:firstLine="567"/>
        <w:jc w:val="both"/>
      </w:pPr>
      <w:r>
        <w:t>WP.29 согласился с тем, что GRVA должна начать функционировать как можно скорее и созвать свою первую сессию в сентябре 2018 года, используя выделенные для совещания GRRF даты (25</w:t>
      </w:r>
      <w:r w:rsidR="001C12AC">
        <w:t>–</w:t>
      </w:r>
      <w:r>
        <w:t xml:space="preserve">28 сентября 2018 года). Для обеспечения плавного процесса передачи GRB направлений деятельности, касающихся шин, председатели </w:t>
      </w:r>
      <w:r>
        <w:lastRenderedPageBreak/>
        <w:t xml:space="preserve">GRB и прежней GRRF провели совещание с секретариатом в ходе июньской сессии WP.29 2018 года. Было решено, что связанные с шинами документы, как и планировалось, будут представлены для сессии GRVA (бывшая GRRF) с обозначениями GRRF в сентябре 2018 года в официальные предельные сроки, предусмотренные для этого совещания. Однако вместо GRVA эти документы будут рассмотрены GRB на ее сессии в сентябре 2018 года. </w:t>
      </w:r>
    </w:p>
    <w:p w:rsidR="007E5C4C" w:rsidRPr="007E5C4C" w:rsidRDefault="007E5C4C" w:rsidP="007E5C4C">
      <w:pPr>
        <w:spacing w:after="120"/>
        <w:ind w:left="1134" w:right="1134" w:firstLine="567"/>
        <w:jc w:val="both"/>
      </w:pPr>
      <w:r>
        <w:t>В надлежащее время секретариат выпустит добавление к настоящей повестке дня, в котором будут представлены касающиеся шин документы и вопросы для обсуждения. Председатель GRB решил, что связанная с шинами часть повестки дня будет рассмотрена во второй день сессии GRB (13 сентября 2018 года).</w:t>
      </w:r>
    </w:p>
    <w:p w:rsidR="007E5C4C" w:rsidRPr="007E5C4C" w:rsidRDefault="007E5C4C" w:rsidP="001C12AC">
      <w:pPr>
        <w:pStyle w:val="H1GR"/>
      </w:pPr>
      <w:r>
        <w:tab/>
        <w:t>15.</w:t>
      </w:r>
      <w:r>
        <w:tab/>
        <w:t>Обме</w:t>
      </w:r>
      <w:r w:rsidR="001C12AC">
        <w:t>н мнениями о будущей работе GRB</w:t>
      </w:r>
    </w:p>
    <w:p w:rsidR="007E5C4C" w:rsidRPr="007E5C4C" w:rsidRDefault="007E5C4C" w:rsidP="007E5C4C">
      <w:pPr>
        <w:spacing w:after="120"/>
        <w:ind w:left="1134" w:right="1134" w:firstLine="567"/>
        <w:jc w:val="both"/>
      </w:pPr>
      <w:r>
        <w:t>GRB, возможно, пожелает вернуться к обсуждению вопросов, которые следует включить в программу будущей работы.</w:t>
      </w:r>
    </w:p>
    <w:p w:rsidR="007E5C4C" w:rsidRPr="007E5C4C" w:rsidRDefault="007E5C4C" w:rsidP="001C12AC">
      <w:pPr>
        <w:pStyle w:val="H1GR"/>
      </w:pPr>
      <w:r>
        <w:tab/>
        <w:t>16.</w:t>
      </w:r>
      <w:r>
        <w:tab/>
        <w:t>Прочие вопросы</w:t>
      </w:r>
    </w:p>
    <w:p w:rsidR="007E5C4C" w:rsidRPr="007E5C4C" w:rsidRDefault="007E5C4C" w:rsidP="007E5C4C">
      <w:pPr>
        <w:pStyle w:val="SingleTxtG"/>
        <w:ind w:firstLine="567"/>
        <w:rPr>
          <w:lang w:val="ru-RU"/>
        </w:rPr>
      </w:pPr>
      <w:r>
        <w:rPr>
          <w:lang w:val="ru-RU"/>
        </w:rPr>
        <w:t>GRB, возможно, рассмотрит любые другие вопросы, если возникнет такая необходимость.</w:t>
      </w:r>
    </w:p>
    <w:p w:rsidR="007E5C4C" w:rsidRPr="007E5C4C" w:rsidRDefault="007E5C4C" w:rsidP="001C12AC">
      <w:pPr>
        <w:pStyle w:val="H1GR"/>
      </w:pPr>
      <w:r>
        <w:tab/>
        <w:t>17.</w:t>
      </w:r>
      <w:r>
        <w:tab/>
        <w:t>Предварительная повестка дня шестьдесят девятой сессии</w:t>
      </w:r>
    </w:p>
    <w:p w:rsidR="007E5C4C" w:rsidRPr="007E5C4C" w:rsidRDefault="007E5C4C" w:rsidP="007E5C4C">
      <w:pPr>
        <w:ind w:left="1134" w:right="1134"/>
        <w:jc w:val="both"/>
      </w:pPr>
      <w:r>
        <w:tab/>
      </w:r>
      <w:r>
        <w:tab/>
        <w:t xml:space="preserve">GRB предлагается дать указания по предварительной повестке дня следующей </w:t>
      </w:r>
      <w:r w:rsidRPr="001C12AC">
        <w:rPr>
          <w:spacing w:val="-2"/>
        </w:rPr>
        <w:t>сессии, которую планируется провести в Женеве 24 (с 14 ч 30 мин) – 26 (до 17 ч 30 мин)</w:t>
      </w:r>
      <w:r w:rsidRPr="001C12AC">
        <w:rPr>
          <w:spacing w:val="-4"/>
        </w:rPr>
        <w:t xml:space="preserve"> </w:t>
      </w:r>
      <w:r>
        <w:t>января 2019 года.</w:t>
      </w:r>
    </w:p>
    <w:p w:rsidR="007E5C4C" w:rsidRPr="007E5C4C" w:rsidRDefault="007E5C4C" w:rsidP="001C12AC">
      <w:pPr>
        <w:pStyle w:val="H1GR"/>
      </w:pPr>
      <w:r>
        <w:tab/>
        <w:t>18.</w:t>
      </w:r>
      <w:r>
        <w:tab/>
        <w:t>Выборы должностных лиц</w:t>
      </w:r>
    </w:p>
    <w:p w:rsidR="007E5C4C" w:rsidRDefault="007E5C4C" w:rsidP="007E5C4C">
      <w:pPr>
        <w:ind w:left="1134" w:right="1134"/>
        <w:jc w:val="both"/>
      </w:pPr>
      <w:r>
        <w:tab/>
      </w:r>
      <w:r>
        <w:tab/>
        <w:t>В соответствии с правилом 37 правил процедуры (TRANS/WP.29/690 и Amend.1) GRB изберет Председателя и заместителя Председателя для сессий, запланированных на 2018 год.</w:t>
      </w:r>
    </w:p>
    <w:p w:rsidR="00823D78" w:rsidRPr="00823D78" w:rsidRDefault="00823D78" w:rsidP="00823D7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3D78" w:rsidRPr="00823D78" w:rsidSect="007E5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3D" w:rsidRPr="00A312BC" w:rsidRDefault="001E5B3D" w:rsidP="00A312BC"/>
  </w:endnote>
  <w:endnote w:type="continuationSeparator" w:id="0">
    <w:p w:rsidR="001E5B3D" w:rsidRPr="00A312BC" w:rsidRDefault="001E5B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C" w:rsidRPr="007E5C4C" w:rsidRDefault="007E5C4C">
    <w:pPr>
      <w:pStyle w:val="Footer"/>
    </w:pPr>
    <w:r w:rsidRPr="007E5C4C">
      <w:rPr>
        <w:b/>
        <w:sz w:val="18"/>
      </w:rPr>
      <w:fldChar w:fldCharType="begin"/>
    </w:r>
    <w:r w:rsidRPr="007E5C4C">
      <w:rPr>
        <w:b/>
        <w:sz w:val="18"/>
      </w:rPr>
      <w:instrText xml:space="preserve"> PAGE  \* MERGEFORMAT </w:instrText>
    </w:r>
    <w:r w:rsidRPr="007E5C4C">
      <w:rPr>
        <w:b/>
        <w:sz w:val="18"/>
      </w:rPr>
      <w:fldChar w:fldCharType="separate"/>
    </w:r>
    <w:r w:rsidR="00504F69">
      <w:rPr>
        <w:b/>
        <w:noProof/>
        <w:sz w:val="18"/>
      </w:rPr>
      <w:t>2</w:t>
    </w:r>
    <w:r w:rsidRPr="007E5C4C">
      <w:rPr>
        <w:b/>
        <w:sz w:val="18"/>
      </w:rPr>
      <w:fldChar w:fldCharType="end"/>
    </w:r>
    <w:r>
      <w:rPr>
        <w:b/>
        <w:sz w:val="18"/>
      </w:rPr>
      <w:tab/>
    </w:r>
    <w:r>
      <w:t>GE.18-10555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C" w:rsidRPr="007E5C4C" w:rsidRDefault="007E5C4C" w:rsidP="007E5C4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GE.18-10555</w:t>
    </w:r>
    <w:r>
      <w:tab/>
    </w:r>
    <w:r w:rsidRPr="007E5C4C">
      <w:rPr>
        <w:b/>
        <w:sz w:val="18"/>
      </w:rPr>
      <w:fldChar w:fldCharType="begin"/>
    </w:r>
    <w:r w:rsidRPr="007E5C4C">
      <w:rPr>
        <w:b/>
        <w:sz w:val="18"/>
      </w:rPr>
      <w:instrText xml:space="preserve"> PAGE  \* MERGEFORMAT </w:instrText>
    </w:r>
    <w:r w:rsidRPr="007E5C4C">
      <w:rPr>
        <w:b/>
        <w:sz w:val="18"/>
      </w:rPr>
      <w:fldChar w:fldCharType="separate"/>
    </w:r>
    <w:r w:rsidR="00504F69">
      <w:rPr>
        <w:b/>
        <w:noProof/>
        <w:sz w:val="18"/>
      </w:rPr>
      <w:t>5</w:t>
    </w:r>
    <w:r w:rsidRPr="007E5C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E5C4C" w:rsidRDefault="007E5C4C" w:rsidP="007E5C4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18-10555  (R)</w:t>
    </w:r>
    <w:r w:rsidR="00823D78">
      <w:rPr>
        <w:lang w:val="en-US"/>
      </w:rPr>
      <w:t xml:space="preserve">  290618  290618</w:t>
    </w:r>
    <w:r>
      <w:br/>
    </w:r>
    <w:r w:rsidRPr="007E5C4C">
      <w:rPr>
        <w:rFonts w:ascii="C39T30Lfz" w:hAnsi="C39T30Lfz"/>
        <w:kern w:val="14"/>
        <w:sz w:val="56"/>
      </w:rPr>
      <w:t></w:t>
    </w:r>
    <w:r w:rsidRPr="007E5C4C">
      <w:rPr>
        <w:rFonts w:ascii="C39T30Lfz" w:hAnsi="C39T30Lfz"/>
        <w:kern w:val="14"/>
        <w:sz w:val="56"/>
      </w:rPr>
      <w:t></w:t>
    </w:r>
    <w:r w:rsidRPr="007E5C4C">
      <w:rPr>
        <w:rFonts w:ascii="C39T30Lfz" w:hAnsi="C39T30Lfz"/>
        <w:kern w:val="14"/>
        <w:sz w:val="56"/>
      </w:rPr>
      <w:t></w:t>
    </w:r>
    <w:r w:rsidRPr="007E5C4C">
      <w:rPr>
        <w:rFonts w:ascii="C39T30Lfz" w:hAnsi="C39T30Lfz"/>
        <w:kern w:val="14"/>
        <w:sz w:val="56"/>
      </w:rPr>
      <w:t></w:t>
    </w:r>
    <w:r w:rsidRPr="007E5C4C">
      <w:rPr>
        <w:rFonts w:ascii="C39T30Lfz" w:hAnsi="C39T30Lfz"/>
        <w:kern w:val="14"/>
        <w:sz w:val="56"/>
      </w:rPr>
      <w:t></w:t>
    </w:r>
    <w:r w:rsidRPr="007E5C4C">
      <w:rPr>
        <w:rFonts w:ascii="C39T30Lfz" w:hAnsi="C39T30Lfz"/>
        <w:kern w:val="14"/>
        <w:sz w:val="56"/>
      </w:rPr>
      <w:t></w:t>
    </w:r>
    <w:r w:rsidRPr="007E5C4C">
      <w:rPr>
        <w:rFonts w:ascii="C39T30Lfz" w:hAnsi="C39T30Lfz"/>
        <w:kern w:val="14"/>
        <w:sz w:val="56"/>
      </w:rPr>
      <w:t></w:t>
    </w:r>
    <w:r w:rsidRPr="007E5C4C">
      <w:rPr>
        <w:rFonts w:ascii="C39T30Lfz" w:hAnsi="C39T30Lfz"/>
        <w:kern w:val="14"/>
        <w:sz w:val="56"/>
      </w:rPr>
      <w:t></w:t>
    </w:r>
    <w:r w:rsidRPr="007E5C4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3D" w:rsidRPr="001075E9" w:rsidRDefault="001E5B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5B3D" w:rsidRDefault="001E5B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23D78" w:rsidRPr="002145C9" w:rsidRDefault="00823D78">
      <w:pPr>
        <w:pStyle w:val="FootnoteText"/>
        <w:rPr>
          <w:color w:val="000000" w:themeColor="text1"/>
          <w:sz w:val="20"/>
        </w:rPr>
      </w:pPr>
      <w:r w:rsidRPr="002145C9">
        <w:rPr>
          <w:color w:val="000000" w:themeColor="text1"/>
        </w:rPr>
        <w:tab/>
      </w:r>
      <w:r w:rsidRPr="002145C9">
        <w:rPr>
          <w:rStyle w:val="FootnoteReference"/>
          <w:color w:val="000000" w:themeColor="text1"/>
          <w:sz w:val="20"/>
          <w:vertAlign w:val="baseline"/>
        </w:rPr>
        <w:t>*</w:t>
      </w:r>
      <w:r w:rsidRPr="002145C9">
        <w:rPr>
          <w:rStyle w:val="FootnoteReference"/>
          <w:color w:val="000000" w:themeColor="text1"/>
          <w:vertAlign w:val="baseline"/>
        </w:rPr>
        <w:tab/>
      </w:r>
      <w:r w:rsidRPr="002145C9">
        <w:rPr>
          <w:color w:val="000000" w:themeColor="text1"/>
        </w:rPr>
        <w:t>По соображениям экономии делегатов просят приносить на заседания все соответствующие документы. 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2145C9">
          <w:rPr>
            <w:rStyle w:val="Hyperlink"/>
            <w:color w:val="000000" w:themeColor="text1"/>
          </w:rPr>
          <w:t>www.unece.org/trans/main/wp29/wp29wgs/ wp29grb/grbage.html</w:t>
        </w:r>
      </w:hyperlink>
      <w:r w:rsidRPr="002145C9">
        <w:rPr>
          <w:color w:val="000000" w:themeColor="text1"/>
        </w:rPr>
        <w:t>). В порядке исключения документы можно также получить по электронной почте (</w:t>
      </w:r>
      <w:hyperlink r:id="rId2" w:history="1">
        <w:r w:rsidRPr="002145C9">
          <w:rPr>
            <w:rStyle w:val="Hyperlink"/>
            <w:color w:val="000000" w:themeColor="text1"/>
          </w:rPr>
          <w:t>grb@unece.org</w:t>
        </w:r>
      </w:hyperlink>
      <w:r w:rsidRPr="002145C9">
        <w:rPr>
          <w:color w:val="000000" w:themeColor="text1"/>
        </w:rPr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2145C9">
          <w:rPr>
            <w:rStyle w:val="Hyperlink"/>
            <w:color w:val="000000" w:themeColor="text1"/>
          </w:rPr>
          <w:t>http://documents.un.org/</w:t>
        </w:r>
      </w:hyperlink>
      <w:r w:rsidRPr="002145C9">
        <w:rPr>
          <w:color w:val="000000" w:themeColor="text1"/>
        </w:rPr>
        <w:t>.</w:t>
      </w:r>
    </w:p>
  </w:footnote>
  <w:footnote w:id="2">
    <w:p w:rsidR="00823D78" w:rsidRPr="002145C9" w:rsidRDefault="00823D78">
      <w:pPr>
        <w:pStyle w:val="FootnoteText"/>
        <w:rPr>
          <w:color w:val="000000" w:themeColor="text1"/>
          <w:sz w:val="20"/>
        </w:rPr>
      </w:pPr>
      <w:r w:rsidRPr="002145C9">
        <w:rPr>
          <w:color w:val="000000" w:themeColor="text1"/>
        </w:rPr>
        <w:tab/>
      </w:r>
      <w:r w:rsidRPr="002145C9">
        <w:rPr>
          <w:rStyle w:val="FootnoteReference"/>
          <w:color w:val="000000" w:themeColor="text1"/>
          <w:sz w:val="20"/>
          <w:vertAlign w:val="baseline"/>
        </w:rPr>
        <w:t>**</w:t>
      </w:r>
      <w:r w:rsidRPr="002145C9">
        <w:rPr>
          <w:rStyle w:val="FootnoteReference"/>
          <w:color w:val="000000" w:themeColor="text1"/>
          <w:vertAlign w:val="baseline"/>
        </w:rPr>
        <w:tab/>
      </w:r>
      <w:r w:rsidRPr="002145C9">
        <w:rPr>
          <w:color w:val="000000" w:themeColor="text1"/>
        </w:rPr>
        <w:t>Делегатов просят зарегистрироваться онлайн с помощью новой системы регистрации на веб</w:t>
      </w:r>
      <w:r w:rsidR="000E36B7" w:rsidRPr="002145C9">
        <w:rPr>
          <w:color w:val="000000" w:themeColor="text1"/>
        </w:rPr>
        <w:noBreakHyphen/>
      </w:r>
      <w:r w:rsidRPr="002145C9">
        <w:rPr>
          <w:color w:val="000000" w:themeColor="text1"/>
        </w:rPr>
        <w:t>сайте ЕЭК ООН (</w:t>
      </w:r>
      <w:hyperlink r:id="rId4" w:history="1">
        <w:r w:rsidRPr="002145C9">
          <w:rPr>
            <w:rStyle w:val="Hyperlink"/>
            <w:color w:val="000000" w:themeColor="text1"/>
          </w:rPr>
          <w:t>https://uncdb.unece.org/app/ext/meeting-registration?id=WyokCg</w:t>
        </w:r>
      </w:hyperlink>
      <w:r w:rsidRPr="002145C9">
        <w:rPr>
          <w:color w:val="000000" w:themeColor="text1"/>
        </w:rPr>
        <w:t>). По</w:t>
      </w:r>
      <w:r w:rsidR="000E36B7" w:rsidRPr="002145C9">
        <w:rPr>
          <w:color w:val="000000" w:themeColor="text1"/>
        </w:rPr>
        <w:t> </w:t>
      </w:r>
      <w:r w:rsidRPr="002145C9">
        <w:rPr>
          <w:color w:val="000000" w:themeColor="text1"/>
        </w:rPr>
        <w:t>прибытии во Дворец Наций делегатам следует получить пропуск в Секции охраны и</w:t>
      </w:r>
      <w:r w:rsidR="000E36B7" w:rsidRPr="002145C9">
        <w:rPr>
          <w:color w:val="000000" w:themeColor="text1"/>
        </w:rPr>
        <w:t> </w:t>
      </w:r>
      <w:r w:rsidRPr="002145C9">
        <w:rPr>
          <w:color w:val="000000" w:themeColor="text1"/>
        </w:rPr>
        <w:t>безопасности ЮНОГ, которая находится у въезда со стороны Прени (Pregny Gate) (14,</w:t>
      </w:r>
      <w:r w:rsidR="000E36B7" w:rsidRPr="002145C9">
        <w:rPr>
          <w:color w:val="000000" w:themeColor="text1"/>
        </w:rPr>
        <w:t> </w:t>
      </w:r>
      <w:r w:rsidRPr="002145C9">
        <w:rPr>
          <w:color w:val="000000" w:themeColor="text1"/>
        </w:rPr>
        <w:t>Avenue de la Paix). В</w:t>
      </w:r>
      <w:r w:rsidRPr="002145C9">
        <w:rPr>
          <w:color w:val="000000" w:themeColor="text1"/>
          <w:lang w:val="en-US"/>
        </w:rPr>
        <w:t> </w:t>
      </w:r>
      <w:r w:rsidRPr="002145C9">
        <w:rPr>
          <w:color w:val="000000" w:themeColor="text1"/>
        </w:rPr>
        <w:t>случае затруднений просьба связаться с секретариатом ЕЭК ООН по</w:t>
      </w:r>
      <w:r w:rsidR="000E36B7" w:rsidRPr="002145C9">
        <w:rPr>
          <w:color w:val="000000" w:themeColor="text1"/>
        </w:rPr>
        <w:t> </w:t>
      </w:r>
      <w:r w:rsidRPr="002145C9">
        <w:rPr>
          <w:color w:val="000000" w:themeColor="text1"/>
        </w:rPr>
        <w:t xml:space="preserve">телефону (внутренний номер 74323). Схему Дворца Наций и другую полезную информацию см. на веб-сайте </w:t>
      </w:r>
      <w:hyperlink r:id="rId5" w:history="1">
        <w:r w:rsidRPr="002145C9">
          <w:rPr>
            <w:rStyle w:val="Hyperlink"/>
            <w:color w:val="000000" w:themeColor="text1"/>
          </w:rPr>
          <w:t>www.unece.org/meetings/practical.htm</w:t>
        </w:r>
      </w:hyperlink>
      <w:r w:rsidRPr="002145C9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C" w:rsidRPr="007E5C4C" w:rsidRDefault="00AC6910">
    <w:pPr>
      <w:pStyle w:val="Header"/>
    </w:pPr>
    <w:fldSimple w:instr=" TITLE  \* MERGEFORMAT ">
      <w:r>
        <w:t>ECE/TRANS/WP.29/GRB/2018/5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C" w:rsidRPr="007E5C4C" w:rsidRDefault="00AC6910" w:rsidP="007E5C4C">
    <w:pPr>
      <w:pStyle w:val="Header"/>
      <w:jc w:val="right"/>
    </w:pPr>
    <w:fldSimple w:instr=" TITLE  \* MERGEFORMAT ">
      <w:r>
        <w:t>ECE/TRANS/WP.29/GRB/2018/5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78" w:rsidRDefault="00823D78" w:rsidP="00823D7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D"/>
    <w:rsid w:val="00033EE1"/>
    <w:rsid w:val="00042B72"/>
    <w:rsid w:val="00050BC6"/>
    <w:rsid w:val="000558BD"/>
    <w:rsid w:val="000B03D1"/>
    <w:rsid w:val="000B57E7"/>
    <w:rsid w:val="000B6373"/>
    <w:rsid w:val="000E2AEE"/>
    <w:rsid w:val="000E36B7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12AC"/>
    <w:rsid w:val="001C7A89"/>
    <w:rsid w:val="001E5B3D"/>
    <w:rsid w:val="002145C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4F69"/>
    <w:rsid w:val="00513081"/>
    <w:rsid w:val="00517901"/>
    <w:rsid w:val="005227C8"/>
    <w:rsid w:val="00526683"/>
    <w:rsid w:val="005639C1"/>
    <w:rsid w:val="005709E0"/>
    <w:rsid w:val="0057282C"/>
    <w:rsid w:val="00572E19"/>
    <w:rsid w:val="005961C8"/>
    <w:rsid w:val="005966F1"/>
    <w:rsid w:val="005D7914"/>
    <w:rsid w:val="005E2B41"/>
    <w:rsid w:val="005F0B42"/>
    <w:rsid w:val="0061132C"/>
    <w:rsid w:val="00617A43"/>
    <w:rsid w:val="006345DB"/>
    <w:rsid w:val="00640F49"/>
    <w:rsid w:val="00680D03"/>
    <w:rsid w:val="00681A10"/>
    <w:rsid w:val="006A1ED8"/>
    <w:rsid w:val="006C2031"/>
    <w:rsid w:val="006D461A"/>
    <w:rsid w:val="006E7224"/>
    <w:rsid w:val="006F35EE"/>
    <w:rsid w:val="007021FF"/>
    <w:rsid w:val="00712895"/>
    <w:rsid w:val="00734ACB"/>
    <w:rsid w:val="00757357"/>
    <w:rsid w:val="00792497"/>
    <w:rsid w:val="007A17E3"/>
    <w:rsid w:val="007E5C4C"/>
    <w:rsid w:val="00806737"/>
    <w:rsid w:val="00823D78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4B43"/>
    <w:rsid w:val="00A84021"/>
    <w:rsid w:val="00A84D35"/>
    <w:rsid w:val="00A917B3"/>
    <w:rsid w:val="00AB4B51"/>
    <w:rsid w:val="00AC691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035A"/>
    <w:rsid w:val="00CE5A1A"/>
    <w:rsid w:val="00CF55F6"/>
    <w:rsid w:val="00D33D63"/>
    <w:rsid w:val="00D507F2"/>
    <w:rsid w:val="00D5253A"/>
    <w:rsid w:val="00D873A8"/>
    <w:rsid w:val="00D90028"/>
    <w:rsid w:val="00D90138"/>
    <w:rsid w:val="00DC5096"/>
    <w:rsid w:val="00DD78D1"/>
    <w:rsid w:val="00DE32CD"/>
    <w:rsid w:val="00DF5767"/>
    <w:rsid w:val="00DF71B9"/>
    <w:rsid w:val="00E12C5F"/>
    <w:rsid w:val="00E356D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B9A898-E01B-4287-A061-CEE343B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7E5C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E5C4C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7E5C4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7E5C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7E5C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http://undocs.org/ru/grb@unece.org" TargetMode="External"/><Relationship Id="rId1" Type="http://schemas.openxmlformats.org/officeDocument/2006/relationships/hyperlink" Target="http://undocs.org/ru/www.unece.org/trans/main/wp29/wp29wgs/%20wp29grb/grbage.html" TargetMode="External"/><Relationship Id="rId5" Type="http://schemas.openxmlformats.org/officeDocument/2006/relationships/hyperlink" Target="http://undocs.org/ru/www.unece.org/meetings/practical.htm" TargetMode="External"/><Relationship Id="rId4" Type="http://schemas.openxmlformats.org/officeDocument/2006/relationships/hyperlink" Target="http://undocs.org/ru/https://uncdb.unece.org/app/ext/meeting-registration?id=WyokC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A930-09B9-412A-AB36-28C9CD81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ECE/TRANS/WP.29/GRB/2018/5</vt:lpstr>
      <vt:lpstr>ECE/TRANS/WP.29/GRB/2018/5</vt:lpstr>
      <vt:lpstr>A/</vt:lpstr>
    </vt:vector>
  </TitlesOfParts>
  <Company>DCM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ECE/TRANS/WP.29/GRB/2018/5</dc:title>
  <dc:subject/>
  <dc:creator>SHUVALOVA Natalia</dc:creator>
  <cp:keywords/>
  <cp:lastModifiedBy>Benedicte Boudol</cp:lastModifiedBy>
  <cp:revision>2</cp:revision>
  <cp:lastPrinted>2018-06-29T11:29:00Z</cp:lastPrinted>
  <dcterms:created xsi:type="dcterms:W3CDTF">2018-07-10T13:54:00Z</dcterms:created>
  <dcterms:modified xsi:type="dcterms:W3CDTF">2018-07-10T13:54:00Z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