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2027DF">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2027DF" w:rsidP="002027DF">
            <w:pPr>
              <w:jc w:val="right"/>
            </w:pPr>
            <w:r w:rsidRPr="002027DF">
              <w:rPr>
                <w:sz w:val="40"/>
              </w:rPr>
              <w:t>ECE</w:t>
            </w:r>
            <w:r>
              <w:t>/TRANS/WP.29/GRB/2018/5</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2027DF" w:rsidP="00295CCA">
            <w:pPr>
              <w:spacing w:before="240"/>
            </w:pPr>
            <w:r>
              <w:t>Distr. générale</w:t>
            </w:r>
          </w:p>
          <w:p w:rsidR="002027DF" w:rsidRDefault="002027DF" w:rsidP="002027DF">
            <w:pPr>
              <w:spacing w:line="240" w:lineRule="exact"/>
            </w:pPr>
            <w:r>
              <w:t>27 juin 2018</w:t>
            </w:r>
          </w:p>
          <w:p w:rsidR="002027DF" w:rsidRDefault="002027DF" w:rsidP="002027DF">
            <w:pPr>
              <w:spacing w:line="240" w:lineRule="exact"/>
            </w:pPr>
            <w:r>
              <w:t>Français</w:t>
            </w:r>
          </w:p>
          <w:p w:rsidR="002027DF" w:rsidRPr="00DB58B5" w:rsidRDefault="002027DF" w:rsidP="002027DF">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C108FF">
        <w:rPr>
          <w:b/>
          <w:sz w:val="28"/>
          <w:szCs w:val="28"/>
        </w:rPr>
        <w:t>’</w:t>
      </w:r>
      <w:r w:rsidRPr="000312C0">
        <w:rPr>
          <w:b/>
          <w:sz w:val="28"/>
          <w:szCs w:val="28"/>
        </w:rPr>
        <w:t>Europe</w:t>
      </w:r>
    </w:p>
    <w:p w:rsidR="00C108FF" w:rsidRPr="00C108FF" w:rsidRDefault="00C108FF" w:rsidP="00C108FF">
      <w:pPr>
        <w:spacing w:before="120"/>
        <w:rPr>
          <w:sz w:val="28"/>
          <w:szCs w:val="28"/>
        </w:rPr>
      </w:pPr>
      <w:r w:rsidRPr="00C108FF">
        <w:rPr>
          <w:sz w:val="28"/>
          <w:szCs w:val="28"/>
          <w:lang w:val="fr-FR"/>
        </w:rPr>
        <w:t>Comité des transports intérieurs</w:t>
      </w:r>
    </w:p>
    <w:p w:rsidR="00C108FF" w:rsidRPr="00C108FF" w:rsidRDefault="00C108FF" w:rsidP="00C108FF">
      <w:pPr>
        <w:spacing w:before="120"/>
        <w:rPr>
          <w:b/>
          <w:sz w:val="24"/>
          <w:szCs w:val="24"/>
        </w:rPr>
      </w:pPr>
      <w:r w:rsidRPr="00C108FF">
        <w:rPr>
          <w:b/>
          <w:bCs/>
          <w:sz w:val="24"/>
          <w:szCs w:val="24"/>
          <w:lang w:val="fr-FR"/>
        </w:rPr>
        <w:t>Forum mondial de l</w:t>
      </w:r>
      <w:r>
        <w:rPr>
          <w:b/>
          <w:bCs/>
          <w:sz w:val="24"/>
          <w:szCs w:val="24"/>
          <w:lang w:val="fr-FR"/>
        </w:rPr>
        <w:t>’</w:t>
      </w:r>
      <w:r w:rsidRPr="00C108FF">
        <w:rPr>
          <w:b/>
          <w:bCs/>
          <w:sz w:val="24"/>
          <w:szCs w:val="24"/>
          <w:lang w:val="fr-FR"/>
        </w:rPr>
        <w:t xml:space="preserve">harmonisation des Règlements </w:t>
      </w:r>
      <w:r w:rsidR="009411AC">
        <w:rPr>
          <w:b/>
          <w:bCs/>
          <w:sz w:val="24"/>
          <w:szCs w:val="24"/>
          <w:lang w:val="fr-FR"/>
        </w:rPr>
        <w:br/>
      </w:r>
      <w:r w:rsidRPr="00C108FF">
        <w:rPr>
          <w:b/>
          <w:bCs/>
          <w:sz w:val="24"/>
          <w:szCs w:val="24"/>
          <w:lang w:val="fr-FR"/>
        </w:rPr>
        <w:t>concernant les véhicules</w:t>
      </w:r>
    </w:p>
    <w:p w:rsidR="00C108FF" w:rsidRPr="00C108FF" w:rsidRDefault="00C108FF" w:rsidP="00C108FF">
      <w:pPr>
        <w:spacing w:before="120"/>
        <w:rPr>
          <w:b/>
        </w:rPr>
      </w:pPr>
      <w:r w:rsidRPr="00C108FF">
        <w:rPr>
          <w:b/>
          <w:bCs/>
          <w:lang w:val="fr-FR"/>
        </w:rPr>
        <w:t>Groupe de travail du bruit</w:t>
      </w:r>
    </w:p>
    <w:p w:rsidR="00C108FF" w:rsidRPr="00617443" w:rsidRDefault="00C108FF" w:rsidP="00C108FF">
      <w:pPr>
        <w:spacing w:before="120"/>
        <w:rPr>
          <w:b/>
        </w:rPr>
      </w:pPr>
      <w:r>
        <w:rPr>
          <w:b/>
          <w:bCs/>
          <w:lang w:val="fr-FR"/>
        </w:rPr>
        <w:t>Soixante-huitième session</w:t>
      </w:r>
    </w:p>
    <w:p w:rsidR="00C108FF" w:rsidRPr="00617443" w:rsidRDefault="00C108FF" w:rsidP="00C108FF">
      <w:r>
        <w:rPr>
          <w:lang w:val="fr-FR"/>
        </w:rPr>
        <w:t>Genève, 12-14 septembre 2018</w:t>
      </w:r>
    </w:p>
    <w:p w:rsidR="00C108FF" w:rsidRPr="00617443" w:rsidRDefault="00C108FF" w:rsidP="00C108FF">
      <w:r>
        <w:rPr>
          <w:lang w:val="fr-FR"/>
        </w:rPr>
        <w:t>Point 1 de l’ordre du jour provisoire</w:t>
      </w:r>
    </w:p>
    <w:p w:rsidR="00C108FF" w:rsidRPr="000A35F8" w:rsidRDefault="00C108FF" w:rsidP="00C108FF">
      <w:pPr>
        <w:rPr>
          <w:b/>
        </w:rPr>
      </w:pPr>
      <w:r w:rsidRPr="000A35F8">
        <w:rPr>
          <w:b/>
          <w:lang w:val="fr-FR"/>
        </w:rPr>
        <w:t>Adoption de l</w:t>
      </w:r>
      <w:r>
        <w:rPr>
          <w:b/>
          <w:lang w:val="fr-FR"/>
        </w:rPr>
        <w:t>’</w:t>
      </w:r>
      <w:r w:rsidRPr="000A35F8">
        <w:rPr>
          <w:b/>
          <w:lang w:val="fr-FR"/>
        </w:rPr>
        <w:t>ordre du jour</w:t>
      </w:r>
    </w:p>
    <w:p w:rsidR="00C108FF" w:rsidRPr="00617443" w:rsidRDefault="00C108FF" w:rsidP="00C108FF">
      <w:pPr>
        <w:pStyle w:val="HChG"/>
      </w:pPr>
      <w:r>
        <w:rPr>
          <w:lang w:val="fr-FR"/>
        </w:rPr>
        <w:tab/>
      </w:r>
      <w:r>
        <w:rPr>
          <w:lang w:val="fr-FR"/>
        </w:rPr>
        <w:tab/>
        <w:t>Ordre du jour provisoire annoté de la soixante-huitième session</w:t>
      </w:r>
      <w:r w:rsidRPr="00C108FF">
        <w:rPr>
          <w:rStyle w:val="FootnoteReference"/>
          <w:b w:val="0"/>
          <w:sz w:val="20"/>
          <w:vertAlign w:val="baseline"/>
        </w:rPr>
        <w:footnoteReference w:customMarkFollows="1" w:id="2"/>
        <w:t>*</w:t>
      </w:r>
      <w:r w:rsidRPr="00C108FF">
        <w:rPr>
          <w:rStyle w:val="FootnoteReference"/>
          <w:b w:val="0"/>
          <w:sz w:val="20"/>
        </w:rPr>
        <w:t>,</w:t>
      </w:r>
      <w:r>
        <w:rPr>
          <w:rStyle w:val="FootnoteReference"/>
          <w:b w:val="0"/>
          <w:sz w:val="20"/>
          <w:vertAlign w:val="baseline"/>
        </w:rPr>
        <w:t xml:space="preserve"> </w:t>
      </w:r>
      <w:r w:rsidRPr="00C108FF">
        <w:rPr>
          <w:rStyle w:val="FootnoteReference"/>
          <w:b w:val="0"/>
          <w:sz w:val="20"/>
          <w:vertAlign w:val="baseline"/>
        </w:rPr>
        <w:footnoteReference w:customMarkFollows="1" w:id="3"/>
        <w:t>**</w:t>
      </w:r>
    </w:p>
    <w:p w:rsidR="00C108FF" w:rsidRDefault="00C108FF" w:rsidP="00C108FF">
      <w:pPr>
        <w:ind w:left="1134"/>
        <w:rPr>
          <w:lang w:val="fr-FR"/>
        </w:rPr>
      </w:pPr>
      <w:r>
        <w:rPr>
          <w:lang w:val="fr-FR"/>
        </w:rPr>
        <w:t>Qui se tiendra au Palais des Nations, à Genève, du 12 septembre 2018 à 14 h 30</w:t>
      </w:r>
      <w:r>
        <w:rPr>
          <w:lang w:val="fr-FR"/>
        </w:rPr>
        <w:br/>
        <w:t xml:space="preserve">au 14 septembre 2018 </w:t>
      </w:r>
      <w:r w:rsidR="00DF0329">
        <w:rPr>
          <w:lang w:val="fr-FR"/>
        </w:rPr>
        <w:t>à 17 </w:t>
      </w:r>
      <w:r>
        <w:rPr>
          <w:lang w:val="fr-FR"/>
        </w:rPr>
        <w:t>h</w:t>
      </w:r>
      <w:r w:rsidR="00DF0329">
        <w:rPr>
          <w:lang w:val="fr-FR"/>
        </w:rPr>
        <w:t> </w:t>
      </w:r>
      <w:r>
        <w:rPr>
          <w:lang w:val="fr-FR"/>
        </w:rPr>
        <w:t>30</w:t>
      </w:r>
    </w:p>
    <w:p w:rsidR="00A02511" w:rsidRPr="00C108FF" w:rsidRDefault="00C108FF" w:rsidP="00C108FF">
      <w:pPr>
        <w:pStyle w:val="HChG"/>
      </w:pPr>
      <w:r>
        <w:rPr>
          <w:lang w:val="fr-FR"/>
        </w:rPr>
        <w:br w:type="page"/>
      </w:r>
      <w:r>
        <w:rPr>
          <w:lang w:val="fr-FR"/>
        </w:rPr>
        <w:lastRenderedPageBreak/>
        <w:tab/>
      </w:r>
      <w:r w:rsidR="002A74B0" w:rsidRPr="00C108FF">
        <w:rPr>
          <w:lang w:val="fr-FR"/>
        </w:rPr>
        <w:t>I.</w:t>
      </w:r>
      <w:r w:rsidR="002A74B0" w:rsidRPr="00C108FF">
        <w:rPr>
          <w:lang w:val="fr-FR"/>
        </w:rPr>
        <w:tab/>
        <w:t>Ordre du jour provisoire</w:t>
      </w:r>
    </w:p>
    <w:p w:rsidR="00A02511" w:rsidRPr="00C108FF" w:rsidRDefault="002A74B0" w:rsidP="00C108FF">
      <w:pPr>
        <w:pStyle w:val="SingleTxtG"/>
        <w:ind w:left="1701" w:hanging="567"/>
      </w:pPr>
      <w:r w:rsidRPr="00C108FF">
        <w:rPr>
          <w:lang w:val="fr-FR"/>
        </w:rPr>
        <w:t>1.</w:t>
      </w:r>
      <w:r w:rsidRPr="00C108FF">
        <w:rPr>
          <w:lang w:val="fr-FR"/>
        </w:rPr>
        <w:tab/>
        <w:t>Adoption de l</w:t>
      </w:r>
      <w:r w:rsidR="00C108FF">
        <w:rPr>
          <w:lang w:val="fr-FR"/>
        </w:rPr>
        <w:t>’</w:t>
      </w:r>
      <w:r w:rsidRPr="00C108FF">
        <w:rPr>
          <w:lang w:val="fr-FR"/>
        </w:rPr>
        <w:t>ordre du jour.</w:t>
      </w:r>
    </w:p>
    <w:p w:rsidR="00A02511" w:rsidRPr="00C108FF" w:rsidRDefault="002A74B0" w:rsidP="00C108FF">
      <w:pPr>
        <w:pStyle w:val="SingleTxtG"/>
        <w:ind w:left="1701" w:hanging="567"/>
      </w:pPr>
      <w:r w:rsidRPr="00C108FF">
        <w:rPr>
          <w:lang w:val="fr-FR"/>
        </w:rPr>
        <w:t>2.</w:t>
      </w:r>
      <w:r w:rsidRPr="00C108FF">
        <w:rPr>
          <w:lang w:val="fr-FR"/>
        </w:rPr>
        <w:tab/>
        <w:t xml:space="preserve">Règlement ONU </w:t>
      </w:r>
      <w:r w:rsidR="00C108FF" w:rsidRPr="00C108FF">
        <w:rPr>
          <w:rFonts w:eastAsia="MS Mincho"/>
          <w:lang w:val="fr-FR"/>
        </w:rPr>
        <w:t>n</w:t>
      </w:r>
      <w:r w:rsidR="00C108FF" w:rsidRPr="00C108FF">
        <w:rPr>
          <w:rFonts w:eastAsia="MS Mincho"/>
          <w:vertAlign w:val="superscript"/>
          <w:lang w:val="fr-FR"/>
        </w:rPr>
        <w:t>o</w:t>
      </w:r>
      <w:r w:rsidR="00C108FF" w:rsidRPr="00C108FF">
        <w:rPr>
          <w:rFonts w:eastAsia="MS Mincho"/>
          <w:lang w:val="fr-FR"/>
        </w:rPr>
        <w:t> </w:t>
      </w:r>
      <w:r w:rsidRPr="00C108FF">
        <w:rPr>
          <w:lang w:val="fr-FR"/>
        </w:rPr>
        <w:t>9 (Bruit des véhicules à trois roues).</w:t>
      </w:r>
      <w:r w:rsidRPr="00C108FF">
        <w:t xml:space="preserve"> </w:t>
      </w:r>
    </w:p>
    <w:p w:rsidR="00A02511" w:rsidRPr="00C108FF" w:rsidRDefault="002A74B0" w:rsidP="00C108FF">
      <w:pPr>
        <w:pStyle w:val="SingleTxtG"/>
        <w:ind w:left="1701" w:hanging="567"/>
      </w:pPr>
      <w:r w:rsidRPr="00C108FF">
        <w:rPr>
          <w:lang w:val="fr-FR"/>
        </w:rPr>
        <w:t>3.</w:t>
      </w:r>
      <w:r w:rsidRPr="00C108FF">
        <w:rPr>
          <w:lang w:val="fr-FR"/>
        </w:rPr>
        <w:tab/>
        <w:t>Règlement ONU n</w:t>
      </w:r>
      <w:r w:rsidRPr="00C108FF">
        <w:rPr>
          <w:vertAlign w:val="superscript"/>
          <w:lang w:val="fr-FR"/>
        </w:rPr>
        <w:t>o</w:t>
      </w:r>
      <w:r w:rsidR="00C108FF">
        <w:rPr>
          <w:lang w:val="fr-FR"/>
        </w:rPr>
        <w:t> </w:t>
      </w:r>
      <w:r w:rsidRPr="00C108FF">
        <w:rPr>
          <w:lang w:val="fr-FR"/>
        </w:rPr>
        <w:t>41 (Bruit émis par les motocycles)</w:t>
      </w:r>
      <w:r w:rsidR="00C108FF">
        <w:rPr>
          <w:lang w:val="fr-FR"/>
        </w:rPr>
        <w:t> </w:t>
      </w:r>
      <w:r w:rsidRPr="00C108FF">
        <w:rPr>
          <w:lang w:val="fr-FR"/>
        </w:rPr>
        <w:t>: Extension.</w:t>
      </w:r>
    </w:p>
    <w:p w:rsidR="00A02511" w:rsidRPr="00C108FF" w:rsidRDefault="002A74B0" w:rsidP="00C108FF">
      <w:pPr>
        <w:pStyle w:val="SingleTxtG"/>
        <w:ind w:left="1701" w:hanging="567"/>
      </w:pPr>
      <w:r w:rsidRPr="00C108FF">
        <w:rPr>
          <w:lang w:val="fr-FR"/>
        </w:rPr>
        <w:t>4.</w:t>
      </w:r>
      <w:r w:rsidRPr="00C108FF">
        <w:rPr>
          <w:lang w:val="fr-FR"/>
        </w:rPr>
        <w:tab/>
        <w:t>Règlement ONU n</w:t>
      </w:r>
      <w:r w:rsidRPr="00C108FF">
        <w:rPr>
          <w:vertAlign w:val="superscript"/>
          <w:lang w:val="fr-FR"/>
        </w:rPr>
        <w:t>o</w:t>
      </w:r>
      <w:r w:rsidR="00C108FF">
        <w:rPr>
          <w:lang w:val="fr-FR"/>
        </w:rPr>
        <w:t> </w:t>
      </w:r>
      <w:r w:rsidRPr="00C108FF">
        <w:rPr>
          <w:lang w:val="fr-FR"/>
        </w:rPr>
        <w:t>51 (Bruit des véhicules des catégories M et N)</w:t>
      </w:r>
      <w:r w:rsidR="00C108FF">
        <w:rPr>
          <w:lang w:val="fr-FR"/>
        </w:rPr>
        <w:t> </w:t>
      </w:r>
      <w:r w:rsidRPr="00C108FF">
        <w:rPr>
          <w:lang w:val="fr-FR"/>
        </w:rPr>
        <w:t>:</w:t>
      </w:r>
    </w:p>
    <w:p w:rsidR="00A02511" w:rsidRPr="00C108FF" w:rsidRDefault="00C108FF" w:rsidP="00C108FF">
      <w:pPr>
        <w:pStyle w:val="SingleTxtG"/>
        <w:ind w:left="1701" w:hanging="567"/>
      </w:pPr>
      <w:r>
        <w:rPr>
          <w:lang w:val="fr-FR"/>
        </w:rPr>
        <w:tab/>
        <w:t>a)</w:t>
      </w:r>
      <w:r>
        <w:rPr>
          <w:lang w:val="fr-FR"/>
        </w:rPr>
        <w:tab/>
        <w:t>Extension </w:t>
      </w:r>
      <w:r w:rsidR="002A74B0" w:rsidRPr="00C108FF">
        <w:rPr>
          <w:lang w:val="fr-FR"/>
        </w:rPr>
        <w:t>;</w:t>
      </w:r>
    </w:p>
    <w:p w:rsidR="00A02511" w:rsidRPr="00C108FF" w:rsidRDefault="002A74B0" w:rsidP="00C108FF">
      <w:pPr>
        <w:pStyle w:val="SingleTxtG"/>
        <w:ind w:left="1701" w:hanging="567"/>
      </w:pPr>
      <w:r w:rsidRPr="00C108FF">
        <w:rPr>
          <w:lang w:val="fr-FR"/>
        </w:rPr>
        <w:tab/>
        <w:t>b)</w:t>
      </w:r>
      <w:r w:rsidRPr="00C108FF">
        <w:rPr>
          <w:lang w:val="fr-FR"/>
        </w:rPr>
        <w:tab/>
        <w:t>Prescriptions supplémentaires concernant les émissions sonores.</w:t>
      </w:r>
    </w:p>
    <w:p w:rsidR="00A02511" w:rsidRPr="00C108FF" w:rsidRDefault="002A74B0" w:rsidP="00C108FF">
      <w:pPr>
        <w:pStyle w:val="SingleTxtG"/>
        <w:ind w:left="1701" w:hanging="567"/>
      </w:pPr>
      <w:r w:rsidRPr="00C108FF">
        <w:rPr>
          <w:lang w:val="fr-FR"/>
        </w:rPr>
        <w:t>5.</w:t>
      </w:r>
      <w:r w:rsidRPr="00C108FF">
        <w:rPr>
          <w:lang w:val="fr-FR"/>
        </w:rPr>
        <w:tab/>
        <w:t>Règlement ONU n</w:t>
      </w:r>
      <w:r w:rsidRPr="00C108FF">
        <w:rPr>
          <w:vertAlign w:val="superscript"/>
          <w:lang w:val="fr-FR"/>
        </w:rPr>
        <w:t>o</w:t>
      </w:r>
      <w:r w:rsidR="00C108FF">
        <w:rPr>
          <w:lang w:val="fr-FR"/>
        </w:rPr>
        <w:t> </w:t>
      </w:r>
      <w:r w:rsidRPr="00C108FF">
        <w:rPr>
          <w:lang w:val="fr-FR"/>
        </w:rPr>
        <w:t>92 (Dispositifs silencieux d</w:t>
      </w:r>
      <w:r w:rsidR="00C108FF">
        <w:rPr>
          <w:lang w:val="fr-FR"/>
        </w:rPr>
        <w:t>’</w:t>
      </w:r>
      <w:r w:rsidRPr="00C108FF">
        <w:rPr>
          <w:lang w:val="fr-FR"/>
        </w:rPr>
        <w:t>échappement de remplacement pour motocycles).</w:t>
      </w:r>
    </w:p>
    <w:p w:rsidR="00A02511" w:rsidRPr="00C108FF" w:rsidRDefault="002A74B0" w:rsidP="00C108FF">
      <w:pPr>
        <w:pStyle w:val="SingleTxtG"/>
        <w:ind w:left="1701" w:hanging="567"/>
      </w:pPr>
      <w:r w:rsidRPr="00C108FF">
        <w:rPr>
          <w:lang w:val="fr-FR"/>
        </w:rPr>
        <w:t>6.</w:t>
      </w:r>
      <w:r w:rsidRPr="00C108FF">
        <w:rPr>
          <w:lang w:val="fr-FR"/>
        </w:rPr>
        <w:tab/>
        <w:t>Règlement ONU n</w:t>
      </w:r>
      <w:r w:rsidRPr="00C108FF">
        <w:rPr>
          <w:vertAlign w:val="superscript"/>
          <w:lang w:val="fr-FR"/>
        </w:rPr>
        <w:t>o</w:t>
      </w:r>
      <w:r w:rsidR="00C108FF">
        <w:rPr>
          <w:lang w:val="fr-FR"/>
        </w:rPr>
        <w:t> </w:t>
      </w:r>
      <w:r w:rsidR="00365249">
        <w:rPr>
          <w:lang w:val="fr-FR"/>
        </w:rPr>
        <w:t>117 (Pneumatiques −</w:t>
      </w:r>
      <w:r w:rsidR="00C108FF">
        <w:rPr>
          <w:lang w:val="fr-FR"/>
        </w:rPr>
        <w:t> </w:t>
      </w:r>
      <w:r w:rsidRPr="00C108FF">
        <w:rPr>
          <w:lang w:val="fr-FR"/>
        </w:rPr>
        <w:t>Résistance au roulement, bruit de roulement et adhérence sur sol mouillé).</w:t>
      </w:r>
    </w:p>
    <w:p w:rsidR="00A02511" w:rsidRPr="00C108FF" w:rsidRDefault="002A74B0" w:rsidP="00C108FF">
      <w:pPr>
        <w:pStyle w:val="SingleTxtG"/>
        <w:ind w:left="1701" w:hanging="567"/>
      </w:pPr>
      <w:r w:rsidRPr="00C108FF">
        <w:rPr>
          <w:lang w:val="fr-FR"/>
        </w:rPr>
        <w:t>7.</w:t>
      </w:r>
      <w:r w:rsidRPr="00C108FF">
        <w:rPr>
          <w:lang w:val="fr-FR"/>
        </w:rPr>
        <w:tab/>
        <w:t>Règlement ONU n</w:t>
      </w:r>
      <w:r w:rsidRPr="00C108FF">
        <w:rPr>
          <w:vertAlign w:val="superscript"/>
          <w:lang w:val="fr-FR"/>
        </w:rPr>
        <w:t>o</w:t>
      </w:r>
      <w:r w:rsidR="00C108FF">
        <w:rPr>
          <w:lang w:val="fr-FR"/>
        </w:rPr>
        <w:t> </w:t>
      </w:r>
      <w:r w:rsidRPr="00C108FF">
        <w:rPr>
          <w:lang w:val="fr-FR"/>
        </w:rPr>
        <w:t>138 (Véhicules à moteur silencieux)</w:t>
      </w:r>
      <w:r w:rsidRPr="00C108FF">
        <w:t xml:space="preserve">. </w:t>
      </w:r>
    </w:p>
    <w:p w:rsidR="00A02511" w:rsidRPr="00C108FF" w:rsidRDefault="002A74B0" w:rsidP="00C108FF">
      <w:pPr>
        <w:pStyle w:val="SingleTxtG"/>
        <w:ind w:left="1701" w:hanging="567"/>
      </w:pPr>
      <w:r w:rsidRPr="00C108FF">
        <w:rPr>
          <w:lang w:val="fr-FR"/>
        </w:rPr>
        <w:t>8.</w:t>
      </w:r>
      <w:r w:rsidRPr="00C108FF">
        <w:rPr>
          <w:lang w:val="fr-FR"/>
        </w:rPr>
        <w:tab/>
        <w:t xml:space="preserve">Projet de Règlement ONU sur les avertisseurs de marche arrière. </w:t>
      </w:r>
    </w:p>
    <w:p w:rsidR="00A02511" w:rsidRPr="00C108FF" w:rsidRDefault="002A74B0" w:rsidP="00C108FF">
      <w:pPr>
        <w:pStyle w:val="SingleTxtG"/>
        <w:ind w:left="1701" w:hanging="567"/>
      </w:pPr>
      <w:r w:rsidRPr="00C108FF">
        <w:rPr>
          <w:lang w:val="fr-FR"/>
        </w:rPr>
        <w:t>9.</w:t>
      </w:r>
      <w:r w:rsidRPr="00C108FF">
        <w:rPr>
          <w:lang w:val="fr-FR"/>
        </w:rPr>
        <w:tab/>
        <w:t>Amendements collectifs.</w:t>
      </w:r>
    </w:p>
    <w:p w:rsidR="00A02511" w:rsidRPr="00C108FF" w:rsidRDefault="002A74B0" w:rsidP="00C108FF">
      <w:pPr>
        <w:pStyle w:val="SingleTxtG"/>
        <w:ind w:left="1701" w:hanging="567"/>
      </w:pPr>
      <w:r w:rsidRPr="00C108FF">
        <w:rPr>
          <w:lang w:val="fr-FR"/>
        </w:rPr>
        <w:t>10.</w:t>
      </w:r>
      <w:r w:rsidRPr="00C108FF">
        <w:rPr>
          <w:lang w:val="fr-FR"/>
        </w:rPr>
        <w:tab/>
        <w:t>Échange d</w:t>
      </w:r>
      <w:r w:rsidR="00C108FF">
        <w:rPr>
          <w:lang w:val="fr-FR"/>
        </w:rPr>
        <w:t>’</w:t>
      </w:r>
      <w:r w:rsidRPr="00C108FF">
        <w:rPr>
          <w:lang w:val="fr-FR"/>
        </w:rPr>
        <w:t>informations sur les prescriptions nationales et internationales en matière de niveau sonore.</w:t>
      </w:r>
    </w:p>
    <w:p w:rsidR="00A02511" w:rsidRPr="00C108FF" w:rsidRDefault="002A74B0" w:rsidP="00C108FF">
      <w:pPr>
        <w:pStyle w:val="SingleTxtG"/>
        <w:ind w:left="1701" w:hanging="567"/>
      </w:pPr>
      <w:r w:rsidRPr="00C108FF">
        <w:rPr>
          <w:lang w:val="fr-FR"/>
        </w:rPr>
        <w:t>11.</w:t>
      </w:r>
      <w:r w:rsidRPr="00C108FF">
        <w:rPr>
          <w:lang w:val="fr-FR"/>
        </w:rPr>
        <w:tab/>
        <w:t>Incidence du revêtement de la route sur le bruit de roulement des pneumatiques.</w:t>
      </w:r>
    </w:p>
    <w:p w:rsidR="00A02511" w:rsidRPr="00C108FF" w:rsidRDefault="002A74B0" w:rsidP="00C108FF">
      <w:pPr>
        <w:pStyle w:val="SingleTxtG"/>
        <w:ind w:left="1701" w:hanging="567"/>
      </w:pPr>
      <w:r w:rsidRPr="00C108FF">
        <w:rPr>
          <w:lang w:val="fr-FR"/>
        </w:rPr>
        <w:t>12.</w:t>
      </w:r>
      <w:r w:rsidRPr="00C108FF">
        <w:rPr>
          <w:lang w:val="fr-FR"/>
        </w:rPr>
        <w:tab/>
        <w:t>Propositions d</w:t>
      </w:r>
      <w:r w:rsidR="00C108FF">
        <w:rPr>
          <w:lang w:val="fr-FR"/>
        </w:rPr>
        <w:t>’</w:t>
      </w:r>
      <w:r w:rsidRPr="00C108FF">
        <w:rPr>
          <w:lang w:val="fr-FR"/>
        </w:rPr>
        <w:t>amendements à la Résolution d</w:t>
      </w:r>
      <w:r w:rsidR="00C108FF">
        <w:rPr>
          <w:lang w:val="fr-FR"/>
        </w:rPr>
        <w:t>’</w:t>
      </w:r>
      <w:r w:rsidRPr="00C108FF">
        <w:rPr>
          <w:lang w:val="fr-FR"/>
        </w:rPr>
        <w:t>ensemble sur la construction des véhicules.</w:t>
      </w:r>
    </w:p>
    <w:p w:rsidR="00A02511" w:rsidRPr="00C108FF" w:rsidRDefault="002A74B0" w:rsidP="00C108FF">
      <w:pPr>
        <w:pStyle w:val="SingleTxtG"/>
        <w:ind w:left="1701" w:hanging="567"/>
      </w:pPr>
      <w:r w:rsidRPr="00C108FF">
        <w:rPr>
          <w:lang w:val="fr-FR"/>
        </w:rPr>
        <w:t>13.</w:t>
      </w:r>
      <w:r w:rsidRPr="00C108FF">
        <w:rPr>
          <w:lang w:val="fr-FR"/>
        </w:rPr>
        <w:tab/>
        <w:t>Mise au point d</w:t>
      </w:r>
      <w:r w:rsidR="00C108FF">
        <w:rPr>
          <w:lang w:val="fr-FR"/>
        </w:rPr>
        <w:t>’</w:t>
      </w:r>
      <w:r w:rsidRPr="00C108FF">
        <w:rPr>
          <w:lang w:val="fr-FR"/>
        </w:rPr>
        <w:t>une homologation de type internationale de l</w:t>
      </w:r>
      <w:r w:rsidR="00C108FF">
        <w:rPr>
          <w:lang w:val="fr-FR"/>
        </w:rPr>
        <w:t>’</w:t>
      </w:r>
      <w:r w:rsidRPr="00C108FF">
        <w:rPr>
          <w:lang w:val="fr-FR"/>
        </w:rPr>
        <w:t>ensemble du véhicule et participation des groupes de travail à cette mise au point</w:t>
      </w:r>
      <w:r w:rsidR="0019565C">
        <w:rPr>
          <w:lang w:val="fr-FR"/>
        </w:rPr>
        <w:t>.</w:t>
      </w:r>
    </w:p>
    <w:p w:rsidR="00A02511" w:rsidRPr="00C108FF" w:rsidRDefault="002A74B0" w:rsidP="00C108FF">
      <w:pPr>
        <w:pStyle w:val="SingleTxtG"/>
        <w:ind w:left="1701" w:hanging="567"/>
      </w:pPr>
      <w:r w:rsidRPr="00C108FF">
        <w:rPr>
          <w:lang w:val="fr-FR"/>
        </w:rPr>
        <w:t>14.</w:t>
      </w:r>
      <w:r w:rsidRPr="00C108FF">
        <w:rPr>
          <w:lang w:val="fr-FR"/>
        </w:rPr>
        <w:tab/>
        <w:t xml:space="preserve">Points à retenir des sessions de mars et juin 2018 du WP.29 et </w:t>
      </w:r>
      <w:r w:rsidRPr="00C108FF">
        <w:rPr>
          <w:bCs/>
          <w:lang w:val="fr-FR"/>
        </w:rPr>
        <w:t>réorganisation de ses groupes de travail</w:t>
      </w:r>
      <w:r w:rsidRPr="00C108FF">
        <w:rPr>
          <w:lang w:val="fr-FR"/>
        </w:rPr>
        <w:t>.</w:t>
      </w:r>
    </w:p>
    <w:p w:rsidR="00A02511" w:rsidRPr="00C108FF" w:rsidRDefault="002A74B0" w:rsidP="00C108FF">
      <w:pPr>
        <w:pStyle w:val="SingleTxtG"/>
        <w:ind w:left="1701" w:hanging="567"/>
      </w:pPr>
      <w:r w:rsidRPr="00C108FF">
        <w:rPr>
          <w:lang w:val="fr-FR"/>
        </w:rPr>
        <w:t>15.</w:t>
      </w:r>
      <w:r w:rsidRPr="00C108FF">
        <w:rPr>
          <w:lang w:val="fr-FR"/>
        </w:rPr>
        <w:tab/>
        <w:t>Échange de vues sur les travaux futurs du Groupe de travail du bruit (GRB).</w:t>
      </w:r>
    </w:p>
    <w:p w:rsidR="00A02511" w:rsidRPr="00C108FF" w:rsidRDefault="002A74B0" w:rsidP="00C108FF">
      <w:pPr>
        <w:pStyle w:val="SingleTxtG"/>
        <w:ind w:left="1701" w:hanging="567"/>
      </w:pPr>
      <w:r w:rsidRPr="00C108FF">
        <w:rPr>
          <w:lang w:val="fr-FR"/>
        </w:rPr>
        <w:t>16.</w:t>
      </w:r>
      <w:r w:rsidRPr="00C108FF">
        <w:rPr>
          <w:lang w:val="fr-FR"/>
        </w:rPr>
        <w:tab/>
        <w:t>Questions diverses.</w:t>
      </w:r>
    </w:p>
    <w:p w:rsidR="00A02511" w:rsidRPr="00C108FF" w:rsidRDefault="002A74B0" w:rsidP="00C108FF">
      <w:pPr>
        <w:pStyle w:val="SingleTxtG"/>
        <w:ind w:left="1701" w:hanging="567"/>
      </w:pPr>
      <w:r w:rsidRPr="00C108FF">
        <w:rPr>
          <w:lang w:val="fr-FR"/>
        </w:rPr>
        <w:t>17.</w:t>
      </w:r>
      <w:r w:rsidRPr="00C108FF">
        <w:rPr>
          <w:lang w:val="fr-FR"/>
        </w:rPr>
        <w:tab/>
        <w:t>Ordre du jour provisoire de la soixante-neuvième session.</w:t>
      </w:r>
    </w:p>
    <w:p w:rsidR="00A02511" w:rsidRPr="00C108FF" w:rsidRDefault="002A74B0" w:rsidP="00C108FF">
      <w:pPr>
        <w:pStyle w:val="SingleTxtG"/>
        <w:ind w:left="1701" w:hanging="567"/>
      </w:pPr>
      <w:r w:rsidRPr="00C108FF">
        <w:rPr>
          <w:lang w:val="fr-FR"/>
        </w:rPr>
        <w:t>18.</w:t>
      </w:r>
      <w:r w:rsidRPr="00C108FF">
        <w:rPr>
          <w:lang w:val="fr-FR"/>
        </w:rPr>
        <w:tab/>
        <w:t>Élection du Bureau.</w:t>
      </w:r>
    </w:p>
    <w:p w:rsidR="00A02511" w:rsidRPr="00C108FF" w:rsidRDefault="00C108FF" w:rsidP="00C108FF">
      <w:pPr>
        <w:pStyle w:val="HChG"/>
      </w:pPr>
      <w:r>
        <w:rPr>
          <w:lang w:val="fr-FR"/>
        </w:rPr>
        <w:tab/>
      </w:r>
      <w:r w:rsidR="002A74B0" w:rsidRPr="00C108FF">
        <w:rPr>
          <w:lang w:val="fr-FR"/>
        </w:rPr>
        <w:t>II.</w:t>
      </w:r>
      <w:r w:rsidR="002A74B0" w:rsidRPr="00C108FF">
        <w:rPr>
          <w:lang w:val="fr-FR"/>
        </w:rPr>
        <w:tab/>
        <w:t>Annotations</w:t>
      </w:r>
    </w:p>
    <w:p w:rsidR="00A02511" w:rsidRPr="00C108FF" w:rsidRDefault="00C108FF" w:rsidP="00C108FF">
      <w:pPr>
        <w:pStyle w:val="H1G"/>
      </w:pPr>
      <w:r>
        <w:rPr>
          <w:lang w:val="fr-FR"/>
        </w:rPr>
        <w:tab/>
      </w:r>
      <w:r w:rsidR="002A74B0" w:rsidRPr="00C108FF">
        <w:rPr>
          <w:lang w:val="fr-FR"/>
        </w:rPr>
        <w:t>1.</w:t>
      </w:r>
      <w:r w:rsidR="002A74B0" w:rsidRPr="00C108FF">
        <w:rPr>
          <w:lang w:val="fr-FR"/>
        </w:rPr>
        <w:tab/>
        <w:t>Adoption de l</w:t>
      </w:r>
      <w:r>
        <w:rPr>
          <w:lang w:val="fr-FR"/>
        </w:rPr>
        <w:t>’</w:t>
      </w:r>
      <w:r w:rsidR="002A74B0" w:rsidRPr="00C108FF">
        <w:rPr>
          <w:lang w:val="fr-FR"/>
        </w:rPr>
        <w:t>ordre du jour</w:t>
      </w:r>
    </w:p>
    <w:p w:rsidR="00A02511" w:rsidRPr="00C108FF" w:rsidRDefault="002A74B0" w:rsidP="00DF0329">
      <w:pPr>
        <w:pStyle w:val="SingleTxtG"/>
        <w:ind w:firstLine="567"/>
      </w:pPr>
      <w:r w:rsidRPr="00C108FF">
        <w:rPr>
          <w:lang w:val="fr-FR"/>
        </w:rPr>
        <w:t>Conformément à l</w:t>
      </w:r>
      <w:r w:rsidR="00C108FF">
        <w:rPr>
          <w:lang w:val="fr-FR"/>
        </w:rPr>
        <w:t>’</w:t>
      </w:r>
      <w:r w:rsidR="0019565C">
        <w:rPr>
          <w:lang w:val="fr-FR"/>
        </w:rPr>
        <w:t>article 7 du chapitre </w:t>
      </w:r>
      <w:r w:rsidRPr="00C108FF">
        <w:rPr>
          <w:lang w:val="fr-FR"/>
        </w:rPr>
        <w:t>III du Règlement intérieur (TRANS/WP.29/690, Amend.1 et 2) du Forum mondial de l</w:t>
      </w:r>
      <w:r w:rsidR="00C108FF">
        <w:rPr>
          <w:lang w:val="fr-FR"/>
        </w:rPr>
        <w:t>’</w:t>
      </w:r>
      <w:r w:rsidRPr="00C108FF">
        <w:rPr>
          <w:lang w:val="fr-FR"/>
        </w:rPr>
        <w:t>harmonisation des Règlements concernant les véhicules (WP.29), le premier point de l</w:t>
      </w:r>
      <w:r w:rsidR="00C108FF">
        <w:rPr>
          <w:lang w:val="fr-FR"/>
        </w:rPr>
        <w:t>’</w:t>
      </w:r>
      <w:r w:rsidRPr="00C108FF">
        <w:rPr>
          <w:lang w:val="fr-FR"/>
        </w:rPr>
        <w:t>ordre du jour provisoire est l</w:t>
      </w:r>
      <w:r w:rsidR="00C108FF">
        <w:rPr>
          <w:lang w:val="fr-FR"/>
        </w:rPr>
        <w:t>’</w:t>
      </w:r>
      <w:r w:rsidRPr="00C108FF">
        <w:rPr>
          <w:lang w:val="fr-FR"/>
        </w:rPr>
        <w:t>adoption de l</w:t>
      </w:r>
      <w:r w:rsidR="00C108FF">
        <w:rPr>
          <w:lang w:val="fr-FR"/>
        </w:rPr>
        <w:t>’</w:t>
      </w:r>
      <w:r w:rsidRPr="00C108FF">
        <w:rPr>
          <w:lang w:val="fr-FR"/>
        </w:rPr>
        <w:t>ordre du jour.</w:t>
      </w:r>
    </w:p>
    <w:p w:rsidR="00A02511" w:rsidRPr="00790C37" w:rsidRDefault="002A74B0" w:rsidP="00C108FF">
      <w:pPr>
        <w:pStyle w:val="SingleTxtG"/>
        <w:ind w:left="2552" w:hanging="1418"/>
        <w:rPr>
          <w:lang w:val="fr-FR"/>
        </w:rPr>
      </w:pPr>
      <w:r w:rsidRPr="00790C37">
        <w:rPr>
          <w:b/>
          <w:lang w:val="fr-FR"/>
        </w:rPr>
        <w:t>Document(s)</w:t>
      </w:r>
      <w:r w:rsidR="00C108FF" w:rsidRPr="00790C37">
        <w:rPr>
          <w:lang w:val="fr-FR"/>
        </w:rPr>
        <w:t> :</w:t>
      </w:r>
      <w:r w:rsidR="00C108FF" w:rsidRPr="00790C37">
        <w:rPr>
          <w:lang w:val="fr-FR"/>
        </w:rPr>
        <w:tab/>
      </w:r>
      <w:r w:rsidRPr="00C108FF">
        <w:rPr>
          <w:lang w:val="fr-FR"/>
        </w:rPr>
        <w:t>ECE/TRANS/WP.29/GRB/2018/5</w:t>
      </w:r>
    </w:p>
    <w:p w:rsidR="00A02511" w:rsidRPr="00C108FF" w:rsidRDefault="00C108FF" w:rsidP="00CE34F7">
      <w:pPr>
        <w:pStyle w:val="H1G"/>
      </w:pPr>
      <w:r>
        <w:rPr>
          <w:lang w:val="fr-FR"/>
        </w:rPr>
        <w:lastRenderedPageBreak/>
        <w:tab/>
      </w:r>
      <w:r w:rsidR="002A74B0" w:rsidRPr="00C108FF">
        <w:rPr>
          <w:lang w:val="fr-FR"/>
        </w:rPr>
        <w:t>2.</w:t>
      </w:r>
      <w:r w:rsidR="002A74B0" w:rsidRPr="00C108FF">
        <w:rPr>
          <w:lang w:val="fr-FR"/>
        </w:rPr>
        <w:tab/>
        <w:t>Règlement ONU n</w:t>
      </w:r>
      <w:r w:rsidR="002A74B0" w:rsidRPr="00C108FF">
        <w:rPr>
          <w:vertAlign w:val="superscript"/>
          <w:lang w:val="fr-FR"/>
        </w:rPr>
        <w:t>o</w:t>
      </w:r>
      <w:r w:rsidR="00365249">
        <w:rPr>
          <w:lang w:val="fr-FR"/>
        </w:rPr>
        <w:t> </w:t>
      </w:r>
      <w:r w:rsidR="002A74B0" w:rsidRPr="00C108FF">
        <w:rPr>
          <w:lang w:val="fr-FR"/>
        </w:rPr>
        <w:t xml:space="preserve">9 (Bruit des véhicules à trois roues) </w:t>
      </w:r>
    </w:p>
    <w:p w:rsidR="00A02511" w:rsidRPr="00C108FF" w:rsidRDefault="002A74B0" w:rsidP="00CE34F7">
      <w:pPr>
        <w:pStyle w:val="SingleTxtG"/>
        <w:keepNext/>
        <w:keepLines/>
        <w:ind w:firstLine="567"/>
      </w:pPr>
      <w:r w:rsidRPr="00C108FF">
        <w:rPr>
          <w:lang w:val="fr-FR"/>
        </w:rPr>
        <w:t>Le Groupe de travail est invité à examiner les propositions d</w:t>
      </w:r>
      <w:r w:rsidR="00C108FF">
        <w:rPr>
          <w:lang w:val="fr-FR"/>
        </w:rPr>
        <w:t>’</w:t>
      </w:r>
      <w:r w:rsidRPr="00C108FF">
        <w:rPr>
          <w:lang w:val="fr-FR"/>
        </w:rPr>
        <w:t>amendements soumises par l</w:t>
      </w:r>
      <w:r w:rsidR="00C108FF">
        <w:rPr>
          <w:lang w:val="fr-FR"/>
        </w:rPr>
        <w:t>’</w:t>
      </w:r>
      <w:r w:rsidRPr="00C108FF">
        <w:rPr>
          <w:lang w:val="fr-FR"/>
        </w:rPr>
        <w:t>expert de la Commission européenne, qui introduisent des prescriptions supplémentaires concernant les émissions sonores (PSES) pour les véhicules des catégories L</w:t>
      </w:r>
      <w:r w:rsidRPr="00C108FF">
        <w:rPr>
          <w:vertAlign w:val="subscript"/>
          <w:lang w:val="fr-FR"/>
        </w:rPr>
        <w:t>4</w:t>
      </w:r>
      <w:r w:rsidRPr="00C108FF">
        <w:rPr>
          <w:lang w:val="fr-FR"/>
        </w:rPr>
        <w:t xml:space="preserve"> et L</w:t>
      </w:r>
      <w:r w:rsidRPr="00C108FF">
        <w:rPr>
          <w:vertAlign w:val="subscript"/>
          <w:lang w:val="fr-FR"/>
        </w:rPr>
        <w:t>5</w:t>
      </w:r>
      <w:r w:rsidRPr="00C108FF">
        <w:rPr>
          <w:lang w:val="fr-FR"/>
        </w:rPr>
        <w:t xml:space="preserve"> dont le rapport puissance/masse</w:t>
      </w:r>
      <w:r w:rsidR="0019565C">
        <w:rPr>
          <w:lang w:val="fr-FR"/>
        </w:rPr>
        <w:t xml:space="preserve"> est supérieur à 50 W/kg.</w:t>
      </w:r>
    </w:p>
    <w:p w:rsidR="00A02511" w:rsidRPr="00C108FF" w:rsidRDefault="002A74B0" w:rsidP="00CE34F7">
      <w:pPr>
        <w:pStyle w:val="SingleTxtG"/>
        <w:keepNext/>
        <w:keepLines/>
        <w:ind w:left="2552" w:hanging="1418"/>
      </w:pPr>
      <w:r w:rsidRPr="00C108FF">
        <w:rPr>
          <w:b/>
          <w:bCs/>
          <w:lang w:val="fr-FR"/>
        </w:rPr>
        <w:t>Document(s)</w:t>
      </w:r>
      <w:r w:rsidR="00790C37">
        <w:rPr>
          <w:b/>
          <w:bCs/>
          <w:lang w:val="fr-FR"/>
        </w:rPr>
        <w:t> </w:t>
      </w:r>
      <w:r w:rsidR="00790C37">
        <w:rPr>
          <w:bCs/>
          <w:lang w:val="fr-FR"/>
        </w:rPr>
        <w:t>:</w:t>
      </w:r>
      <w:r w:rsidR="00790C37">
        <w:rPr>
          <w:bCs/>
          <w:lang w:val="fr-FR"/>
        </w:rPr>
        <w:tab/>
      </w:r>
      <w:r w:rsidR="00790C37">
        <w:rPr>
          <w:lang w:val="fr-FR"/>
        </w:rPr>
        <w:t>ECE/TRANS/WP.29/GRB/2018/7</w:t>
      </w:r>
    </w:p>
    <w:p w:rsidR="00A02511" w:rsidRPr="00C108FF" w:rsidRDefault="00C108FF" w:rsidP="00C108FF">
      <w:pPr>
        <w:pStyle w:val="H1G"/>
      </w:pPr>
      <w:r>
        <w:rPr>
          <w:lang w:val="fr-FR"/>
        </w:rPr>
        <w:tab/>
      </w:r>
      <w:r w:rsidR="002A74B0" w:rsidRPr="00C108FF">
        <w:rPr>
          <w:lang w:val="fr-FR"/>
        </w:rPr>
        <w:t>3.</w:t>
      </w:r>
      <w:r w:rsidR="002A74B0" w:rsidRPr="00C108FF">
        <w:rPr>
          <w:lang w:val="fr-FR"/>
        </w:rPr>
        <w:tab/>
        <w:t>Règlement ONU n</w:t>
      </w:r>
      <w:r w:rsidR="002A74B0" w:rsidRPr="00C108FF">
        <w:rPr>
          <w:vertAlign w:val="superscript"/>
          <w:lang w:val="fr-FR"/>
        </w:rPr>
        <w:t>o</w:t>
      </w:r>
      <w:r w:rsidR="00365249">
        <w:rPr>
          <w:lang w:val="fr-FR"/>
        </w:rPr>
        <w:t> </w:t>
      </w:r>
      <w:r w:rsidR="002A74B0" w:rsidRPr="00C108FF">
        <w:rPr>
          <w:lang w:val="fr-FR"/>
        </w:rPr>
        <w:t xml:space="preserve">41 </w:t>
      </w:r>
      <w:r w:rsidR="00365249">
        <w:rPr>
          <w:lang w:val="fr-FR"/>
        </w:rPr>
        <w:t>(Bruit émis par les motocycles) </w:t>
      </w:r>
      <w:r w:rsidR="002A74B0" w:rsidRPr="00C108FF">
        <w:rPr>
          <w:lang w:val="fr-FR"/>
        </w:rPr>
        <w:t>: Extension</w:t>
      </w:r>
    </w:p>
    <w:p w:rsidR="00A02511" w:rsidRPr="00C108FF" w:rsidRDefault="002A74B0" w:rsidP="00DF0329">
      <w:pPr>
        <w:pStyle w:val="SingleTxtG"/>
        <w:ind w:firstLine="567"/>
      </w:pPr>
      <w:r w:rsidRPr="00C108FF">
        <w:rPr>
          <w:lang w:val="fr-FR"/>
        </w:rPr>
        <w:t>Le Groupe de travail examinera les propositions d</w:t>
      </w:r>
      <w:r w:rsidR="00C108FF">
        <w:rPr>
          <w:lang w:val="fr-FR"/>
        </w:rPr>
        <w:t>’</w:t>
      </w:r>
      <w:r w:rsidRPr="00C108FF">
        <w:rPr>
          <w:lang w:val="fr-FR"/>
        </w:rPr>
        <w:t>amendements préparées par l</w:t>
      </w:r>
      <w:r w:rsidR="00C108FF">
        <w:rPr>
          <w:lang w:val="fr-FR"/>
        </w:rPr>
        <w:t>’</w:t>
      </w:r>
      <w:r w:rsidRPr="00C108FF">
        <w:rPr>
          <w:lang w:val="fr-FR"/>
        </w:rPr>
        <w:t>expert de l</w:t>
      </w:r>
      <w:r w:rsidR="00C108FF">
        <w:rPr>
          <w:lang w:val="fr-FR"/>
        </w:rPr>
        <w:t>’</w:t>
      </w:r>
      <w:r w:rsidRPr="00C108FF">
        <w:rPr>
          <w:lang w:val="fr-FR"/>
        </w:rPr>
        <w:t xml:space="preserve">Association internationale des constructeurs de motocycles (IMMA), rendant obligatoire le contrôle de conformité aux PSES. </w:t>
      </w:r>
    </w:p>
    <w:p w:rsidR="00A02511" w:rsidRPr="00790C37" w:rsidRDefault="002A74B0" w:rsidP="00790C37">
      <w:pPr>
        <w:pStyle w:val="SingleTxtG"/>
        <w:ind w:left="2552" w:hanging="1418"/>
        <w:rPr>
          <w:lang w:val="fr-FR"/>
        </w:rPr>
      </w:pPr>
      <w:r w:rsidRPr="00C108FF">
        <w:rPr>
          <w:b/>
          <w:bCs/>
          <w:lang w:val="fr-FR"/>
        </w:rPr>
        <w:t>Document(s)</w:t>
      </w:r>
      <w:r w:rsidR="00790C37">
        <w:rPr>
          <w:b/>
          <w:bCs/>
          <w:lang w:val="fr-FR"/>
        </w:rPr>
        <w:t> </w:t>
      </w:r>
      <w:r w:rsidR="00790C37">
        <w:rPr>
          <w:bCs/>
          <w:lang w:val="fr-FR"/>
        </w:rPr>
        <w:t xml:space="preserve">: </w:t>
      </w:r>
      <w:r w:rsidR="00790C37">
        <w:rPr>
          <w:bCs/>
          <w:lang w:val="fr-FR"/>
        </w:rPr>
        <w:tab/>
      </w:r>
      <w:r w:rsidRPr="00C108FF">
        <w:rPr>
          <w:lang w:val="fr-FR"/>
        </w:rPr>
        <w:t>ECE/TRANS/WP.29/GRB/2018/11</w:t>
      </w:r>
    </w:p>
    <w:p w:rsidR="00A02511" w:rsidRPr="00C108FF" w:rsidRDefault="00C108FF" w:rsidP="00C108FF">
      <w:pPr>
        <w:pStyle w:val="H1G"/>
      </w:pPr>
      <w:r>
        <w:rPr>
          <w:lang w:val="fr-FR"/>
        </w:rPr>
        <w:tab/>
      </w:r>
      <w:r w:rsidR="002A74B0" w:rsidRPr="00C108FF">
        <w:rPr>
          <w:lang w:val="fr-FR"/>
        </w:rPr>
        <w:t>4.</w:t>
      </w:r>
      <w:r w:rsidR="002A74B0" w:rsidRPr="00C108FF">
        <w:rPr>
          <w:lang w:val="fr-FR"/>
        </w:rPr>
        <w:tab/>
        <w:t>Règlement ONU n</w:t>
      </w:r>
      <w:r w:rsidR="002A74B0" w:rsidRPr="00C108FF">
        <w:rPr>
          <w:vertAlign w:val="superscript"/>
          <w:lang w:val="fr-FR"/>
        </w:rPr>
        <w:t>o</w:t>
      </w:r>
      <w:r w:rsidR="00790C37">
        <w:rPr>
          <w:lang w:val="fr-FR"/>
        </w:rPr>
        <w:t> </w:t>
      </w:r>
      <w:r w:rsidR="002A74B0" w:rsidRPr="00C108FF">
        <w:rPr>
          <w:lang w:val="fr-FR"/>
        </w:rPr>
        <w:t>51 (Bruit des véhicules des catégories M et N)</w:t>
      </w:r>
    </w:p>
    <w:p w:rsidR="00A02511" w:rsidRPr="00C108FF" w:rsidRDefault="00790C37" w:rsidP="00790C37">
      <w:pPr>
        <w:pStyle w:val="H23G"/>
      </w:pPr>
      <w:r>
        <w:rPr>
          <w:lang w:val="fr-FR"/>
        </w:rPr>
        <w:tab/>
      </w:r>
      <w:r w:rsidR="002A74B0" w:rsidRPr="00C108FF">
        <w:rPr>
          <w:lang w:val="fr-FR"/>
        </w:rPr>
        <w:t>a)</w:t>
      </w:r>
      <w:r w:rsidR="002A74B0" w:rsidRPr="00C108FF">
        <w:rPr>
          <w:lang w:val="fr-FR"/>
        </w:rPr>
        <w:tab/>
        <w:t>Extension</w:t>
      </w:r>
    </w:p>
    <w:p w:rsidR="00A02511" w:rsidRPr="00C108FF" w:rsidRDefault="002A74B0" w:rsidP="00DF0329">
      <w:pPr>
        <w:pStyle w:val="SingleTxtG"/>
        <w:ind w:firstLine="567"/>
      </w:pPr>
      <w:r w:rsidRPr="00C108FF">
        <w:rPr>
          <w:lang w:val="fr-FR"/>
        </w:rPr>
        <w:t>Le Groupe de travail examinera les propositions du groupe de travail informel des prescriptions supplémentaires concernant les émissions sonores afin de mettre à j</w:t>
      </w:r>
      <w:r w:rsidR="00365249">
        <w:rPr>
          <w:lang w:val="fr-FR"/>
        </w:rPr>
        <w:t>our et de réviser le complément </w:t>
      </w:r>
      <w:r w:rsidRPr="00C108FF">
        <w:rPr>
          <w:lang w:val="fr-FR"/>
        </w:rPr>
        <w:t>4 à la série 03 d</w:t>
      </w:r>
      <w:r w:rsidR="00C108FF">
        <w:rPr>
          <w:lang w:val="fr-FR"/>
        </w:rPr>
        <w:t>’</w:t>
      </w:r>
      <w:r w:rsidRPr="00C108FF">
        <w:rPr>
          <w:lang w:val="fr-FR"/>
        </w:rPr>
        <w:t>amendements au Règlement n</w:t>
      </w:r>
      <w:r w:rsidRPr="00C108FF">
        <w:rPr>
          <w:vertAlign w:val="superscript"/>
          <w:lang w:val="fr-FR"/>
        </w:rPr>
        <w:t>o</w:t>
      </w:r>
      <w:r w:rsidR="00CB4CE8">
        <w:rPr>
          <w:lang w:val="fr-FR"/>
        </w:rPr>
        <w:t> </w:t>
      </w:r>
      <w:r w:rsidRPr="00C108FF">
        <w:rPr>
          <w:lang w:val="fr-FR"/>
        </w:rPr>
        <w:t xml:space="preserve">51. </w:t>
      </w:r>
    </w:p>
    <w:p w:rsidR="00A02511" w:rsidRPr="00C108FF" w:rsidRDefault="002A74B0" w:rsidP="00790C37">
      <w:pPr>
        <w:pStyle w:val="SingleTxtG"/>
        <w:ind w:left="2552" w:hanging="1418"/>
      </w:pPr>
      <w:r w:rsidRPr="00C108FF">
        <w:rPr>
          <w:b/>
          <w:bCs/>
          <w:lang w:val="fr-FR"/>
        </w:rPr>
        <w:t>Document(s)</w:t>
      </w:r>
      <w:r w:rsidR="00790C37">
        <w:rPr>
          <w:b/>
          <w:bCs/>
          <w:lang w:val="fr-FR"/>
        </w:rPr>
        <w:t> </w:t>
      </w:r>
      <w:r w:rsidR="00790C37">
        <w:rPr>
          <w:bCs/>
          <w:lang w:val="fr-FR"/>
        </w:rPr>
        <w:t>:</w:t>
      </w:r>
      <w:r w:rsidR="00790C37">
        <w:rPr>
          <w:bCs/>
          <w:lang w:val="fr-FR"/>
        </w:rPr>
        <w:tab/>
      </w:r>
      <w:r w:rsidRPr="00C108FF">
        <w:rPr>
          <w:lang w:val="fr-FR"/>
        </w:rPr>
        <w:t>ECE/TRANS/WP.29/GRB/2018/10</w:t>
      </w:r>
    </w:p>
    <w:p w:rsidR="00A02511" w:rsidRPr="00C108FF" w:rsidRDefault="00790C37" w:rsidP="00790C37">
      <w:pPr>
        <w:pStyle w:val="H23G"/>
      </w:pPr>
      <w:r>
        <w:rPr>
          <w:lang w:val="fr-FR"/>
        </w:rPr>
        <w:tab/>
      </w:r>
      <w:r w:rsidR="002A74B0" w:rsidRPr="00C108FF">
        <w:rPr>
          <w:lang w:val="fr-FR"/>
        </w:rPr>
        <w:t>b)</w:t>
      </w:r>
      <w:r w:rsidR="002A74B0" w:rsidRPr="00C108FF">
        <w:rPr>
          <w:lang w:val="fr-FR"/>
        </w:rPr>
        <w:tab/>
        <w:t>Prescriptions supplémentaires concernant les émissions sonores</w:t>
      </w:r>
    </w:p>
    <w:p w:rsidR="00A02511" w:rsidRPr="00C108FF" w:rsidRDefault="002A74B0" w:rsidP="00DF0329">
      <w:pPr>
        <w:pStyle w:val="SingleTxtG"/>
        <w:ind w:firstLine="567"/>
      </w:pPr>
      <w:r w:rsidRPr="00C108FF">
        <w:rPr>
          <w:lang w:val="fr-FR"/>
        </w:rPr>
        <w:t xml:space="preserve">Le groupe de travail informel des prescriptions supplémentaires concernant les émissions sonores </w:t>
      </w:r>
      <w:r w:rsidR="00790C37">
        <w:rPr>
          <w:lang w:val="fr-FR"/>
        </w:rPr>
        <w:t>rendra compte de ses activités.</w:t>
      </w:r>
    </w:p>
    <w:p w:rsidR="00A02511" w:rsidRPr="00C108FF" w:rsidRDefault="00C108FF" w:rsidP="00C108FF">
      <w:pPr>
        <w:pStyle w:val="H1G"/>
      </w:pPr>
      <w:r>
        <w:rPr>
          <w:lang w:val="fr-FR"/>
        </w:rPr>
        <w:tab/>
      </w:r>
      <w:r w:rsidR="002A74B0" w:rsidRPr="00C108FF">
        <w:rPr>
          <w:lang w:val="fr-FR"/>
        </w:rPr>
        <w:t>5.</w:t>
      </w:r>
      <w:r w:rsidR="002A74B0" w:rsidRPr="00C108FF">
        <w:rPr>
          <w:lang w:val="fr-FR"/>
        </w:rPr>
        <w:tab/>
        <w:t>Règlement ONU n</w:t>
      </w:r>
      <w:r w:rsidR="002A74B0" w:rsidRPr="00C108FF">
        <w:rPr>
          <w:vertAlign w:val="superscript"/>
          <w:lang w:val="fr-FR"/>
        </w:rPr>
        <w:t>o</w:t>
      </w:r>
      <w:r w:rsidR="00790C37">
        <w:rPr>
          <w:lang w:val="fr-FR"/>
        </w:rPr>
        <w:t> </w:t>
      </w:r>
      <w:r w:rsidR="002A74B0" w:rsidRPr="00C108FF">
        <w:rPr>
          <w:lang w:val="fr-FR"/>
        </w:rPr>
        <w:t>92 (Dispositifs silencieux d</w:t>
      </w:r>
      <w:r>
        <w:rPr>
          <w:lang w:val="fr-FR"/>
        </w:rPr>
        <w:t>’</w:t>
      </w:r>
      <w:r w:rsidR="002A74B0" w:rsidRPr="00C108FF">
        <w:rPr>
          <w:lang w:val="fr-FR"/>
        </w:rPr>
        <w:t xml:space="preserve">échappement </w:t>
      </w:r>
      <w:r w:rsidR="00790C37">
        <w:rPr>
          <w:lang w:val="fr-FR"/>
        </w:rPr>
        <w:br/>
      </w:r>
      <w:r w:rsidR="002A74B0" w:rsidRPr="00C108FF">
        <w:rPr>
          <w:lang w:val="fr-FR"/>
        </w:rPr>
        <w:t>de remplacement pour motocycles)</w:t>
      </w:r>
    </w:p>
    <w:p w:rsidR="00A02511" w:rsidRPr="00C108FF" w:rsidRDefault="002A74B0" w:rsidP="00DF0329">
      <w:pPr>
        <w:pStyle w:val="SingleTxtG"/>
        <w:ind w:firstLine="567"/>
      </w:pPr>
      <w:r w:rsidRPr="00C108FF">
        <w:rPr>
          <w:lang w:val="fr-FR"/>
        </w:rPr>
        <w:t>Le Groupe de travail exa</w:t>
      </w:r>
      <w:r w:rsidR="00790C37">
        <w:rPr>
          <w:lang w:val="fr-FR"/>
        </w:rPr>
        <w:t>minera une proposition de série </w:t>
      </w:r>
      <w:r w:rsidRPr="00C108FF">
        <w:rPr>
          <w:lang w:val="fr-FR"/>
        </w:rPr>
        <w:t>02 d</w:t>
      </w:r>
      <w:r w:rsidR="00C108FF">
        <w:rPr>
          <w:lang w:val="fr-FR"/>
        </w:rPr>
        <w:t>’</w:t>
      </w:r>
      <w:r w:rsidRPr="00C108FF">
        <w:rPr>
          <w:lang w:val="fr-FR"/>
        </w:rPr>
        <w:t xml:space="preserve">amendements au Règlement </w:t>
      </w:r>
      <w:r w:rsidR="00E10036" w:rsidRPr="00E10036">
        <w:rPr>
          <w:rFonts w:eastAsia="MS Mincho"/>
          <w:lang w:val="fr-FR"/>
        </w:rPr>
        <w:t>n</w:t>
      </w:r>
      <w:r w:rsidR="00E10036" w:rsidRPr="00E10036">
        <w:rPr>
          <w:rFonts w:eastAsia="MS Mincho"/>
          <w:vertAlign w:val="superscript"/>
          <w:lang w:val="fr-FR"/>
        </w:rPr>
        <w:t>o</w:t>
      </w:r>
      <w:r w:rsidR="00E10036" w:rsidRPr="00E10036">
        <w:rPr>
          <w:lang w:val="fr-FR"/>
        </w:rPr>
        <w:t> </w:t>
      </w:r>
      <w:r w:rsidRPr="00C108FF">
        <w:rPr>
          <w:lang w:val="fr-FR"/>
        </w:rPr>
        <w:t>92 soumise par l</w:t>
      </w:r>
      <w:r w:rsidR="00C108FF">
        <w:rPr>
          <w:lang w:val="fr-FR"/>
        </w:rPr>
        <w:t>’</w:t>
      </w:r>
      <w:r w:rsidRPr="00C108FF">
        <w:rPr>
          <w:lang w:val="fr-FR"/>
        </w:rPr>
        <w:t>expert d</w:t>
      </w:r>
      <w:r w:rsidR="00C108FF">
        <w:rPr>
          <w:lang w:val="fr-FR"/>
        </w:rPr>
        <w:t>’</w:t>
      </w:r>
      <w:r w:rsidRPr="00C108FF">
        <w:rPr>
          <w:lang w:val="fr-FR"/>
        </w:rPr>
        <w:t>Allemagne.</w:t>
      </w:r>
    </w:p>
    <w:p w:rsidR="00A02511" w:rsidRPr="00790C37" w:rsidRDefault="002A74B0" w:rsidP="00790C37">
      <w:pPr>
        <w:pStyle w:val="SingleTxtG"/>
        <w:ind w:left="2552" w:hanging="1418"/>
        <w:rPr>
          <w:b/>
        </w:rPr>
      </w:pPr>
      <w:r w:rsidRPr="00C108FF">
        <w:rPr>
          <w:b/>
          <w:bCs/>
          <w:lang w:val="fr-FR"/>
        </w:rPr>
        <w:t>Document(s)</w:t>
      </w:r>
      <w:r w:rsidR="00790C37">
        <w:rPr>
          <w:b/>
          <w:bCs/>
          <w:lang w:val="fr-FR"/>
        </w:rPr>
        <w:t> </w:t>
      </w:r>
      <w:r w:rsidR="00790C37">
        <w:t>:</w:t>
      </w:r>
      <w:r w:rsidR="00790C37">
        <w:tab/>
      </w:r>
      <w:r w:rsidRPr="00C108FF">
        <w:rPr>
          <w:lang w:val="fr-FR"/>
        </w:rPr>
        <w:t>ECE/TRANS/WP.29/GRB/2018/6</w:t>
      </w:r>
    </w:p>
    <w:p w:rsidR="00A02511" w:rsidRPr="00C108FF" w:rsidRDefault="007E7369" w:rsidP="007E7369">
      <w:pPr>
        <w:pStyle w:val="H1G"/>
      </w:pPr>
      <w:r>
        <w:rPr>
          <w:lang w:val="fr-FR"/>
        </w:rPr>
        <w:tab/>
      </w:r>
      <w:r w:rsidR="002A74B0" w:rsidRPr="00C108FF">
        <w:rPr>
          <w:lang w:val="fr-FR"/>
        </w:rPr>
        <w:t>6.</w:t>
      </w:r>
      <w:r w:rsidR="002A74B0" w:rsidRPr="00C108FF">
        <w:rPr>
          <w:lang w:val="fr-FR"/>
        </w:rPr>
        <w:tab/>
        <w:t>Règlement ONU n</w:t>
      </w:r>
      <w:r w:rsidR="002A74B0" w:rsidRPr="00C108FF">
        <w:rPr>
          <w:vertAlign w:val="superscript"/>
          <w:lang w:val="fr-FR"/>
        </w:rPr>
        <w:t>o</w:t>
      </w:r>
      <w:r w:rsidR="00CB4CE8">
        <w:rPr>
          <w:lang w:val="fr-FR"/>
        </w:rPr>
        <w:t> </w:t>
      </w:r>
      <w:r w:rsidR="002A74B0" w:rsidRPr="00C108FF">
        <w:rPr>
          <w:lang w:val="fr-FR"/>
        </w:rPr>
        <w:t xml:space="preserve">117 (Pneumatiques − Résistance au roulement, bruit de roulement et adhérence sur sol mouillé) </w:t>
      </w:r>
    </w:p>
    <w:p w:rsidR="00A02511" w:rsidRPr="00C108FF" w:rsidRDefault="002A74B0" w:rsidP="00DF0329">
      <w:pPr>
        <w:pStyle w:val="SingleTxtG"/>
        <w:ind w:firstLine="567"/>
      </w:pPr>
      <w:r w:rsidRPr="00C108FF">
        <w:rPr>
          <w:lang w:val="fr-FR"/>
        </w:rPr>
        <w:t>Le Groupe de travail examinera de nouvelles p</w:t>
      </w:r>
      <w:r w:rsidR="00CB4CE8">
        <w:rPr>
          <w:lang w:val="fr-FR"/>
        </w:rPr>
        <w:t>ropositions, le cas échéant. Il </w:t>
      </w:r>
      <w:r w:rsidRPr="00C108FF">
        <w:rPr>
          <w:lang w:val="fr-FR"/>
        </w:rPr>
        <w:t>souhaitera peut-être aussi poursuivre l</w:t>
      </w:r>
      <w:r w:rsidR="00C108FF">
        <w:rPr>
          <w:lang w:val="fr-FR"/>
        </w:rPr>
        <w:t>’</w:t>
      </w:r>
      <w:r w:rsidRPr="00C108FF">
        <w:rPr>
          <w:lang w:val="fr-FR"/>
        </w:rPr>
        <w:t>examen de la question de la modification des valeurs limites énoncées dans le Règlement n</w:t>
      </w:r>
      <w:r w:rsidRPr="00C108FF">
        <w:rPr>
          <w:vertAlign w:val="superscript"/>
          <w:lang w:val="fr-FR"/>
        </w:rPr>
        <w:t>o</w:t>
      </w:r>
      <w:r w:rsidR="00790C37">
        <w:rPr>
          <w:lang w:val="fr-FR"/>
        </w:rPr>
        <w:t> </w:t>
      </w:r>
      <w:r w:rsidRPr="00C108FF">
        <w:rPr>
          <w:lang w:val="fr-FR"/>
        </w:rPr>
        <w:t>117.</w:t>
      </w:r>
    </w:p>
    <w:p w:rsidR="00A02511" w:rsidRPr="00C108FF" w:rsidRDefault="002A74B0" w:rsidP="00790C37">
      <w:pPr>
        <w:pStyle w:val="SingleTxtG"/>
        <w:ind w:left="2552" w:hanging="1418"/>
      </w:pPr>
      <w:r w:rsidRPr="00C108FF">
        <w:rPr>
          <w:b/>
          <w:bCs/>
          <w:lang w:val="fr-FR"/>
        </w:rPr>
        <w:t>Document(s)</w:t>
      </w:r>
      <w:r w:rsidR="00790C37">
        <w:rPr>
          <w:b/>
          <w:bCs/>
          <w:lang w:val="fr-FR"/>
        </w:rPr>
        <w:t> </w:t>
      </w:r>
      <w:r w:rsidR="00790C37">
        <w:rPr>
          <w:bCs/>
          <w:lang w:val="fr-FR"/>
        </w:rPr>
        <w:t>:</w:t>
      </w:r>
      <w:r w:rsidR="00790C37">
        <w:rPr>
          <w:bCs/>
          <w:lang w:val="fr-FR"/>
        </w:rPr>
        <w:tab/>
      </w:r>
      <w:r w:rsidR="00790C37">
        <w:rPr>
          <w:lang w:val="fr-FR"/>
        </w:rPr>
        <w:t>ECE/TRANS/WP.29/GRB/65, par. </w:t>
      </w:r>
      <w:r w:rsidRPr="00C108FF">
        <w:rPr>
          <w:lang w:val="fr-FR"/>
        </w:rPr>
        <w:t>15 à 17</w:t>
      </w:r>
    </w:p>
    <w:p w:rsidR="00A02511" w:rsidRPr="00C108FF" w:rsidRDefault="007E7369" w:rsidP="007E7369">
      <w:pPr>
        <w:pStyle w:val="H1G"/>
      </w:pPr>
      <w:r>
        <w:rPr>
          <w:lang w:val="fr-FR"/>
        </w:rPr>
        <w:tab/>
      </w:r>
      <w:r w:rsidR="002A74B0" w:rsidRPr="00C108FF">
        <w:rPr>
          <w:lang w:val="fr-FR"/>
        </w:rPr>
        <w:t>7.</w:t>
      </w:r>
      <w:r w:rsidR="002A74B0" w:rsidRPr="00C108FF">
        <w:rPr>
          <w:lang w:val="fr-FR"/>
        </w:rPr>
        <w:tab/>
        <w:t>Règlement ONU n</w:t>
      </w:r>
      <w:r w:rsidR="002A74B0" w:rsidRPr="00C108FF">
        <w:rPr>
          <w:vertAlign w:val="superscript"/>
          <w:lang w:val="fr-FR"/>
        </w:rPr>
        <w:t>o</w:t>
      </w:r>
      <w:r w:rsidR="00790C37">
        <w:rPr>
          <w:lang w:val="fr-FR"/>
        </w:rPr>
        <w:t> </w:t>
      </w:r>
      <w:r w:rsidR="002A74B0" w:rsidRPr="00C108FF">
        <w:rPr>
          <w:lang w:val="fr-FR"/>
        </w:rPr>
        <w:t xml:space="preserve">138 (Véhicules à moteur silencieux) </w:t>
      </w:r>
    </w:p>
    <w:p w:rsidR="00A02511" w:rsidRPr="00C108FF" w:rsidRDefault="002A74B0" w:rsidP="00DF0329">
      <w:pPr>
        <w:pStyle w:val="SingleTxtG"/>
        <w:ind w:firstLine="567"/>
      </w:pPr>
      <w:r w:rsidRPr="00C108FF">
        <w:rPr>
          <w:lang w:val="fr-FR"/>
        </w:rPr>
        <w:t xml:space="preserve">Le groupe de travail informel chargé du Règlement technique mondial sur les véhicules à moteur silencieux rendra compte de ses activités. </w:t>
      </w:r>
    </w:p>
    <w:p w:rsidR="00A02511" w:rsidRPr="00C108FF" w:rsidRDefault="002A74B0" w:rsidP="00DF0329">
      <w:pPr>
        <w:pStyle w:val="SingleTxtG"/>
        <w:ind w:firstLine="567"/>
      </w:pPr>
      <w:r w:rsidRPr="00C108FF">
        <w:rPr>
          <w:lang w:val="fr-FR"/>
        </w:rPr>
        <w:t>Le Groupe de travail souhaitera peut-être revenir sur les premières propositions présentées par l</w:t>
      </w:r>
      <w:r w:rsidR="00C108FF">
        <w:rPr>
          <w:lang w:val="fr-FR"/>
        </w:rPr>
        <w:t>’</w:t>
      </w:r>
      <w:r w:rsidRPr="00C108FF">
        <w:rPr>
          <w:lang w:val="fr-FR"/>
        </w:rPr>
        <w:t>expert de l</w:t>
      </w:r>
      <w:r w:rsidR="00C108FF">
        <w:rPr>
          <w:lang w:val="fr-FR"/>
        </w:rPr>
        <w:t>’</w:t>
      </w:r>
      <w:r w:rsidRPr="00C108FF">
        <w:rPr>
          <w:lang w:val="fr-FR"/>
        </w:rPr>
        <w:t>Organisation internationale des constructeurs d</w:t>
      </w:r>
      <w:r w:rsidR="00C108FF">
        <w:rPr>
          <w:lang w:val="fr-FR"/>
        </w:rPr>
        <w:t>’</w:t>
      </w:r>
      <w:r w:rsidRPr="00C108FF">
        <w:rPr>
          <w:lang w:val="fr-FR"/>
        </w:rPr>
        <w:t>automobiles (OICA), qui donnent des précisions sur l</w:t>
      </w:r>
      <w:r w:rsidR="00C108FF">
        <w:rPr>
          <w:lang w:val="fr-FR"/>
        </w:rPr>
        <w:t>’</w:t>
      </w:r>
      <w:r w:rsidR="00790C37">
        <w:rPr>
          <w:lang w:val="fr-FR"/>
        </w:rPr>
        <w:t>application de la série </w:t>
      </w:r>
      <w:r w:rsidRPr="00C108FF">
        <w:rPr>
          <w:lang w:val="fr-FR"/>
        </w:rPr>
        <w:t>01 d</w:t>
      </w:r>
      <w:r w:rsidR="00C108FF">
        <w:rPr>
          <w:lang w:val="fr-FR"/>
        </w:rPr>
        <w:t>’</w:t>
      </w:r>
      <w:r w:rsidRPr="00C108FF">
        <w:rPr>
          <w:lang w:val="fr-FR"/>
        </w:rPr>
        <w:t>amendements au Règlement ONU n</w:t>
      </w:r>
      <w:r w:rsidRPr="00C108FF">
        <w:rPr>
          <w:vertAlign w:val="superscript"/>
          <w:lang w:val="fr-FR"/>
        </w:rPr>
        <w:t>o</w:t>
      </w:r>
      <w:r w:rsidR="00790C37">
        <w:rPr>
          <w:lang w:val="fr-FR"/>
        </w:rPr>
        <w:t> </w:t>
      </w:r>
      <w:r w:rsidRPr="00C108FF">
        <w:rPr>
          <w:lang w:val="fr-FR"/>
        </w:rPr>
        <w:t xml:space="preserve">138 et portent modification de ses dispositions transitoires. </w:t>
      </w:r>
    </w:p>
    <w:p w:rsidR="00A02511" w:rsidRPr="00C108FF" w:rsidRDefault="002A74B0" w:rsidP="00790C37">
      <w:pPr>
        <w:pStyle w:val="SingleTxtG"/>
        <w:ind w:left="2552" w:hanging="1418"/>
      </w:pPr>
      <w:r w:rsidRPr="00C108FF">
        <w:rPr>
          <w:b/>
          <w:bCs/>
          <w:lang w:val="fr-FR"/>
        </w:rPr>
        <w:t>Document(s)</w:t>
      </w:r>
      <w:r w:rsidR="00790C37" w:rsidRPr="00790C37">
        <w:rPr>
          <w:bCs/>
          <w:lang w:val="fr-FR"/>
        </w:rPr>
        <w:t> :</w:t>
      </w:r>
      <w:r w:rsidR="00790C37">
        <w:rPr>
          <w:lang w:val="fr-FR"/>
        </w:rPr>
        <w:tab/>
      </w:r>
      <w:r w:rsidRPr="00C108FF">
        <w:rPr>
          <w:lang w:val="fr-FR"/>
        </w:rPr>
        <w:t>ECE/TRANS/WP.29/GRB/2017/7, document informel GRB-67-09</w:t>
      </w:r>
    </w:p>
    <w:p w:rsidR="00A02511" w:rsidRPr="00C108FF" w:rsidRDefault="007E7369" w:rsidP="007E7369">
      <w:pPr>
        <w:pStyle w:val="H1G"/>
      </w:pPr>
      <w:r>
        <w:rPr>
          <w:lang w:val="fr-FR"/>
        </w:rPr>
        <w:lastRenderedPageBreak/>
        <w:tab/>
      </w:r>
      <w:r w:rsidR="002A74B0" w:rsidRPr="00C108FF">
        <w:rPr>
          <w:lang w:val="fr-FR"/>
        </w:rPr>
        <w:t>8.</w:t>
      </w:r>
      <w:r w:rsidR="002A74B0" w:rsidRPr="00C108FF">
        <w:rPr>
          <w:lang w:val="fr-FR"/>
        </w:rPr>
        <w:tab/>
        <w:t>Projet de Règlement ONU sur les avertisseurs de marche arrière</w:t>
      </w:r>
    </w:p>
    <w:p w:rsidR="00A02511" w:rsidRPr="00C108FF" w:rsidRDefault="002A74B0" w:rsidP="00DF0329">
      <w:pPr>
        <w:pStyle w:val="SingleTxtG"/>
        <w:ind w:firstLine="567"/>
      </w:pPr>
      <w:r w:rsidRPr="00C108FF">
        <w:rPr>
          <w:lang w:val="fr-FR"/>
        </w:rPr>
        <w:t>Le Groupe de travail sera informé des activités de l</w:t>
      </w:r>
      <w:r w:rsidR="00C108FF">
        <w:rPr>
          <w:lang w:val="fr-FR"/>
        </w:rPr>
        <w:t>’</w:t>
      </w:r>
      <w:r w:rsidRPr="00C108FF">
        <w:rPr>
          <w:lang w:val="fr-FR"/>
        </w:rPr>
        <w:t>équipe spéciale chargée de l</w:t>
      </w:r>
      <w:r w:rsidR="00C108FF">
        <w:rPr>
          <w:lang w:val="fr-FR"/>
        </w:rPr>
        <w:t>’</w:t>
      </w:r>
      <w:r w:rsidRPr="00C108FF">
        <w:rPr>
          <w:lang w:val="fr-FR"/>
        </w:rPr>
        <w:t>élaboration d</w:t>
      </w:r>
      <w:r w:rsidR="00C108FF">
        <w:rPr>
          <w:lang w:val="fr-FR"/>
        </w:rPr>
        <w:t>’</w:t>
      </w:r>
      <w:r w:rsidRPr="00C108FF">
        <w:rPr>
          <w:lang w:val="fr-FR"/>
        </w:rPr>
        <w:t xml:space="preserve">un nouveau projet de Règlement ainsi que des progrès accomplis en la matière. </w:t>
      </w:r>
    </w:p>
    <w:p w:rsidR="00A02511" w:rsidRPr="00C108FF" w:rsidRDefault="002A74B0" w:rsidP="00790C37">
      <w:pPr>
        <w:pStyle w:val="SingleTxtG"/>
        <w:ind w:left="2552" w:hanging="1418"/>
      </w:pPr>
      <w:r w:rsidRPr="00C108FF">
        <w:rPr>
          <w:b/>
          <w:bCs/>
          <w:lang w:val="fr-FR"/>
        </w:rPr>
        <w:t>Document(s)</w:t>
      </w:r>
      <w:r w:rsidR="00790C37">
        <w:rPr>
          <w:b/>
          <w:bCs/>
          <w:lang w:val="fr-FR"/>
        </w:rPr>
        <w:t> </w:t>
      </w:r>
      <w:r w:rsidR="00790C37">
        <w:rPr>
          <w:bCs/>
          <w:lang w:val="fr-FR"/>
        </w:rPr>
        <w:t>:</w:t>
      </w:r>
      <w:r w:rsidR="00790C37">
        <w:rPr>
          <w:bCs/>
          <w:lang w:val="fr-FR"/>
        </w:rPr>
        <w:tab/>
      </w:r>
      <w:r w:rsidRPr="00C108FF">
        <w:rPr>
          <w:lang w:val="fr-FR"/>
        </w:rPr>
        <w:t>ECE/TRANS/WP.29/GRB/65, par.</w:t>
      </w:r>
      <w:r w:rsidR="00790C37">
        <w:rPr>
          <w:lang w:val="fr-FR"/>
        </w:rPr>
        <w:t> </w:t>
      </w:r>
      <w:r w:rsidRPr="00C108FF">
        <w:rPr>
          <w:lang w:val="fr-FR"/>
        </w:rPr>
        <w:t>19</w:t>
      </w:r>
    </w:p>
    <w:p w:rsidR="00A02511" w:rsidRPr="00C108FF" w:rsidRDefault="007E7369" w:rsidP="007E7369">
      <w:pPr>
        <w:pStyle w:val="H1G"/>
      </w:pPr>
      <w:r>
        <w:rPr>
          <w:lang w:val="fr-FR"/>
        </w:rPr>
        <w:tab/>
        <w:t>9.</w:t>
      </w:r>
      <w:r>
        <w:rPr>
          <w:lang w:val="fr-FR"/>
        </w:rPr>
        <w:tab/>
        <w:t>Amendements collectifs</w:t>
      </w:r>
    </w:p>
    <w:p w:rsidR="00A02511" w:rsidRPr="00C108FF" w:rsidRDefault="002A74B0" w:rsidP="00DF0329">
      <w:pPr>
        <w:pStyle w:val="SingleTxtG"/>
        <w:ind w:firstLine="567"/>
      </w:pPr>
      <w:r w:rsidRPr="00C108FF">
        <w:rPr>
          <w:lang w:val="fr-FR"/>
        </w:rPr>
        <w:t>Le Groupe de travail examinera de nouvelles propositi</w:t>
      </w:r>
      <w:r w:rsidR="00790C37">
        <w:rPr>
          <w:lang w:val="fr-FR"/>
        </w:rPr>
        <w:t>ons, le cas échéant.</w:t>
      </w:r>
    </w:p>
    <w:p w:rsidR="00A02511" w:rsidRPr="00C108FF" w:rsidRDefault="002A74B0" w:rsidP="007E7369">
      <w:pPr>
        <w:pStyle w:val="H1G"/>
      </w:pPr>
      <w:r w:rsidRPr="00C108FF">
        <w:rPr>
          <w:lang w:val="fr-FR"/>
        </w:rPr>
        <w:tab/>
        <w:t>10.</w:t>
      </w:r>
      <w:r w:rsidRPr="00C108FF">
        <w:rPr>
          <w:lang w:val="fr-FR"/>
        </w:rPr>
        <w:tab/>
        <w:t xml:space="preserve">Échange de renseignements sur les prescriptions nationales </w:t>
      </w:r>
      <w:r w:rsidR="00822470">
        <w:rPr>
          <w:lang w:val="fr-FR"/>
        </w:rPr>
        <w:br/>
      </w:r>
      <w:r w:rsidRPr="00C108FF">
        <w:rPr>
          <w:lang w:val="fr-FR"/>
        </w:rPr>
        <w:t>et internationales en matière de niveau sonore</w:t>
      </w:r>
    </w:p>
    <w:p w:rsidR="00A02511" w:rsidRPr="00C108FF" w:rsidRDefault="002A74B0" w:rsidP="00DF0329">
      <w:pPr>
        <w:pStyle w:val="SingleTxtG"/>
        <w:ind w:firstLine="567"/>
      </w:pPr>
      <w:r w:rsidRPr="00C108FF">
        <w:rPr>
          <w:lang w:val="fr-FR"/>
        </w:rPr>
        <w:t>Le Groupe de travail poursuivra l</w:t>
      </w:r>
      <w:r w:rsidR="00C108FF">
        <w:rPr>
          <w:lang w:val="fr-FR"/>
        </w:rPr>
        <w:t>’</w:t>
      </w:r>
      <w:r w:rsidRPr="00C108FF">
        <w:rPr>
          <w:lang w:val="fr-FR"/>
        </w:rPr>
        <w:t>échange de vues sur l</w:t>
      </w:r>
      <w:r w:rsidR="00C108FF">
        <w:rPr>
          <w:lang w:val="fr-FR"/>
        </w:rPr>
        <w:t>’</w:t>
      </w:r>
      <w:r w:rsidRPr="00C108FF">
        <w:rPr>
          <w:lang w:val="fr-FR"/>
        </w:rPr>
        <w:t>élaboration de législations nationales ou régionales et de prescriptions internationales en matière de niveau sonore.</w:t>
      </w:r>
    </w:p>
    <w:p w:rsidR="00A02511" w:rsidRPr="00C108FF" w:rsidRDefault="002A74B0" w:rsidP="0038690A">
      <w:pPr>
        <w:pStyle w:val="H1G"/>
      </w:pPr>
      <w:r w:rsidRPr="00C108FF">
        <w:rPr>
          <w:lang w:val="fr-FR"/>
        </w:rPr>
        <w:tab/>
        <w:t>11.</w:t>
      </w:r>
      <w:r w:rsidRPr="00C108FF">
        <w:rPr>
          <w:lang w:val="fr-FR"/>
        </w:rPr>
        <w:tab/>
        <w:t xml:space="preserve">Incidence du revêtement de la route sur le bruit de roulement </w:t>
      </w:r>
      <w:r w:rsidR="00822470">
        <w:rPr>
          <w:lang w:val="fr-FR"/>
        </w:rPr>
        <w:br/>
      </w:r>
      <w:r w:rsidRPr="00C108FF">
        <w:rPr>
          <w:lang w:val="fr-FR"/>
        </w:rPr>
        <w:t>des pneumatiques</w:t>
      </w:r>
    </w:p>
    <w:p w:rsidR="00A02511" w:rsidRPr="00C108FF" w:rsidRDefault="002A74B0" w:rsidP="00DF0329">
      <w:pPr>
        <w:pStyle w:val="SingleTxtG"/>
        <w:ind w:firstLine="567"/>
      </w:pPr>
      <w:r w:rsidRPr="00C108FF">
        <w:rPr>
          <w:lang w:val="fr-FR"/>
        </w:rPr>
        <w:t>Le Groupe de travail examinera un projet de résolution sur la labellisation des revêtements routiers établi par l</w:t>
      </w:r>
      <w:r w:rsidR="00C108FF">
        <w:rPr>
          <w:lang w:val="fr-FR"/>
        </w:rPr>
        <w:t>’</w:t>
      </w:r>
      <w:r w:rsidR="00790C37">
        <w:rPr>
          <w:lang w:val="fr-FR"/>
        </w:rPr>
        <w:t>expert des Pays-Bas.</w:t>
      </w:r>
    </w:p>
    <w:p w:rsidR="00A02511" w:rsidRPr="00C108FF" w:rsidRDefault="002A74B0" w:rsidP="00E611C0">
      <w:pPr>
        <w:pStyle w:val="SingleTxtG"/>
        <w:ind w:left="2552" w:hanging="1418"/>
        <w:jc w:val="left"/>
      </w:pPr>
      <w:r w:rsidRPr="00C108FF">
        <w:rPr>
          <w:b/>
          <w:bCs/>
          <w:lang w:val="fr-FR"/>
        </w:rPr>
        <w:t>Document(s)</w:t>
      </w:r>
      <w:r w:rsidR="00E611C0">
        <w:rPr>
          <w:b/>
          <w:bCs/>
          <w:lang w:val="fr-FR"/>
        </w:rPr>
        <w:t> </w:t>
      </w:r>
      <w:r w:rsidR="00E611C0">
        <w:rPr>
          <w:bCs/>
          <w:lang w:val="fr-FR"/>
        </w:rPr>
        <w:t xml:space="preserve">: </w:t>
      </w:r>
      <w:r w:rsidR="00E611C0">
        <w:rPr>
          <w:bCs/>
          <w:lang w:val="fr-FR"/>
        </w:rPr>
        <w:tab/>
      </w:r>
      <w:r w:rsidRPr="00C108FF">
        <w:rPr>
          <w:lang w:val="fr-FR"/>
        </w:rPr>
        <w:t>ECE/TRANS/WP.29/GRB/201</w:t>
      </w:r>
      <w:r w:rsidR="00E611C0">
        <w:rPr>
          <w:lang w:val="fr-FR"/>
        </w:rPr>
        <w:t>8/8, ECE/TRANS/WP.29/GRB/2018/9</w:t>
      </w:r>
    </w:p>
    <w:p w:rsidR="00A02511" w:rsidRPr="00C108FF" w:rsidRDefault="002A74B0" w:rsidP="0038690A">
      <w:pPr>
        <w:pStyle w:val="H1G"/>
      </w:pPr>
      <w:r w:rsidRPr="00C108FF">
        <w:rPr>
          <w:lang w:val="fr-FR"/>
        </w:rPr>
        <w:tab/>
        <w:t>12.</w:t>
      </w:r>
      <w:r w:rsidRPr="00C108FF">
        <w:rPr>
          <w:lang w:val="fr-FR"/>
        </w:rPr>
        <w:tab/>
        <w:t>Propositions d</w:t>
      </w:r>
      <w:r w:rsidR="00C108FF">
        <w:rPr>
          <w:lang w:val="fr-FR"/>
        </w:rPr>
        <w:t>’</w:t>
      </w:r>
      <w:r w:rsidRPr="00C108FF">
        <w:rPr>
          <w:lang w:val="fr-FR"/>
        </w:rPr>
        <w:t>amendements à la Résolution d</w:t>
      </w:r>
      <w:r w:rsidR="00C108FF">
        <w:rPr>
          <w:lang w:val="fr-FR"/>
        </w:rPr>
        <w:t>’</w:t>
      </w:r>
      <w:r w:rsidRPr="00C108FF">
        <w:rPr>
          <w:lang w:val="fr-FR"/>
        </w:rPr>
        <w:t xml:space="preserve">ensemble </w:t>
      </w:r>
      <w:r w:rsidR="00822470">
        <w:rPr>
          <w:lang w:val="fr-FR"/>
        </w:rPr>
        <w:br/>
      </w:r>
      <w:r w:rsidRPr="00C108FF">
        <w:rPr>
          <w:lang w:val="fr-FR"/>
        </w:rPr>
        <w:t>sur la construction des véhicules</w:t>
      </w:r>
    </w:p>
    <w:p w:rsidR="00A02511" w:rsidRPr="00C108FF" w:rsidRDefault="002A74B0" w:rsidP="00DF0329">
      <w:pPr>
        <w:pStyle w:val="SingleTxtG"/>
        <w:ind w:firstLine="567"/>
        <w:rPr>
          <w:bCs/>
        </w:rPr>
      </w:pPr>
      <w:r w:rsidRPr="00C108FF">
        <w:rPr>
          <w:lang w:val="fr-FR"/>
        </w:rPr>
        <w:t>Le Groupe de travail examinera de nouvelles proposit</w:t>
      </w:r>
      <w:r w:rsidR="0019565C">
        <w:rPr>
          <w:lang w:val="fr-FR"/>
        </w:rPr>
        <w:t>ions, le cas échéant.</w:t>
      </w:r>
    </w:p>
    <w:p w:rsidR="00A02511" w:rsidRPr="00C108FF" w:rsidRDefault="002A74B0" w:rsidP="0038690A">
      <w:pPr>
        <w:pStyle w:val="H1G"/>
      </w:pPr>
      <w:r w:rsidRPr="00C108FF">
        <w:rPr>
          <w:lang w:val="fr-FR"/>
        </w:rPr>
        <w:tab/>
        <w:t>13.</w:t>
      </w:r>
      <w:r w:rsidRPr="00C108FF">
        <w:rPr>
          <w:lang w:val="fr-FR"/>
        </w:rPr>
        <w:tab/>
        <w:t>Mise au point d</w:t>
      </w:r>
      <w:r w:rsidR="00C108FF">
        <w:rPr>
          <w:lang w:val="fr-FR"/>
        </w:rPr>
        <w:t>’</w:t>
      </w:r>
      <w:r w:rsidRPr="00C108FF">
        <w:rPr>
          <w:lang w:val="fr-FR"/>
        </w:rPr>
        <w:t>une homologation de type internationale de l</w:t>
      </w:r>
      <w:r w:rsidR="00C108FF">
        <w:rPr>
          <w:lang w:val="fr-FR"/>
        </w:rPr>
        <w:t>’</w:t>
      </w:r>
      <w:r w:rsidRPr="00C108FF">
        <w:rPr>
          <w:lang w:val="fr-FR"/>
        </w:rPr>
        <w:t>ensemble du véhicule</w:t>
      </w:r>
      <w:r w:rsidR="00CB4CE8">
        <w:rPr>
          <w:lang w:val="fr-FR"/>
        </w:rPr>
        <w:t xml:space="preserve"> </w:t>
      </w:r>
      <w:r w:rsidRPr="00C108FF">
        <w:rPr>
          <w:lang w:val="fr-FR"/>
        </w:rPr>
        <w:t>et participation des groupes de travail à cette mise au point</w:t>
      </w:r>
    </w:p>
    <w:p w:rsidR="00A02511" w:rsidRPr="00C108FF" w:rsidRDefault="002A74B0" w:rsidP="00DF0329">
      <w:pPr>
        <w:pStyle w:val="SingleTxtG"/>
        <w:ind w:firstLine="567"/>
      </w:pPr>
      <w:r w:rsidRPr="00C108FF">
        <w:rPr>
          <w:lang w:val="fr-FR"/>
        </w:rPr>
        <w:t>Le Groupe de travail voudra peut-être examiner cette question à la lumière des débats de la session de mars et de juin 2018 du WP.29. En particulier, il est attendu qu</w:t>
      </w:r>
      <w:r w:rsidR="00C108FF">
        <w:rPr>
          <w:lang w:val="fr-FR"/>
        </w:rPr>
        <w:t>’</w:t>
      </w:r>
      <w:r w:rsidRPr="00C108FF">
        <w:rPr>
          <w:lang w:val="fr-FR"/>
        </w:rPr>
        <w:t>il donne suite à la crainte, exprimée par le groupe de travail de la mise au point d</w:t>
      </w:r>
      <w:r w:rsidR="00C108FF">
        <w:rPr>
          <w:lang w:val="fr-FR"/>
        </w:rPr>
        <w:t>’</w:t>
      </w:r>
      <w:r w:rsidRPr="00C108FF">
        <w:rPr>
          <w:lang w:val="fr-FR"/>
        </w:rPr>
        <w:t>une homologation de type internationale de l</w:t>
      </w:r>
      <w:r w:rsidR="00C108FF">
        <w:rPr>
          <w:lang w:val="fr-FR"/>
        </w:rPr>
        <w:t>’</w:t>
      </w:r>
      <w:r w:rsidRPr="00C108FF">
        <w:rPr>
          <w:lang w:val="fr-FR"/>
        </w:rPr>
        <w:t>ensemble du véhicule</w:t>
      </w:r>
      <w:r w:rsidR="00CB4CE8">
        <w:rPr>
          <w:lang w:val="fr-FR"/>
        </w:rPr>
        <w:t xml:space="preserve"> (HTIEV)</w:t>
      </w:r>
      <w:r w:rsidRPr="00C108FF">
        <w:rPr>
          <w:lang w:val="fr-FR"/>
        </w:rPr>
        <w:t xml:space="preserve"> que le numéro d</w:t>
      </w:r>
      <w:r w:rsidR="00C108FF">
        <w:rPr>
          <w:lang w:val="fr-FR"/>
        </w:rPr>
        <w:t>’</w:t>
      </w:r>
      <w:r w:rsidRPr="00C108FF">
        <w:rPr>
          <w:lang w:val="fr-FR"/>
        </w:rPr>
        <w:t>homologation de type</w:t>
      </w:r>
      <w:r w:rsidR="00CB4CE8">
        <w:rPr>
          <w:lang w:val="fr-FR"/>
        </w:rPr>
        <w:t>, tel</w:t>
      </w:r>
      <w:r w:rsidRPr="00C108FF">
        <w:rPr>
          <w:lang w:val="fr-FR"/>
        </w:rPr>
        <w:t xml:space="preserve"> qu</w:t>
      </w:r>
      <w:r w:rsidR="00C108FF">
        <w:rPr>
          <w:lang w:val="fr-FR"/>
        </w:rPr>
        <w:t>’</w:t>
      </w:r>
      <w:r w:rsidRPr="00C108FF">
        <w:rPr>
          <w:lang w:val="fr-FR"/>
        </w:rPr>
        <w:t>il est défini dans le Règlement ONU n</w:t>
      </w:r>
      <w:r w:rsidRPr="00C108FF">
        <w:rPr>
          <w:vertAlign w:val="superscript"/>
          <w:lang w:val="fr-FR"/>
        </w:rPr>
        <w:t>o</w:t>
      </w:r>
      <w:r w:rsidR="00790C37">
        <w:rPr>
          <w:lang w:val="fr-FR"/>
        </w:rPr>
        <w:t> </w:t>
      </w:r>
      <w:r w:rsidRPr="00C108FF">
        <w:rPr>
          <w:lang w:val="fr-FR"/>
        </w:rPr>
        <w:t>117, ne soit pas entièrement conforme aux dispositions de l</w:t>
      </w:r>
      <w:r w:rsidR="00C108FF">
        <w:rPr>
          <w:lang w:val="fr-FR"/>
        </w:rPr>
        <w:t>’</w:t>
      </w:r>
      <w:r w:rsidR="00790C37">
        <w:rPr>
          <w:lang w:val="fr-FR"/>
        </w:rPr>
        <w:t>annexe </w:t>
      </w:r>
      <w:r w:rsidRPr="00C108FF">
        <w:rPr>
          <w:lang w:val="fr-FR"/>
        </w:rPr>
        <w:t>4 de l</w:t>
      </w:r>
      <w:r w:rsidR="00C108FF">
        <w:rPr>
          <w:lang w:val="fr-FR"/>
        </w:rPr>
        <w:t>’</w:t>
      </w:r>
      <w:r w:rsidRPr="00C108FF">
        <w:rPr>
          <w:lang w:val="fr-FR"/>
        </w:rPr>
        <w:t xml:space="preserve">Accord de 1958. </w:t>
      </w:r>
    </w:p>
    <w:p w:rsidR="00A02511" w:rsidRPr="00C108FF" w:rsidRDefault="002A74B0" w:rsidP="0019565C">
      <w:pPr>
        <w:pStyle w:val="SingleTxtG"/>
        <w:ind w:left="2552" w:hanging="1418"/>
        <w:jc w:val="left"/>
      </w:pPr>
      <w:r w:rsidRPr="00C108FF">
        <w:rPr>
          <w:b/>
          <w:bCs/>
          <w:lang w:val="fr-FR"/>
        </w:rPr>
        <w:t>Document(s)</w:t>
      </w:r>
      <w:r w:rsidR="0019565C">
        <w:rPr>
          <w:b/>
          <w:bCs/>
          <w:lang w:val="fr-FR"/>
        </w:rPr>
        <w:t> </w:t>
      </w:r>
      <w:r w:rsidR="0019565C">
        <w:rPr>
          <w:bCs/>
          <w:lang w:val="fr-FR"/>
        </w:rPr>
        <w:t>:</w:t>
      </w:r>
      <w:r w:rsidR="0019565C">
        <w:rPr>
          <w:bCs/>
          <w:lang w:val="fr-FR"/>
        </w:rPr>
        <w:tab/>
      </w:r>
      <w:r w:rsidR="00790C37">
        <w:rPr>
          <w:lang w:val="fr-FR"/>
        </w:rPr>
        <w:t>ECE/TRANS/WP.29/1139, par. </w:t>
      </w:r>
      <w:r w:rsidRPr="00C108FF">
        <w:rPr>
          <w:lang w:val="fr-FR"/>
        </w:rPr>
        <w:t>69, et document informe</w:t>
      </w:r>
      <w:r w:rsidR="00790C37">
        <w:rPr>
          <w:lang w:val="fr-FR"/>
        </w:rPr>
        <w:t>l WP.29-175-13</w:t>
      </w:r>
    </w:p>
    <w:p w:rsidR="00A02511" w:rsidRPr="00C108FF" w:rsidRDefault="002A74B0" w:rsidP="0038690A">
      <w:pPr>
        <w:pStyle w:val="H1G"/>
      </w:pPr>
      <w:r w:rsidRPr="00C108FF">
        <w:rPr>
          <w:lang w:val="fr-FR"/>
        </w:rPr>
        <w:tab/>
        <w:t>14.</w:t>
      </w:r>
      <w:r w:rsidRPr="00C108FF">
        <w:rPr>
          <w:lang w:val="fr-FR"/>
        </w:rPr>
        <w:tab/>
        <w:t>Points à retenir des sessions de mars et juin 2018 du WP.29</w:t>
      </w:r>
      <w:r w:rsidR="00822470">
        <w:rPr>
          <w:lang w:val="fr-FR"/>
        </w:rPr>
        <w:br/>
      </w:r>
      <w:r w:rsidRPr="00C108FF">
        <w:rPr>
          <w:lang w:val="fr-FR"/>
        </w:rPr>
        <w:t xml:space="preserve"> et réorganisation de ses groupes de travail</w:t>
      </w:r>
    </w:p>
    <w:p w:rsidR="00A02511" w:rsidRPr="00C108FF" w:rsidRDefault="002A74B0" w:rsidP="00DF0329">
      <w:pPr>
        <w:pStyle w:val="SingleTxtG"/>
        <w:ind w:firstLine="567"/>
        <w:rPr>
          <w:b/>
        </w:rPr>
      </w:pPr>
      <w:r w:rsidRPr="00C108FF">
        <w:rPr>
          <w:lang w:val="fr-FR"/>
        </w:rPr>
        <w:t>Le Groupe de travail sera informé par le secrétariat des points saillants des dernières sessions du WP.29 sur des questions qui le concernent et sur des questions communes</w:t>
      </w:r>
      <w:r w:rsidR="0038690A">
        <w:rPr>
          <w:lang w:val="fr-FR"/>
        </w:rPr>
        <w:t>.</w:t>
      </w:r>
    </w:p>
    <w:p w:rsidR="00A02511" w:rsidRPr="00C108FF" w:rsidRDefault="002A74B0" w:rsidP="00DF0329">
      <w:pPr>
        <w:pStyle w:val="SingleTxtG"/>
        <w:ind w:firstLine="567"/>
        <w:rPr>
          <w:b/>
        </w:rPr>
      </w:pPr>
      <w:r w:rsidRPr="00C108FF">
        <w:rPr>
          <w:lang w:val="fr-FR"/>
        </w:rPr>
        <w:t>Il sera également informé du fait que le Comité des transports intérieurs (CTI), à sa session de février 2018, a reconnu l</w:t>
      </w:r>
      <w:r w:rsidR="00C108FF">
        <w:rPr>
          <w:lang w:val="fr-FR"/>
        </w:rPr>
        <w:t>’</w:t>
      </w:r>
      <w:r w:rsidRPr="00C108FF">
        <w:rPr>
          <w:lang w:val="fr-FR"/>
        </w:rPr>
        <w:t>importance des travaux du WP.29 relatives aux véhicules automatisés, autonomes et connectés, et l</w:t>
      </w:r>
      <w:r w:rsidR="00C108FF">
        <w:rPr>
          <w:lang w:val="fr-FR"/>
        </w:rPr>
        <w:t>’</w:t>
      </w:r>
      <w:r w:rsidRPr="00C108FF">
        <w:rPr>
          <w:lang w:val="fr-FR"/>
        </w:rPr>
        <w:t>a</w:t>
      </w:r>
      <w:r w:rsidR="00CB4CE8">
        <w:rPr>
          <w:lang w:val="fr-FR"/>
        </w:rPr>
        <w:t xml:space="preserve"> prié</w:t>
      </w:r>
      <w:r w:rsidRPr="00C108FF">
        <w:rPr>
          <w:lang w:val="fr-FR"/>
        </w:rPr>
        <w:t xml:space="preserve"> d</w:t>
      </w:r>
      <w:r w:rsidR="00C108FF">
        <w:rPr>
          <w:lang w:val="fr-FR"/>
        </w:rPr>
        <w:t>’</w:t>
      </w:r>
      <w:r w:rsidRPr="00C108FF">
        <w:rPr>
          <w:lang w:val="fr-FR"/>
        </w:rPr>
        <w:t>envisager la création d</w:t>
      </w:r>
      <w:r w:rsidR="00C108FF">
        <w:rPr>
          <w:lang w:val="fr-FR"/>
        </w:rPr>
        <w:t>’</w:t>
      </w:r>
      <w:r w:rsidRPr="00C108FF">
        <w:rPr>
          <w:lang w:val="fr-FR"/>
        </w:rPr>
        <w:t>un groupe de travail subsidiaire (Groupe de Rapporteurs</w:t>
      </w:r>
      <w:r w:rsidR="00365249">
        <w:rPr>
          <w:lang w:val="fr-FR"/>
        </w:rPr>
        <w:t xml:space="preserve"> - </w:t>
      </w:r>
      <w:r w:rsidRPr="00C108FF">
        <w:rPr>
          <w:lang w:val="fr-FR"/>
        </w:rPr>
        <w:t xml:space="preserve">GR) investi de ces questions. Pour donner suite à cette demande, le WP.29 a décidé, à sa session de juin 2018, de transformer le Groupe de travail en matière de roulement et de freinage (GRRF) en un nouveau groupe de travail dénommé le </w:t>
      </w:r>
      <w:r w:rsidR="00822470">
        <w:rPr>
          <w:lang w:val="fr-FR"/>
        </w:rPr>
        <w:t>« </w:t>
      </w:r>
      <w:r w:rsidRPr="00C108FF">
        <w:rPr>
          <w:lang w:val="fr-FR"/>
        </w:rPr>
        <w:t xml:space="preserve">Groupe de rapporteurs pour </w:t>
      </w:r>
      <w:r w:rsidR="00822470">
        <w:rPr>
          <w:lang w:val="fr-FR"/>
        </w:rPr>
        <w:t>les véhicules autonomes </w:t>
      </w:r>
      <w:r w:rsidRPr="00C108FF">
        <w:rPr>
          <w:lang w:val="fr-FR"/>
        </w:rPr>
        <w:t>» (GRVA) et d</w:t>
      </w:r>
      <w:r w:rsidR="00C108FF">
        <w:rPr>
          <w:lang w:val="fr-FR"/>
        </w:rPr>
        <w:t>’</w:t>
      </w:r>
      <w:r w:rsidRPr="00C108FF">
        <w:rPr>
          <w:lang w:val="fr-FR"/>
        </w:rPr>
        <w:t>attribuer certaines des tâches que le GRRF assumait à d</w:t>
      </w:r>
      <w:r w:rsidR="00C108FF">
        <w:rPr>
          <w:lang w:val="fr-FR"/>
        </w:rPr>
        <w:t>’</w:t>
      </w:r>
      <w:r w:rsidRPr="00C108FF">
        <w:rPr>
          <w:lang w:val="fr-FR"/>
        </w:rPr>
        <w:t xml:space="preserve">autres groupes de travail. </w:t>
      </w:r>
    </w:p>
    <w:p w:rsidR="00A02511" w:rsidRPr="00C108FF" w:rsidRDefault="002A74B0" w:rsidP="00DF0329">
      <w:pPr>
        <w:pStyle w:val="SingleTxtG"/>
        <w:ind w:firstLine="567"/>
        <w:rPr>
          <w:b/>
        </w:rPr>
      </w:pPr>
      <w:r w:rsidRPr="00C108FF">
        <w:rPr>
          <w:lang w:val="fr-FR"/>
        </w:rPr>
        <w:lastRenderedPageBreak/>
        <w:t>En particulier, toutes les activités du GRRF sur les pneumatiques sont désormais du ressort du GRB, y compris celles relatives au Règlement technique mondial (RTM) n</w:t>
      </w:r>
      <w:r w:rsidRPr="00C108FF">
        <w:rPr>
          <w:vertAlign w:val="superscript"/>
          <w:lang w:val="fr-FR"/>
        </w:rPr>
        <w:t>o</w:t>
      </w:r>
      <w:r w:rsidR="00790C37">
        <w:rPr>
          <w:lang w:val="fr-FR"/>
        </w:rPr>
        <w:t> </w:t>
      </w:r>
      <w:r w:rsidRPr="00C108FF">
        <w:rPr>
          <w:lang w:val="fr-FR"/>
        </w:rPr>
        <w:t>16 de l</w:t>
      </w:r>
      <w:r w:rsidR="00C108FF">
        <w:rPr>
          <w:lang w:val="fr-FR"/>
        </w:rPr>
        <w:t>’</w:t>
      </w:r>
      <w:r w:rsidRPr="00C108FF">
        <w:rPr>
          <w:lang w:val="fr-FR"/>
        </w:rPr>
        <w:t>ONU et aux règlements de l</w:t>
      </w:r>
      <w:r w:rsidR="00C108FF">
        <w:rPr>
          <w:lang w:val="fr-FR"/>
        </w:rPr>
        <w:t>’</w:t>
      </w:r>
      <w:r w:rsidRPr="00C108FF">
        <w:rPr>
          <w:lang w:val="fr-FR"/>
        </w:rPr>
        <w:t>ONU n</w:t>
      </w:r>
      <w:r w:rsidRPr="00C108FF">
        <w:rPr>
          <w:vertAlign w:val="superscript"/>
          <w:lang w:val="fr-FR"/>
        </w:rPr>
        <w:t>os</w:t>
      </w:r>
      <w:r w:rsidR="00790C37">
        <w:rPr>
          <w:lang w:val="fr-FR"/>
        </w:rPr>
        <w:t> </w:t>
      </w:r>
      <w:r w:rsidRPr="00C108FF">
        <w:rPr>
          <w:lang w:val="fr-FR"/>
        </w:rPr>
        <w:t>:</w:t>
      </w:r>
    </w:p>
    <w:p w:rsidR="00A02511" w:rsidRPr="00C108FF" w:rsidRDefault="002A74B0" w:rsidP="00DF0329">
      <w:pPr>
        <w:pStyle w:val="Bullet1G"/>
        <w:rPr>
          <w:b/>
        </w:rPr>
      </w:pPr>
      <w:r w:rsidRPr="00C108FF">
        <w:rPr>
          <w:lang w:val="fr-FR"/>
        </w:rPr>
        <w:t>30 (Pneumatiques pour automobiles et leurs remorques)</w:t>
      </w:r>
      <w:r w:rsidR="00DF0329">
        <w:rPr>
          <w:lang w:val="fr-FR"/>
        </w:rPr>
        <w:t> ;</w:t>
      </w:r>
    </w:p>
    <w:p w:rsidR="00A02511" w:rsidRPr="00DF0329" w:rsidRDefault="002A74B0" w:rsidP="00DF0329">
      <w:pPr>
        <w:pStyle w:val="Bullet1G"/>
      </w:pPr>
      <w:r w:rsidRPr="00DF0329">
        <w:t>54 (Pneumatiques pour véhicules utilitaires et leurs remorques)</w:t>
      </w:r>
      <w:r w:rsidR="00DF0329">
        <w:t> ;</w:t>
      </w:r>
    </w:p>
    <w:p w:rsidR="00A02511" w:rsidRPr="00DF0329" w:rsidRDefault="002A74B0" w:rsidP="00DF0329">
      <w:pPr>
        <w:pStyle w:val="Bullet1G"/>
      </w:pPr>
      <w:r w:rsidRPr="00DF0329">
        <w:t>64 (Équipement de secours à usage temporaire, pneumatiques pour roulage à plat, système de roulage à plat et systèmes de surveillance de la pression des pneumatiques)</w:t>
      </w:r>
      <w:r w:rsidR="00DF0329">
        <w:t> ;</w:t>
      </w:r>
    </w:p>
    <w:p w:rsidR="00A02511" w:rsidRPr="00DF0329" w:rsidRDefault="002A74B0" w:rsidP="00DF0329">
      <w:pPr>
        <w:pStyle w:val="Bullet1G"/>
      </w:pPr>
      <w:r w:rsidRPr="00DF0329">
        <w:t>75 (Pneumatiques pour motocycles)</w:t>
      </w:r>
      <w:r w:rsidR="00DF0329">
        <w:t> ;</w:t>
      </w:r>
    </w:p>
    <w:p w:rsidR="00A02511" w:rsidRPr="00DF0329" w:rsidRDefault="002A74B0" w:rsidP="00DF0329">
      <w:pPr>
        <w:pStyle w:val="Bullet1G"/>
      </w:pPr>
      <w:r w:rsidRPr="00DF0329">
        <w:t>106 (Pneumatiques pour véhicules agricoles)</w:t>
      </w:r>
      <w:r w:rsidR="00DF0329">
        <w:t> ;</w:t>
      </w:r>
    </w:p>
    <w:p w:rsidR="00A02511" w:rsidRPr="00DF0329" w:rsidRDefault="002A74B0" w:rsidP="00DF0329">
      <w:pPr>
        <w:pStyle w:val="Bullet1G"/>
      </w:pPr>
      <w:r w:rsidRPr="00DF0329">
        <w:t>108 (Pneumatiques rechapés pour les voitures particulières et leurs remorques</w:t>
      </w:r>
      <w:r w:rsidR="00DF0329">
        <w:t>) ;</w:t>
      </w:r>
    </w:p>
    <w:p w:rsidR="00A02511" w:rsidRPr="00DF0329" w:rsidRDefault="002A74B0" w:rsidP="00DF0329">
      <w:pPr>
        <w:pStyle w:val="Bullet1G"/>
      </w:pPr>
      <w:r w:rsidRPr="00DF0329">
        <w:t>109 (Pneumatiques rechapés pour les véhicules utilitaires et leurs remorques)</w:t>
      </w:r>
      <w:r w:rsidR="00DF0329">
        <w:t> ;</w:t>
      </w:r>
    </w:p>
    <w:p w:rsidR="00A02511" w:rsidRPr="00DF0329" w:rsidRDefault="002A74B0" w:rsidP="00DF0329">
      <w:pPr>
        <w:pStyle w:val="Bullet1G"/>
      </w:pPr>
      <w:r w:rsidRPr="00DF0329">
        <w:t>117 (Pneumatiques - Résistance au roulement, bruit de roulement et adhérence sur sol mouillé) (Règlement dans son intégralité)</w:t>
      </w:r>
      <w:r w:rsidR="00DF0329">
        <w:t> ;</w:t>
      </w:r>
    </w:p>
    <w:p w:rsidR="00A02511" w:rsidRPr="00DF0329" w:rsidRDefault="002A74B0" w:rsidP="00DF0329">
      <w:pPr>
        <w:pStyle w:val="Bullet1G"/>
      </w:pPr>
      <w:r w:rsidRPr="00DF0329">
        <w:t>124 (Roues de rechange pour voitures particulières)</w:t>
      </w:r>
      <w:r w:rsidR="00DF0329">
        <w:t> ;</w:t>
      </w:r>
    </w:p>
    <w:p w:rsidR="00A02511" w:rsidRPr="00DF0329" w:rsidRDefault="002A74B0" w:rsidP="00DF0329">
      <w:pPr>
        <w:pStyle w:val="Bullet1G"/>
      </w:pPr>
      <w:r w:rsidRPr="00DF0329">
        <w:t>141 (Système de surveillance de la pression des pneumatiques)</w:t>
      </w:r>
      <w:r w:rsidR="00DF0329">
        <w:t> ;</w:t>
      </w:r>
    </w:p>
    <w:p w:rsidR="00A02511" w:rsidRPr="00DF0329" w:rsidRDefault="002A74B0" w:rsidP="00DF0329">
      <w:pPr>
        <w:pStyle w:val="Bullet1G"/>
      </w:pPr>
      <w:r w:rsidRPr="00DF0329">
        <w:t>142 (Installation des pneumatiques)</w:t>
      </w:r>
      <w:r w:rsidR="00DF0329">
        <w:t>.</w:t>
      </w:r>
    </w:p>
    <w:p w:rsidR="00A02511" w:rsidRPr="00C108FF" w:rsidRDefault="002A74B0" w:rsidP="00DF0329">
      <w:pPr>
        <w:pStyle w:val="SingleTxtG"/>
        <w:ind w:firstLine="567"/>
        <w:rPr>
          <w:b/>
        </w:rPr>
      </w:pPr>
      <w:r w:rsidRPr="00C108FF">
        <w:rPr>
          <w:lang w:val="fr-FR"/>
        </w:rPr>
        <w:t>Le programme de travail du WP.29 a été modifié en conséquence. Afin de faire apparaître clairement les nouvelles responsabilités du GRB en matière de pneumatiques, le WP.29 a proposé de modifier l</w:t>
      </w:r>
      <w:r w:rsidR="00C108FF">
        <w:rPr>
          <w:lang w:val="fr-FR"/>
        </w:rPr>
        <w:t>’</w:t>
      </w:r>
      <w:r w:rsidRPr="00C108FF">
        <w:rPr>
          <w:lang w:val="fr-FR"/>
        </w:rPr>
        <w:t xml:space="preserve">appellation de ce groupe, la faisant passer de GRB à GRBP (Groupe de travail du bruit et des pneumatiques). </w:t>
      </w:r>
    </w:p>
    <w:p w:rsidR="00A02511" w:rsidRPr="00C108FF" w:rsidRDefault="002A74B0" w:rsidP="00DF0329">
      <w:pPr>
        <w:pStyle w:val="SingleTxtG"/>
        <w:ind w:firstLine="567"/>
      </w:pPr>
      <w:r w:rsidRPr="00C108FF">
        <w:rPr>
          <w:lang w:val="fr-FR"/>
        </w:rPr>
        <w:t>Le WP.29 s</w:t>
      </w:r>
      <w:r w:rsidR="00C108FF">
        <w:rPr>
          <w:lang w:val="fr-FR"/>
        </w:rPr>
        <w:t>’</w:t>
      </w:r>
      <w:r w:rsidRPr="00C108FF">
        <w:rPr>
          <w:lang w:val="fr-FR"/>
        </w:rPr>
        <w:t>est accordé sur le fait que le Groupe de rapporteurs pour les véhicules autonomes devrait commencer à assumer ses fonctions dès que possible et convoquer sa première session en septembre 2018, en utilisant le créneau du Groupe de travail en matière de roulement et de freinage</w:t>
      </w:r>
      <w:r w:rsidR="00790C37">
        <w:rPr>
          <w:lang w:val="fr-FR"/>
        </w:rPr>
        <w:t xml:space="preserve"> (25 au 28 </w:t>
      </w:r>
      <w:r w:rsidRPr="00C108FF">
        <w:rPr>
          <w:lang w:val="fr-FR"/>
        </w:rPr>
        <w:t>septembre 2018). Pour assurer une passation sans heurts des activités du Groupe de travail du bruit en matière de pneumatiques, les présidents de ce groupe et de l</w:t>
      </w:r>
      <w:r w:rsidR="00C108FF">
        <w:rPr>
          <w:lang w:val="fr-FR"/>
        </w:rPr>
        <w:t>’</w:t>
      </w:r>
      <w:r w:rsidRPr="00C108FF">
        <w:rPr>
          <w:lang w:val="fr-FR"/>
        </w:rPr>
        <w:t xml:space="preserve">ancien Groupe de travail en matière de roulement et de freinage ont organisé une réunion avec le secrétariat en marge de la session de juin 2018 du WP.29. Il a été convenu que, comme prévu, les documents traitant de la question des pneumatiques seraient soumis sous la cote « GRRF » à la session de septembre 2018 du Groupe de rapporteurs pour les véhicules autonomes (GRVA, anciennement GRRF) dans le respect du délai officiel </w:t>
      </w:r>
      <w:r w:rsidR="00CB4CE8">
        <w:rPr>
          <w:lang w:val="fr-FR"/>
        </w:rPr>
        <w:t>fixé pour</w:t>
      </w:r>
      <w:r w:rsidRPr="00C108FF">
        <w:rPr>
          <w:lang w:val="fr-FR"/>
        </w:rPr>
        <w:t xml:space="preserve"> cette réunion. Toutefois, au lieu d</w:t>
      </w:r>
      <w:r w:rsidR="00C108FF">
        <w:rPr>
          <w:lang w:val="fr-FR"/>
        </w:rPr>
        <w:t>’</w:t>
      </w:r>
      <w:r w:rsidRPr="00C108FF">
        <w:rPr>
          <w:lang w:val="fr-FR"/>
        </w:rPr>
        <w:t xml:space="preserve">être examinés par le GRVA, ces documents seraient examinés par le GRB à sa session de septembre 2018. </w:t>
      </w:r>
    </w:p>
    <w:p w:rsidR="00A02511" w:rsidRPr="00C108FF" w:rsidRDefault="002A74B0" w:rsidP="00DF0329">
      <w:pPr>
        <w:pStyle w:val="SingleTxtG"/>
        <w:ind w:firstLine="567"/>
      </w:pPr>
      <w:r w:rsidRPr="00C108FF">
        <w:rPr>
          <w:lang w:val="fr-FR"/>
        </w:rPr>
        <w:t>Le Secrétariat publiera en temps voulu un additif au présent ordre du jour d</w:t>
      </w:r>
      <w:r w:rsidR="00CB4CE8">
        <w:rPr>
          <w:lang w:val="fr-FR"/>
        </w:rPr>
        <w:t>écrivant les documents traitant</w:t>
      </w:r>
      <w:r w:rsidRPr="00C108FF">
        <w:rPr>
          <w:lang w:val="fr-FR"/>
        </w:rPr>
        <w:t xml:space="preserve"> des pneumatiques et les questions à examiner. Le Président du Groupe de travail a décidé que la partie de l</w:t>
      </w:r>
      <w:r w:rsidR="00C108FF">
        <w:rPr>
          <w:lang w:val="fr-FR"/>
        </w:rPr>
        <w:t>’</w:t>
      </w:r>
      <w:r w:rsidRPr="00C108FF">
        <w:rPr>
          <w:lang w:val="fr-FR"/>
        </w:rPr>
        <w:t xml:space="preserve">ordre du jour relative aux pneumatiques serait examinée le </w:t>
      </w:r>
      <w:r w:rsidR="00790C37">
        <w:rPr>
          <w:lang w:val="fr-FR"/>
        </w:rPr>
        <w:t>deuxième jour de la session (13 </w:t>
      </w:r>
      <w:r w:rsidR="0019565C">
        <w:rPr>
          <w:lang w:val="fr-FR"/>
        </w:rPr>
        <w:t>septembre 2018).</w:t>
      </w:r>
    </w:p>
    <w:p w:rsidR="00A02511" w:rsidRPr="00C108FF" w:rsidRDefault="002A74B0" w:rsidP="0038690A">
      <w:pPr>
        <w:pStyle w:val="H1G"/>
      </w:pPr>
      <w:r w:rsidRPr="00C108FF">
        <w:rPr>
          <w:lang w:val="fr-FR"/>
        </w:rPr>
        <w:tab/>
        <w:t>15.</w:t>
      </w:r>
      <w:r w:rsidRPr="00C108FF">
        <w:rPr>
          <w:lang w:val="fr-FR"/>
        </w:rPr>
        <w:tab/>
        <w:t>Échange de vues sur les travaux futurs du GRB</w:t>
      </w:r>
    </w:p>
    <w:p w:rsidR="00A02511" w:rsidRPr="00C108FF" w:rsidRDefault="002A74B0" w:rsidP="00DF0329">
      <w:pPr>
        <w:pStyle w:val="SingleTxtG"/>
        <w:ind w:firstLine="567"/>
      </w:pPr>
      <w:r w:rsidRPr="00C108FF">
        <w:rPr>
          <w:lang w:val="fr-FR"/>
        </w:rPr>
        <w:t>Le Groupe de travail souhaitera sans doute reprendre l</w:t>
      </w:r>
      <w:r w:rsidR="00C108FF">
        <w:rPr>
          <w:lang w:val="fr-FR"/>
        </w:rPr>
        <w:t>’</w:t>
      </w:r>
      <w:r w:rsidRPr="00C108FF">
        <w:rPr>
          <w:lang w:val="fr-FR"/>
        </w:rPr>
        <w:t>examen des questions à inclure dans ses travaux futurs.</w:t>
      </w:r>
    </w:p>
    <w:p w:rsidR="00A02511" w:rsidRPr="00C108FF" w:rsidRDefault="002A74B0" w:rsidP="0038690A">
      <w:pPr>
        <w:pStyle w:val="H1G"/>
      </w:pPr>
      <w:r w:rsidRPr="00C108FF">
        <w:rPr>
          <w:lang w:val="fr-FR"/>
        </w:rPr>
        <w:tab/>
        <w:t>16.</w:t>
      </w:r>
      <w:r w:rsidRPr="00C108FF">
        <w:rPr>
          <w:lang w:val="fr-FR"/>
        </w:rPr>
        <w:tab/>
        <w:t>Questions diverses</w:t>
      </w:r>
    </w:p>
    <w:p w:rsidR="00A02511" w:rsidRPr="00C108FF" w:rsidRDefault="002A74B0" w:rsidP="00DF0329">
      <w:pPr>
        <w:pStyle w:val="SingleTxtG"/>
        <w:ind w:firstLine="567"/>
      </w:pPr>
      <w:r w:rsidRPr="00C108FF">
        <w:rPr>
          <w:lang w:val="fr-FR"/>
        </w:rPr>
        <w:t>Le Groupe de travail souhaitera peut-être examiner d</w:t>
      </w:r>
      <w:r w:rsidR="00C108FF">
        <w:rPr>
          <w:lang w:val="fr-FR"/>
        </w:rPr>
        <w:t>’</w:t>
      </w:r>
      <w:r w:rsidRPr="00C108FF">
        <w:rPr>
          <w:lang w:val="fr-FR"/>
        </w:rPr>
        <w:t>autres questions, si nécessaire.</w:t>
      </w:r>
    </w:p>
    <w:p w:rsidR="00A02511" w:rsidRPr="00C108FF" w:rsidRDefault="002A74B0" w:rsidP="0038690A">
      <w:pPr>
        <w:pStyle w:val="H1G"/>
      </w:pPr>
      <w:r w:rsidRPr="00C108FF">
        <w:rPr>
          <w:lang w:val="fr-FR"/>
        </w:rPr>
        <w:lastRenderedPageBreak/>
        <w:tab/>
        <w:t>17.</w:t>
      </w:r>
      <w:r w:rsidRPr="00C108FF">
        <w:rPr>
          <w:lang w:val="fr-FR"/>
        </w:rPr>
        <w:tab/>
        <w:t>Ordre du jour provisoire de la soixante-neuvième session</w:t>
      </w:r>
    </w:p>
    <w:p w:rsidR="00A02511" w:rsidRPr="00C108FF" w:rsidRDefault="002A74B0" w:rsidP="00DF0329">
      <w:pPr>
        <w:pStyle w:val="SingleTxtG"/>
        <w:ind w:firstLine="567"/>
      </w:pPr>
      <w:r w:rsidRPr="00C108FF">
        <w:rPr>
          <w:lang w:val="fr-FR"/>
        </w:rPr>
        <w:t>Le Groupe de travail est invité à donner des indications concernant l</w:t>
      </w:r>
      <w:r w:rsidR="00C108FF">
        <w:rPr>
          <w:lang w:val="fr-FR"/>
        </w:rPr>
        <w:t>’</w:t>
      </w:r>
      <w:r w:rsidRPr="00C108FF">
        <w:rPr>
          <w:lang w:val="fr-FR"/>
        </w:rPr>
        <w:t xml:space="preserve">ordre du jour provisoire de la prochaine session, qui </w:t>
      </w:r>
      <w:r w:rsidR="0038690A">
        <w:rPr>
          <w:lang w:val="fr-FR"/>
        </w:rPr>
        <w:t>devrait se tenir à Genève du 24 </w:t>
      </w:r>
      <w:r w:rsidRPr="00C108FF">
        <w:rPr>
          <w:lang w:val="fr-FR"/>
        </w:rPr>
        <w:t xml:space="preserve">janvier 2019 à partir de </w:t>
      </w:r>
      <w:r w:rsidR="0038690A">
        <w:rPr>
          <w:lang w:val="fr-FR"/>
        </w:rPr>
        <w:t>14 h 30 au 26 janvier 2019 à 17 </w:t>
      </w:r>
      <w:r w:rsidRPr="00C108FF">
        <w:rPr>
          <w:lang w:val="fr-FR"/>
        </w:rPr>
        <w:t>h</w:t>
      </w:r>
      <w:r w:rsidR="0038690A">
        <w:rPr>
          <w:lang w:val="fr-FR"/>
        </w:rPr>
        <w:t> </w:t>
      </w:r>
      <w:r w:rsidRPr="00C108FF">
        <w:rPr>
          <w:lang w:val="fr-FR"/>
        </w:rPr>
        <w:t>30.</w:t>
      </w:r>
    </w:p>
    <w:p w:rsidR="00A02511" w:rsidRPr="00C108FF" w:rsidRDefault="002A74B0" w:rsidP="0038690A">
      <w:pPr>
        <w:pStyle w:val="H1G"/>
      </w:pPr>
      <w:r w:rsidRPr="00C108FF">
        <w:rPr>
          <w:lang w:val="fr-FR"/>
        </w:rPr>
        <w:tab/>
        <w:t>18.</w:t>
      </w:r>
      <w:r w:rsidRPr="00C108FF">
        <w:rPr>
          <w:lang w:val="fr-FR"/>
        </w:rPr>
        <w:tab/>
        <w:t>Élection du Bureau</w:t>
      </w:r>
    </w:p>
    <w:p w:rsidR="00A02511" w:rsidRPr="00C108FF" w:rsidRDefault="002A74B0" w:rsidP="00DF0329">
      <w:pPr>
        <w:pStyle w:val="SingleTxtG"/>
        <w:ind w:firstLine="567"/>
      </w:pPr>
      <w:r w:rsidRPr="00C108FF">
        <w:rPr>
          <w:lang w:val="fr-FR"/>
        </w:rPr>
        <w:t>Conformément à l</w:t>
      </w:r>
      <w:r w:rsidR="00C108FF">
        <w:rPr>
          <w:lang w:val="fr-FR"/>
        </w:rPr>
        <w:t>’</w:t>
      </w:r>
      <w:r w:rsidR="0038690A">
        <w:rPr>
          <w:lang w:val="fr-FR"/>
        </w:rPr>
        <w:t>article </w:t>
      </w:r>
      <w:r w:rsidRPr="00C108FF">
        <w:rPr>
          <w:lang w:val="fr-FR"/>
        </w:rPr>
        <w:t>37 du Règlement intérieur (TRANS/WP.29/690 et Amend.1), le Groupe de travail élira le Président et le Vice-Président pour les sessions prévues en 2018.</w:t>
      </w:r>
    </w:p>
    <w:p w:rsidR="00C108FF" w:rsidRPr="00C108FF" w:rsidRDefault="00C108FF" w:rsidP="00C108FF">
      <w:pPr>
        <w:pStyle w:val="SingleTxtG"/>
        <w:spacing w:before="240" w:after="0"/>
        <w:jc w:val="center"/>
        <w:rPr>
          <w:u w:val="single"/>
        </w:rPr>
      </w:pPr>
      <w:r>
        <w:rPr>
          <w:u w:val="single"/>
        </w:rPr>
        <w:tab/>
      </w:r>
      <w:r>
        <w:rPr>
          <w:u w:val="single"/>
        </w:rPr>
        <w:tab/>
      </w:r>
      <w:r>
        <w:rPr>
          <w:u w:val="single"/>
        </w:rPr>
        <w:tab/>
      </w:r>
    </w:p>
    <w:sectPr w:rsidR="00C108FF" w:rsidRPr="00C108FF" w:rsidSect="002027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642" w:rsidRDefault="00161642" w:rsidP="00F95C08">
      <w:pPr>
        <w:spacing w:line="240" w:lineRule="auto"/>
      </w:pPr>
    </w:p>
  </w:endnote>
  <w:endnote w:type="continuationSeparator" w:id="0">
    <w:p w:rsidR="00161642" w:rsidRPr="00AC3823" w:rsidRDefault="00161642" w:rsidP="00AC3823">
      <w:pPr>
        <w:pStyle w:val="Footer"/>
      </w:pPr>
    </w:p>
  </w:endnote>
  <w:endnote w:type="continuationNotice" w:id="1">
    <w:p w:rsidR="00161642" w:rsidRDefault="001616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7DF" w:rsidRPr="002027DF" w:rsidRDefault="002027DF" w:rsidP="002027DF">
    <w:pPr>
      <w:pStyle w:val="Footer"/>
      <w:tabs>
        <w:tab w:val="right" w:pos="9638"/>
      </w:tabs>
    </w:pPr>
    <w:r w:rsidRPr="002027DF">
      <w:rPr>
        <w:b/>
        <w:sz w:val="18"/>
      </w:rPr>
      <w:fldChar w:fldCharType="begin"/>
    </w:r>
    <w:r w:rsidRPr="002027DF">
      <w:rPr>
        <w:b/>
        <w:sz w:val="18"/>
      </w:rPr>
      <w:instrText xml:space="preserve"> PAGE  \* MERGEFORMAT </w:instrText>
    </w:r>
    <w:r w:rsidRPr="002027DF">
      <w:rPr>
        <w:b/>
        <w:sz w:val="18"/>
      </w:rPr>
      <w:fldChar w:fldCharType="separate"/>
    </w:r>
    <w:r w:rsidR="00E72821">
      <w:rPr>
        <w:b/>
        <w:noProof/>
        <w:sz w:val="18"/>
      </w:rPr>
      <w:t>2</w:t>
    </w:r>
    <w:r w:rsidRPr="002027DF">
      <w:rPr>
        <w:b/>
        <w:sz w:val="18"/>
      </w:rPr>
      <w:fldChar w:fldCharType="end"/>
    </w:r>
    <w:r>
      <w:rPr>
        <w:b/>
        <w:sz w:val="18"/>
      </w:rPr>
      <w:tab/>
    </w:r>
    <w:r>
      <w:t>GE.18-10555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7DF" w:rsidRPr="002027DF" w:rsidRDefault="002027DF" w:rsidP="002027DF">
    <w:pPr>
      <w:pStyle w:val="Footer"/>
      <w:tabs>
        <w:tab w:val="right" w:pos="9638"/>
      </w:tabs>
      <w:rPr>
        <w:b/>
        <w:sz w:val="18"/>
      </w:rPr>
    </w:pPr>
    <w:r>
      <w:t>GE.18-10555</w:t>
    </w:r>
    <w:r>
      <w:tab/>
    </w:r>
    <w:r w:rsidRPr="002027DF">
      <w:rPr>
        <w:b/>
        <w:sz w:val="18"/>
      </w:rPr>
      <w:fldChar w:fldCharType="begin"/>
    </w:r>
    <w:r w:rsidRPr="002027DF">
      <w:rPr>
        <w:b/>
        <w:sz w:val="18"/>
      </w:rPr>
      <w:instrText xml:space="preserve"> PAGE  \* MERGEFORMAT </w:instrText>
    </w:r>
    <w:r w:rsidRPr="002027DF">
      <w:rPr>
        <w:b/>
        <w:sz w:val="18"/>
      </w:rPr>
      <w:fldChar w:fldCharType="separate"/>
    </w:r>
    <w:r w:rsidR="00E72821">
      <w:rPr>
        <w:b/>
        <w:noProof/>
        <w:sz w:val="18"/>
      </w:rPr>
      <w:t>5</w:t>
    </w:r>
    <w:r w:rsidRPr="002027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2027DF" w:rsidRDefault="002027DF" w:rsidP="002027DF">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18-10555  (F)    100718    100718</w:t>
    </w:r>
    <w:r>
      <w:rPr>
        <w:sz w:val="20"/>
      </w:rPr>
      <w:br/>
    </w:r>
    <w:r w:rsidRPr="002027DF">
      <w:rPr>
        <w:rFonts w:ascii="C39T30Lfz" w:hAnsi="C39T30Lfz"/>
        <w:sz w:val="56"/>
      </w:rPr>
      <w:t></w:t>
    </w:r>
    <w:r w:rsidRPr="002027DF">
      <w:rPr>
        <w:rFonts w:ascii="C39T30Lfz" w:hAnsi="C39T30Lfz"/>
        <w:sz w:val="56"/>
      </w:rPr>
      <w:t></w:t>
    </w:r>
    <w:r w:rsidRPr="002027DF">
      <w:rPr>
        <w:rFonts w:ascii="C39T30Lfz" w:hAnsi="C39T30Lfz"/>
        <w:sz w:val="56"/>
      </w:rPr>
      <w:t></w:t>
    </w:r>
    <w:r w:rsidRPr="002027DF">
      <w:rPr>
        <w:rFonts w:ascii="C39T30Lfz" w:hAnsi="C39T30Lfz"/>
        <w:sz w:val="56"/>
      </w:rPr>
      <w:t></w:t>
    </w:r>
    <w:r w:rsidRPr="002027DF">
      <w:rPr>
        <w:rFonts w:ascii="C39T30Lfz" w:hAnsi="C39T30Lfz"/>
        <w:sz w:val="56"/>
      </w:rPr>
      <w:t></w:t>
    </w:r>
    <w:r w:rsidRPr="002027DF">
      <w:rPr>
        <w:rFonts w:ascii="C39T30Lfz" w:hAnsi="C39T30Lfz"/>
        <w:sz w:val="56"/>
      </w:rPr>
      <w:t></w:t>
    </w:r>
    <w:r w:rsidRPr="002027DF">
      <w:rPr>
        <w:rFonts w:ascii="C39T30Lfz" w:hAnsi="C39T30Lfz"/>
        <w:sz w:val="56"/>
      </w:rPr>
      <w:t></w:t>
    </w:r>
    <w:r w:rsidRPr="002027DF">
      <w:rPr>
        <w:rFonts w:ascii="C39T30Lfz" w:hAnsi="C39T30Lfz"/>
        <w:sz w:val="56"/>
      </w:rPr>
      <w:t></w:t>
    </w:r>
    <w:r w:rsidRPr="002027D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29/GRB/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642" w:rsidRPr="00AC3823" w:rsidRDefault="00161642" w:rsidP="00AC3823">
      <w:pPr>
        <w:pStyle w:val="Footer"/>
        <w:tabs>
          <w:tab w:val="right" w:pos="2155"/>
        </w:tabs>
        <w:spacing w:after="80" w:line="240" w:lineRule="atLeast"/>
        <w:ind w:left="680"/>
        <w:rPr>
          <w:u w:val="single"/>
        </w:rPr>
      </w:pPr>
      <w:r>
        <w:rPr>
          <w:u w:val="single"/>
        </w:rPr>
        <w:tab/>
      </w:r>
    </w:p>
  </w:footnote>
  <w:footnote w:type="continuationSeparator" w:id="0">
    <w:p w:rsidR="00161642" w:rsidRPr="00AC3823" w:rsidRDefault="00161642" w:rsidP="00AC3823">
      <w:pPr>
        <w:pStyle w:val="Footer"/>
        <w:tabs>
          <w:tab w:val="right" w:pos="2155"/>
        </w:tabs>
        <w:spacing w:after="80" w:line="240" w:lineRule="atLeast"/>
        <w:ind w:left="680"/>
        <w:rPr>
          <w:u w:val="single"/>
        </w:rPr>
      </w:pPr>
      <w:r>
        <w:rPr>
          <w:u w:val="single"/>
        </w:rPr>
        <w:tab/>
      </w:r>
    </w:p>
  </w:footnote>
  <w:footnote w:type="continuationNotice" w:id="1">
    <w:p w:rsidR="00161642" w:rsidRPr="00AC3823" w:rsidRDefault="00161642">
      <w:pPr>
        <w:spacing w:line="240" w:lineRule="auto"/>
        <w:rPr>
          <w:sz w:val="2"/>
          <w:szCs w:val="2"/>
        </w:rPr>
      </w:pPr>
    </w:p>
  </w:footnote>
  <w:footnote w:id="2">
    <w:p w:rsidR="00C108FF" w:rsidRPr="00C108FF" w:rsidRDefault="00C108FF">
      <w:pPr>
        <w:pStyle w:val="FootnoteText"/>
      </w:pPr>
      <w:r>
        <w:rPr>
          <w:rStyle w:val="FootnoteReference"/>
        </w:rPr>
        <w:tab/>
      </w:r>
      <w:r w:rsidRPr="00C108FF">
        <w:rPr>
          <w:rStyle w:val="FootnoteReference"/>
          <w:sz w:val="20"/>
          <w:vertAlign w:val="baseline"/>
        </w:rPr>
        <w:t>*</w:t>
      </w:r>
      <w:r>
        <w:rPr>
          <w:rStyle w:val="FootnoteReference"/>
          <w:sz w:val="20"/>
          <w:vertAlign w:val="baseline"/>
        </w:rPr>
        <w:tab/>
      </w:r>
      <w:r>
        <w:rPr>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00CB4CE8" w:rsidRPr="00CB4CE8">
          <w:rPr>
            <w:rStyle w:val="Hyperlink"/>
            <w:lang w:val="fr-FR"/>
          </w:rPr>
          <w:t>http://unece.org/trans/main/wp29/wp29wgs/wp29grb/grbage.html</w:t>
        </w:r>
      </w:hyperlink>
      <w:r>
        <w:rPr>
          <w:lang w:val="fr-FR"/>
        </w:rPr>
        <w:t>). À</w:t>
      </w:r>
      <w:r w:rsidR="00CB4CE8">
        <w:rPr>
          <w:lang w:val="fr-FR"/>
        </w:rPr>
        <w:t> </w:t>
      </w:r>
      <w:r>
        <w:rPr>
          <w:lang w:val="fr-FR"/>
        </w:rPr>
        <w:t>titre exceptionnel, ils peuvent également être obtenus par courrier électronique (grb@unece.org). Durant la session, les documents officiels peuvent être obtenus auprès de la Section de la distribution des documents de l’ONUG (bureau C.337 au 3</w:t>
      </w:r>
      <w:r w:rsidRPr="00C108FF">
        <w:rPr>
          <w:vertAlign w:val="superscript"/>
          <w:lang w:val="fr-FR"/>
        </w:rPr>
        <w:t>e</w:t>
      </w:r>
      <w:r>
        <w:rPr>
          <w:lang w:val="fr-FR"/>
        </w:rPr>
        <w:t xml:space="preserve"> étage du Palais des Nations). Les versions traduites de ces documents sont disponibles en accès public sur le système de diffusion électronique des documents (ODS), à l’adresse </w:t>
      </w:r>
      <w:hyperlink r:id="rId2" w:history="1">
        <w:r w:rsidR="00CB4CE8">
          <w:rPr>
            <w:rStyle w:val="Hyperlink"/>
            <w:lang w:val="fr-FR"/>
          </w:rPr>
          <w:t>documents.un.org</w:t>
        </w:r>
      </w:hyperlink>
      <w:r>
        <w:rPr>
          <w:lang w:val="fr-FR"/>
        </w:rPr>
        <w:t>/.</w:t>
      </w:r>
    </w:p>
  </w:footnote>
  <w:footnote w:id="3">
    <w:p w:rsidR="00C108FF" w:rsidRPr="00C108FF" w:rsidRDefault="00C108FF">
      <w:pPr>
        <w:pStyle w:val="FootnoteText"/>
      </w:pPr>
      <w:r>
        <w:rPr>
          <w:rStyle w:val="FootnoteReference"/>
        </w:rPr>
        <w:tab/>
      </w:r>
      <w:r w:rsidRPr="00C108FF">
        <w:rPr>
          <w:rStyle w:val="FootnoteReference"/>
          <w:sz w:val="20"/>
          <w:vertAlign w:val="baseline"/>
        </w:rPr>
        <w:t>**</w:t>
      </w:r>
      <w:r>
        <w:rPr>
          <w:rStyle w:val="FootnoteReference"/>
          <w:sz w:val="20"/>
          <w:vertAlign w:val="baseline"/>
        </w:rPr>
        <w:tab/>
      </w:r>
      <w:r>
        <w:rPr>
          <w:lang w:val="fr-FR"/>
        </w:rPr>
        <w:t>Les représentants sont priés de remplir le formulaire d’inscription disponible sur le site Web de la CEE (</w:t>
      </w:r>
      <w:hyperlink r:id="rId3" w:history="1">
        <w:r w:rsidRPr="00CB4CE8">
          <w:rPr>
            <w:rStyle w:val="Hyperlink"/>
            <w:lang w:val="fr-FR"/>
          </w:rPr>
          <w:t>https://uncdb.unece.org/app/ext/meeting-registration?id=WyokCg</w:t>
        </w:r>
      </w:hyperlink>
      <w:r>
        <w:rPr>
          <w:lang w:val="fr-FR"/>
        </w:rPr>
        <w:t xml:space="preserve">). À leur arrivée au Palais des Nations, ils doivent retirer un badge à la Section </w:t>
      </w:r>
      <w:r w:rsidR="005B6F7F">
        <w:rPr>
          <w:lang w:val="fr-FR"/>
        </w:rPr>
        <w:t>de la sécurité et de la sûreté</w:t>
      </w:r>
      <w:r>
        <w:rPr>
          <w:lang w:val="fr-FR"/>
        </w:rPr>
        <w:t>, située au Portail de Pregny (14, avenue de la Paix). En cas de</w:t>
      </w:r>
      <w:r w:rsidR="005B6F7F">
        <w:rPr>
          <w:lang w:val="fr-FR"/>
        </w:rPr>
        <w:t xml:space="preserve"> difficulté, ils sont invités à</w:t>
      </w:r>
      <w:r>
        <w:rPr>
          <w:lang w:val="fr-FR"/>
        </w:rPr>
        <w:t xml:space="preserve"> contacter le s</w:t>
      </w:r>
      <w:r w:rsidR="00CB4CE8">
        <w:rPr>
          <w:lang w:val="fr-FR"/>
        </w:rPr>
        <w:t>ecrétariat par téléphone (poste </w:t>
      </w:r>
      <w:r>
        <w:rPr>
          <w:lang w:val="fr-FR"/>
        </w:rPr>
        <w:t xml:space="preserve">74323). Un plan du Palais des Nations et d’autres renseignements utiles sont disponibles à l’adresse </w:t>
      </w:r>
      <w:hyperlink r:id="rId4" w:history="1">
        <w:r w:rsidRPr="00CB4CE8">
          <w:rPr>
            <w:rStyle w:val="Hyperlink"/>
            <w:lang w:val="fr-FR"/>
          </w:rPr>
          <w:t>http://www.unece.org/fr/info/events/informations-pratiques-pour-les-delegues.html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7DF" w:rsidRPr="002027DF" w:rsidRDefault="00E72821">
    <w:pPr>
      <w:pStyle w:val="Header"/>
    </w:pPr>
    <w:r>
      <w:fldChar w:fldCharType="begin"/>
    </w:r>
    <w:r>
      <w:instrText xml:space="preserve"> TITLE  \* MERGEFORMAT </w:instrText>
    </w:r>
    <w:r>
      <w:fldChar w:fldCharType="separate"/>
    </w:r>
    <w:r w:rsidR="002A74B0">
      <w:t>ECE/TRANS/WP.29/GRB/2018/5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7DF" w:rsidRPr="002027DF" w:rsidRDefault="00E72821" w:rsidP="002027DF">
    <w:pPr>
      <w:pStyle w:val="Header"/>
      <w:jc w:val="right"/>
    </w:pPr>
    <w:r>
      <w:fldChar w:fldCharType="begin"/>
    </w:r>
    <w:r>
      <w:instrText xml:space="preserve"> TITLE  \* MERGEFORMAT </w:instrText>
    </w:r>
    <w:r>
      <w:fldChar w:fldCharType="separate"/>
    </w:r>
    <w:r w:rsidR="002A74B0">
      <w:t>ECE/TRANS/WP.29/GRB/2018/5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42"/>
    <w:rsid w:val="00017F94"/>
    <w:rsid w:val="00023842"/>
    <w:rsid w:val="000334F9"/>
    <w:rsid w:val="0007796D"/>
    <w:rsid w:val="000B0B20"/>
    <w:rsid w:val="000B7790"/>
    <w:rsid w:val="000D3EE9"/>
    <w:rsid w:val="00111F2F"/>
    <w:rsid w:val="001433FD"/>
    <w:rsid w:val="0014365E"/>
    <w:rsid w:val="001541D3"/>
    <w:rsid w:val="00161642"/>
    <w:rsid w:val="00176178"/>
    <w:rsid w:val="0019565C"/>
    <w:rsid w:val="001F525A"/>
    <w:rsid w:val="002027DF"/>
    <w:rsid w:val="00223272"/>
    <w:rsid w:val="0024779E"/>
    <w:rsid w:val="002832AC"/>
    <w:rsid w:val="00295CCA"/>
    <w:rsid w:val="002A74B0"/>
    <w:rsid w:val="002D7C93"/>
    <w:rsid w:val="00365249"/>
    <w:rsid w:val="0038690A"/>
    <w:rsid w:val="00441C3B"/>
    <w:rsid w:val="00446B0A"/>
    <w:rsid w:val="00446FE5"/>
    <w:rsid w:val="00452396"/>
    <w:rsid w:val="004E468C"/>
    <w:rsid w:val="00506BE1"/>
    <w:rsid w:val="005316B0"/>
    <w:rsid w:val="005505B7"/>
    <w:rsid w:val="00573BE5"/>
    <w:rsid w:val="00586ED3"/>
    <w:rsid w:val="00596AA9"/>
    <w:rsid w:val="005B6F7F"/>
    <w:rsid w:val="005F2353"/>
    <w:rsid w:val="00655990"/>
    <w:rsid w:val="00706363"/>
    <w:rsid w:val="0071601D"/>
    <w:rsid w:val="0074674C"/>
    <w:rsid w:val="00790C37"/>
    <w:rsid w:val="007A62E6"/>
    <w:rsid w:val="007E7369"/>
    <w:rsid w:val="0080684C"/>
    <w:rsid w:val="00822470"/>
    <w:rsid w:val="00871C75"/>
    <w:rsid w:val="008776DC"/>
    <w:rsid w:val="009411AC"/>
    <w:rsid w:val="009705C8"/>
    <w:rsid w:val="009C1CF4"/>
    <w:rsid w:val="00A30353"/>
    <w:rsid w:val="00AA113A"/>
    <w:rsid w:val="00AC3823"/>
    <w:rsid w:val="00AE323C"/>
    <w:rsid w:val="00B00181"/>
    <w:rsid w:val="00B00B0D"/>
    <w:rsid w:val="00B765F7"/>
    <w:rsid w:val="00BA0CA9"/>
    <w:rsid w:val="00C02897"/>
    <w:rsid w:val="00C108FF"/>
    <w:rsid w:val="00CB4CE8"/>
    <w:rsid w:val="00CB6879"/>
    <w:rsid w:val="00CD4616"/>
    <w:rsid w:val="00CE34F7"/>
    <w:rsid w:val="00D26DAC"/>
    <w:rsid w:val="00D3439C"/>
    <w:rsid w:val="00D9425C"/>
    <w:rsid w:val="00DB1831"/>
    <w:rsid w:val="00DD3BFD"/>
    <w:rsid w:val="00DF0329"/>
    <w:rsid w:val="00DF6678"/>
    <w:rsid w:val="00E10036"/>
    <w:rsid w:val="00E611C0"/>
    <w:rsid w:val="00E72821"/>
    <w:rsid w:val="00EF2E22"/>
    <w:rsid w:val="00F660DF"/>
    <w:rsid w:val="00F95C08"/>
    <w:rsid w:val="00FD15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9AC009-CFA9-4AD8-97F3-DD0050EE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WyokCg" TargetMode="External"/><Relationship Id="rId2" Type="http://schemas.openxmlformats.org/officeDocument/2006/relationships/hyperlink" Target="https://documents.un.org/" TargetMode="External"/><Relationship Id="rId1" Type="http://schemas.openxmlformats.org/officeDocument/2006/relationships/hyperlink" Target="http://unece.org/trans/main/wp29/wp29wgs/wp29grb/grbage.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ECE/TRANS/WP.29/GRB/2018/5</vt:lpstr>
      <vt:lpstr>ECE/TRANS/WP.29/GRB/2018/5</vt:lpstr>
    </vt:vector>
  </TitlesOfParts>
  <Company>DCM</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ECE/TRANS/WP.29/GRB/2018/5</dc:title>
  <dc:subject/>
  <dc:creator>ROY</dc:creator>
  <cp:keywords/>
  <cp:lastModifiedBy>Benedicte Boudol</cp:lastModifiedBy>
  <cp:revision>2</cp:revision>
  <cp:lastPrinted>2018-07-10T12:51:00Z</cp:lastPrinted>
  <dcterms:created xsi:type="dcterms:W3CDTF">2018-07-10T13:53:00Z</dcterms:created>
  <dcterms:modified xsi:type="dcterms:W3CDTF">2018-07-10T13:53:00Z</dcterms:modified>
</cp:coreProperties>
</file>