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A414E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32AF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32AF1" w:rsidRDefault="00432AF1" w:rsidP="00432AF1">
            <w:pPr>
              <w:jc w:val="right"/>
              <w:rPr>
                <w:lang w:val="en-US"/>
              </w:rPr>
            </w:pPr>
            <w:r w:rsidRPr="00432AF1">
              <w:rPr>
                <w:sz w:val="40"/>
                <w:lang w:val="en-US"/>
              </w:rPr>
              <w:t>ECE</w:t>
            </w:r>
            <w:r w:rsidRPr="00432AF1">
              <w:rPr>
                <w:lang w:val="en-US"/>
              </w:rPr>
              <w:t>/TRANS/WP.29/GRB/2018/5/Add.1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32AF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32AF1" w:rsidRDefault="00432AF1" w:rsidP="00432AF1">
            <w:pPr>
              <w:spacing w:line="240" w:lineRule="exact"/>
            </w:pPr>
            <w:r>
              <w:t>20 juillet 2018</w:t>
            </w:r>
          </w:p>
          <w:p w:rsidR="00432AF1" w:rsidRDefault="00432AF1" w:rsidP="00432AF1">
            <w:pPr>
              <w:spacing w:line="240" w:lineRule="exact"/>
            </w:pPr>
            <w:r>
              <w:t>Français</w:t>
            </w:r>
          </w:p>
          <w:p w:rsidR="00432AF1" w:rsidRPr="00DB58B5" w:rsidRDefault="00432AF1" w:rsidP="00432AF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32AF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432AF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32AF1" w:rsidRPr="00432AF1" w:rsidRDefault="00432AF1" w:rsidP="00432AF1">
      <w:pPr>
        <w:spacing w:after="120"/>
        <w:rPr>
          <w:b/>
          <w:sz w:val="24"/>
          <w:szCs w:val="24"/>
          <w:lang w:val="fr-FR"/>
        </w:rPr>
      </w:pPr>
      <w:r w:rsidRPr="00432AF1">
        <w:rPr>
          <w:b/>
          <w:sz w:val="24"/>
          <w:szCs w:val="24"/>
          <w:lang w:val="fr-FR"/>
        </w:rPr>
        <w:t>F</w:t>
      </w:r>
      <w:r>
        <w:rPr>
          <w:b/>
          <w:sz w:val="24"/>
          <w:szCs w:val="24"/>
          <w:lang w:val="fr-FR"/>
        </w:rPr>
        <w:t>orum mondial de l’harmonisation</w:t>
      </w:r>
      <w:r>
        <w:rPr>
          <w:b/>
          <w:sz w:val="24"/>
          <w:szCs w:val="24"/>
          <w:lang w:val="fr-FR"/>
        </w:rPr>
        <w:br/>
      </w:r>
      <w:r w:rsidRPr="00432AF1">
        <w:rPr>
          <w:b/>
          <w:sz w:val="24"/>
          <w:szCs w:val="24"/>
          <w:lang w:val="fr-FR"/>
        </w:rPr>
        <w:t>des Règlements concernant les véhicules</w:t>
      </w:r>
    </w:p>
    <w:p w:rsidR="00432AF1" w:rsidRPr="00286D79" w:rsidRDefault="00432AF1" w:rsidP="00432AF1">
      <w:pPr>
        <w:spacing w:after="120"/>
        <w:rPr>
          <w:b/>
          <w:lang w:val="fr-FR"/>
        </w:rPr>
      </w:pPr>
      <w:r w:rsidRPr="00286D79">
        <w:rPr>
          <w:b/>
          <w:lang w:val="fr-FR"/>
        </w:rPr>
        <w:t>Groupe de travail du bruit</w:t>
      </w:r>
    </w:p>
    <w:p w:rsidR="00432AF1" w:rsidRPr="00286D79" w:rsidRDefault="00432AF1" w:rsidP="00432AF1">
      <w:pPr>
        <w:rPr>
          <w:b/>
          <w:lang w:val="fr-FR"/>
        </w:rPr>
      </w:pPr>
      <w:r w:rsidRPr="00286D79">
        <w:rPr>
          <w:b/>
          <w:lang w:val="fr-FR"/>
        </w:rPr>
        <w:t>Soixante-huitième session</w:t>
      </w:r>
    </w:p>
    <w:p w:rsidR="00432AF1" w:rsidRPr="00286D79" w:rsidRDefault="00432AF1" w:rsidP="00432AF1">
      <w:pPr>
        <w:rPr>
          <w:lang w:val="fr-FR"/>
        </w:rPr>
      </w:pPr>
      <w:r w:rsidRPr="00286D79">
        <w:rPr>
          <w:lang w:val="fr-FR"/>
        </w:rPr>
        <w:t>Genève, 12-14 septembre 2018</w:t>
      </w:r>
    </w:p>
    <w:p w:rsidR="00432AF1" w:rsidRPr="00286D79" w:rsidRDefault="00432AF1" w:rsidP="00432AF1">
      <w:pPr>
        <w:rPr>
          <w:lang w:val="fr-FR"/>
        </w:rPr>
      </w:pPr>
      <w:r w:rsidRPr="00286D79">
        <w:rPr>
          <w:lang w:val="fr-FR"/>
        </w:rPr>
        <w:t>Point 1 de l</w:t>
      </w:r>
      <w:r>
        <w:rPr>
          <w:lang w:val="fr-FR"/>
        </w:rPr>
        <w:t>’</w:t>
      </w:r>
      <w:r w:rsidRPr="00286D79">
        <w:rPr>
          <w:lang w:val="fr-FR"/>
        </w:rPr>
        <w:t>ordre du jour provisoire</w:t>
      </w:r>
    </w:p>
    <w:p w:rsidR="00432AF1" w:rsidRPr="00286D79" w:rsidRDefault="00432AF1" w:rsidP="00432AF1">
      <w:pPr>
        <w:rPr>
          <w:b/>
          <w:lang w:val="fr-FR"/>
        </w:rPr>
      </w:pPr>
      <w:r w:rsidRPr="00286D79">
        <w:rPr>
          <w:b/>
          <w:lang w:val="fr-FR"/>
        </w:rPr>
        <w:t>Adoption de l</w:t>
      </w:r>
      <w:r>
        <w:rPr>
          <w:b/>
          <w:lang w:val="fr-FR"/>
        </w:rPr>
        <w:t>’</w:t>
      </w:r>
      <w:r w:rsidRPr="00286D79">
        <w:rPr>
          <w:b/>
          <w:lang w:val="fr-FR"/>
        </w:rPr>
        <w:t>ordre du jour</w:t>
      </w:r>
    </w:p>
    <w:p w:rsidR="00432AF1" w:rsidRPr="00432AF1" w:rsidRDefault="00432AF1" w:rsidP="00432AF1">
      <w:pPr>
        <w:pStyle w:val="HChG"/>
        <w:rPr>
          <w:spacing w:val="-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32AF1">
        <w:rPr>
          <w:spacing w:val="-4"/>
          <w:lang w:val="fr-FR"/>
        </w:rPr>
        <w:t>Ordre du jour provisoire annoté de la soixante-huitième session</w:t>
      </w:r>
    </w:p>
    <w:p w:rsidR="00432AF1" w:rsidRPr="00286D79" w:rsidRDefault="00432AF1" w:rsidP="00432AF1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86D79">
        <w:rPr>
          <w:lang w:val="fr-FR"/>
        </w:rPr>
        <w:t>Additif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432AF1">
        <w:rPr>
          <w:i/>
          <w:lang w:val="fr-FR"/>
        </w:rPr>
        <w:t>Ordre du jour provisoire, page 2</w:t>
      </w:r>
      <w:r w:rsidRPr="00286D79">
        <w:rPr>
          <w:lang w:val="fr-FR"/>
        </w:rPr>
        <w:t>, ajouter à la fin :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286D79">
        <w:rPr>
          <w:lang w:val="fr-FR"/>
        </w:rPr>
        <w:t>« 19.</w:t>
      </w:r>
      <w:r w:rsidRPr="00286D79">
        <w:rPr>
          <w:lang w:val="fr-FR"/>
        </w:rPr>
        <w:tab/>
        <w:t>Pneumatiques. ».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286D79">
        <w:rPr>
          <w:i/>
          <w:lang w:val="fr-FR"/>
        </w:rPr>
        <w:t>Annotations, page 6,</w:t>
      </w:r>
      <w:r w:rsidRPr="00286D79">
        <w:rPr>
          <w:lang w:val="fr-FR"/>
        </w:rPr>
        <w:t xml:space="preserve"> </w:t>
      </w:r>
      <w:r w:rsidRPr="00286D79">
        <w:rPr>
          <w:i/>
          <w:lang w:val="fr-FR"/>
        </w:rPr>
        <w:t>après le point 18</w:t>
      </w:r>
      <w:r w:rsidRPr="00286D79">
        <w:rPr>
          <w:lang w:val="fr-FR"/>
        </w:rPr>
        <w:t>, ajouter un nouveau point 19, libellé comme suit :</w:t>
      </w:r>
    </w:p>
    <w:p w:rsidR="00432AF1" w:rsidRPr="00286D79" w:rsidRDefault="008502E6" w:rsidP="008502E6">
      <w:pPr>
        <w:pStyle w:val="H1G"/>
        <w:rPr>
          <w:lang w:val="fr-FR"/>
        </w:rPr>
      </w:pPr>
      <w:r>
        <w:rPr>
          <w:lang w:val="fr-FR"/>
        </w:rPr>
        <w:tab/>
      </w:r>
      <w:r w:rsidR="00432AF1" w:rsidRPr="00286D79">
        <w:rPr>
          <w:lang w:val="fr-FR"/>
        </w:rPr>
        <w:t>« </w:t>
      </w:r>
      <w:r w:rsidR="00432AF1" w:rsidRPr="00432AF1">
        <w:rPr>
          <w:lang w:val="fr-FR"/>
        </w:rPr>
        <w:t>19.</w:t>
      </w:r>
      <w:r w:rsidR="00432AF1" w:rsidRPr="00432AF1">
        <w:rPr>
          <w:lang w:val="fr-FR"/>
        </w:rPr>
        <w:tab/>
        <w:t>Pneumatiques</w:t>
      </w:r>
    </w:p>
    <w:p w:rsidR="00432AF1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Le Groupe de travail souhaitera peut-être recevoir un rapport sur les activités menées par le groupe de travail informel des pneumatiques en ce qui concerne l</w:t>
      </w:r>
      <w:r>
        <w:rPr>
          <w:lang w:val="fr-FR"/>
        </w:rPr>
        <w:t>’</w:t>
      </w:r>
      <w:r w:rsidRPr="00286D79">
        <w:rPr>
          <w:lang w:val="fr-FR"/>
        </w:rPr>
        <w:t>élaboration de l</w:t>
      </w:r>
      <w:r>
        <w:rPr>
          <w:lang w:val="fr-FR"/>
        </w:rPr>
        <w:t>’</w:t>
      </w:r>
      <w:r w:rsidRPr="00286D79">
        <w:rPr>
          <w:lang w:val="fr-FR"/>
        </w:rPr>
        <w:t>amendement 2 au RTM ONU n</w:t>
      </w:r>
      <w:r w:rsidRPr="00286D79">
        <w:rPr>
          <w:vertAlign w:val="superscript"/>
          <w:lang w:val="fr-FR"/>
        </w:rPr>
        <w:t>o</w:t>
      </w:r>
      <w:r w:rsidRPr="00286D79">
        <w:rPr>
          <w:lang w:val="fr-FR"/>
        </w:rPr>
        <w:t xml:space="preserve"> 16. </w:t>
      </w:r>
    </w:p>
    <w:p w:rsidR="00432AF1" w:rsidRPr="00286D79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Le GRRF a maintenu à son ordre du jour les documents ECE/TRANS/</w:t>
      </w:r>
      <w:r w:rsidR="00DA723E">
        <w:rPr>
          <w:lang w:val="fr-FR"/>
        </w:rPr>
        <w:t xml:space="preserve"> </w:t>
      </w:r>
      <w:r w:rsidRPr="00286D79">
        <w:rPr>
          <w:lang w:val="fr-FR"/>
        </w:rPr>
        <w:t>WP.29/GRRF/2016/42, ECE/TRANS/WP.29/GRRF/2016/43 et ECE/TRANS/WP.29/ GRRF/2017/7, avec les corrections d</w:t>
      </w:r>
      <w:r>
        <w:rPr>
          <w:lang w:val="fr-FR"/>
        </w:rPr>
        <w:t>’</w:t>
      </w:r>
      <w:r w:rsidRPr="00286D79">
        <w:rPr>
          <w:lang w:val="fr-FR"/>
        </w:rPr>
        <w:t>ordre rédactionnel convenues, en attendant des propositions d</w:t>
      </w:r>
      <w:r>
        <w:rPr>
          <w:lang w:val="fr-FR"/>
        </w:rPr>
        <w:t>’</w:t>
      </w:r>
      <w:r w:rsidRPr="00286D79">
        <w:rPr>
          <w:lang w:val="fr-FR"/>
        </w:rPr>
        <w:t>amendements plus substantielles à soumettre au WP.29.</w:t>
      </w:r>
    </w:p>
    <w:p w:rsidR="00432AF1" w:rsidRPr="001F74C3" w:rsidRDefault="00432AF1" w:rsidP="00432AF1">
      <w:pPr>
        <w:pStyle w:val="SingleTxtG"/>
        <w:rPr>
          <w:lang w:val="en-US"/>
        </w:rPr>
      </w:pPr>
      <w:r w:rsidRPr="001F74C3">
        <w:rPr>
          <w:b/>
          <w:lang w:val="en-US"/>
        </w:rPr>
        <w:t>Document(s) </w:t>
      </w:r>
      <w:r w:rsidRPr="001F74C3">
        <w:rPr>
          <w:lang w:val="en-US"/>
        </w:rPr>
        <w:t>:</w:t>
      </w:r>
      <w:r w:rsidRPr="001F74C3">
        <w:rPr>
          <w:b/>
          <w:lang w:val="en-US"/>
        </w:rPr>
        <w:tab/>
      </w:r>
      <w:r w:rsidRPr="001F74C3">
        <w:rPr>
          <w:lang w:val="en-US"/>
        </w:rPr>
        <w:t>ECE/TRANS/WP.29/GRRF/2016/42,</w:t>
      </w:r>
      <w:r w:rsidRPr="001F74C3">
        <w:rPr>
          <w:lang w:val="en-US"/>
        </w:rPr>
        <w:br/>
      </w:r>
      <w:r w:rsidRPr="001F74C3">
        <w:rPr>
          <w:lang w:val="en-US"/>
        </w:rPr>
        <w:tab/>
      </w:r>
      <w:r w:rsidRPr="001F74C3">
        <w:rPr>
          <w:lang w:val="en-US"/>
        </w:rPr>
        <w:tab/>
      </w:r>
      <w:r w:rsidRPr="001F74C3">
        <w:rPr>
          <w:lang w:val="en-US"/>
        </w:rPr>
        <w:tab/>
        <w:t>ECE/TRANS/WP.29/GRRF/2016/43,</w:t>
      </w:r>
      <w:r w:rsidRPr="001F74C3">
        <w:rPr>
          <w:lang w:val="en-US"/>
        </w:rPr>
        <w:br/>
      </w:r>
      <w:r w:rsidRPr="001F74C3">
        <w:rPr>
          <w:lang w:val="en-US"/>
        </w:rPr>
        <w:tab/>
      </w:r>
      <w:r w:rsidRPr="001F74C3">
        <w:rPr>
          <w:lang w:val="en-US"/>
        </w:rPr>
        <w:tab/>
      </w:r>
      <w:r w:rsidRPr="001F74C3">
        <w:rPr>
          <w:lang w:val="en-US"/>
        </w:rPr>
        <w:tab/>
        <w:t>ECE/TRANS/WP.29/GRRF/2017/7.</w:t>
      </w:r>
    </w:p>
    <w:p w:rsidR="00432AF1" w:rsidRPr="00286D79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Le GRRF a commencé à examiner les prescriptions relatives aux pneus neige.</w:t>
      </w:r>
    </w:p>
    <w:p w:rsidR="00432AF1" w:rsidRPr="00286D79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Le Groupe de travail souhaitera peut-être poursuivre cet examen sur la base d</w:t>
      </w:r>
      <w:r>
        <w:rPr>
          <w:lang w:val="fr-FR"/>
        </w:rPr>
        <w:t>’</w:t>
      </w:r>
      <w:r w:rsidRPr="00286D79">
        <w:rPr>
          <w:lang w:val="fr-FR"/>
        </w:rPr>
        <w:t>un rapport de situation établi par l</w:t>
      </w:r>
      <w:r>
        <w:rPr>
          <w:lang w:val="fr-FR"/>
        </w:rPr>
        <w:t>’</w:t>
      </w:r>
      <w:r w:rsidRPr="00286D79">
        <w:rPr>
          <w:lang w:val="fr-FR"/>
        </w:rPr>
        <w:t>expert de l</w:t>
      </w:r>
      <w:r>
        <w:rPr>
          <w:lang w:val="fr-FR"/>
        </w:rPr>
        <w:t>’</w:t>
      </w:r>
      <w:r w:rsidRPr="00286D79">
        <w:rPr>
          <w:lang w:val="fr-FR"/>
        </w:rPr>
        <w:t>Allemagne concernant la mise en œuvre du scénario 2, tel qu</w:t>
      </w:r>
      <w:r>
        <w:rPr>
          <w:lang w:val="fr-FR"/>
        </w:rPr>
        <w:t>’</w:t>
      </w:r>
      <w:r w:rsidRPr="00286D79">
        <w:rPr>
          <w:lang w:val="fr-FR"/>
        </w:rPr>
        <w:t>il est décrit dans le document GRRF-86-09.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286D79">
        <w:rPr>
          <w:b/>
          <w:lang w:val="fr-FR"/>
        </w:rPr>
        <w:t>Document(s) </w:t>
      </w:r>
      <w:r w:rsidRPr="00286D79">
        <w:rPr>
          <w:lang w:val="fr-FR"/>
        </w:rPr>
        <w:t>:</w:t>
      </w:r>
      <w:r w:rsidRPr="00286D79">
        <w:rPr>
          <w:lang w:val="fr-FR"/>
        </w:rPr>
        <w:tab/>
        <w:t>Document informel GRRF-86-09</w:t>
      </w:r>
      <w:r>
        <w:rPr>
          <w:lang w:val="fr-FR"/>
        </w:rPr>
        <w:t>.</w:t>
      </w:r>
    </w:p>
    <w:p w:rsidR="00432AF1" w:rsidRPr="00286D79" w:rsidRDefault="00432AF1" w:rsidP="002A2F94">
      <w:pPr>
        <w:pStyle w:val="SingleTxtG"/>
        <w:keepLines/>
        <w:ind w:firstLine="567"/>
        <w:rPr>
          <w:lang w:val="fr-FR"/>
        </w:rPr>
      </w:pPr>
      <w:r w:rsidRPr="00286D79">
        <w:rPr>
          <w:lang w:val="fr-FR"/>
        </w:rPr>
        <w:lastRenderedPageBreak/>
        <w:t>Comme convenu à la session de juin 2018 du WP.29, le Groupe de travail examinera les propositions soumises par l</w:t>
      </w:r>
      <w:r>
        <w:rPr>
          <w:lang w:val="fr-FR"/>
        </w:rPr>
        <w:t>’</w:t>
      </w:r>
      <w:r w:rsidRPr="00286D79">
        <w:rPr>
          <w:lang w:val="fr-FR"/>
        </w:rPr>
        <w:t>expert de l</w:t>
      </w:r>
      <w:r>
        <w:rPr>
          <w:lang w:val="fr-FR"/>
        </w:rPr>
        <w:t>’</w:t>
      </w:r>
      <w:r w:rsidRPr="00286D79">
        <w:rPr>
          <w:lang w:val="fr-FR"/>
        </w:rPr>
        <w:t>Organisation technique européenne du pneumatique et de la jante (ETRTO) visant à introduire dans les Règlements ONU n</w:t>
      </w:r>
      <w:r w:rsidRPr="00286D79">
        <w:rPr>
          <w:vertAlign w:val="superscript"/>
          <w:lang w:val="fr-FR"/>
        </w:rPr>
        <w:t>os</w:t>
      </w:r>
      <w:r w:rsidRPr="00286D79">
        <w:rPr>
          <w:lang w:val="fr-FR"/>
        </w:rPr>
        <w:t> 30 et 64 des dispositions relatives aux pneumatiques à longévité prolongée.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286D79">
        <w:rPr>
          <w:b/>
          <w:lang w:val="fr-FR"/>
        </w:rPr>
        <w:t>Document(s) </w:t>
      </w:r>
      <w:r w:rsidRPr="00286D79">
        <w:rPr>
          <w:lang w:val="fr-FR"/>
        </w:rPr>
        <w:t>:</w:t>
      </w:r>
      <w:r w:rsidRPr="00286D79">
        <w:rPr>
          <w:lang w:val="fr-FR"/>
        </w:rPr>
        <w:tab/>
        <w:t>ECE/TRANS/WP.29/GRVA/2018/6,</w:t>
      </w:r>
      <w:r>
        <w:rPr>
          <w:lang w:val="fr-FR"/>
        </w:rPr>
        <w:br/>
      </w:r>
      <w:r w:rsidRPr="00286D79">
        <w:rPr>
          <w:lang w:val="fr-FR"/>
        </w:rPr>
        <w:tab/>
      </w:r>
      <w:r w:rsidRPr="00286D79">
        <w:rPr>
          <w:lang w:val="fr-FR"/>
        </w:rPr>
        <w:tab/>
      </w:r>
      <w:r w:rsidRPr="00286D79">
        <w:rPr>
          <w:lang w:val="fr-FR"/>
        </w:rPr>
        <w:tab/>
        <w:t>ECE/TRANS/WP.29/GRVA/2018/7</w:t>
      </w:r>
      <w:r>
        <w:rPr>
          <w:lang w:val="fr-FR"/>
        </w:rPr>
        <w:t>.</w:t>
      </w:r>
    </w:p>
    <w:p w:rsidR="00432AF1" w:rsidRPr="00286D79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Comme convenu à la session de juin 2018 du WP.29, le Groupe de travail examinera également une proposition d</w:t>
      </w:r>
      <w:r>
        <w:rPr>
          <w:lang w:val="fr-FR"/>
        </w:rPr>
        <w:t>’</w:t>
      </w:r>
      <w:r w:rsidRPr="00286D79">
        <w:rPr>
          <w:lang w:val="fr-FR"/>
        </w:rPr>
        <w:t>amendements au Règlement ONU n</w:t>
      </w:r>
      <w:r w:rsidRPr="00286D79">
        <w:rPr>
          <w:vertAlign w:val="superscript"/>
          <w:lang w:val="fr-FR"/>
        </w:rPr>
        <w:t>o</w:t>
      </w:r>
      <w:r w:rsidRPr="00286D79">
        <w:rPr>
          <w:lang w:val="fr-FR"/>
        </w:rPr>
        <w:t> 106, soumise par l</w:t>
      </w:r>
      <w:r>
        <w:rPr>
          <w:lang w:val="fr-FR"/>
        </w:rPr>
        <w:t>’</w:t>
      </w:r>
      <w:r w:rsidRPr="00286D79">
        <w:rPr>
          <w:lang w:val="fr-FR"/>
        </w:rPr>
        <w:t>expert de l</w:t>
      </w:r>
      <w:r>
        <w:rPr>
          <w:lang w:val="fr-FR"/>
        </w:rPr>
        <w:t>’</w:t>
      </w:r>
      <w:r w:rsidRPr="00286D79">
        <w:rPr>
          <w:lang w:val="fr-FR"/>
        </w:rPr>
        <w:t xml:space="preserve">ETRTO. 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286D79">
        <w:rPr>
          <w:b/>
          <w:lang w:val="fr-FR"/>
        </w:rPr>
        <w:t>Document(s) </w:t>
      </w:r>
      <w:r w:rsidRPr="00286D79">
        <w:rPr>
          <w:lang w:val="fr-FR"/>
        </w:rPr>
        <w:t>:</w:t>
      </w:r>
      <w:r w:rsidRPr="00286D79">
        <w:rPr>
          <w:lang w:val="fr-FR"/>
        </w:rPr>
        <w:tab/>
        <w:t>ECE/TRANS/WP.29/GRVA/2018/8</w:t>
      </w:r>
      <w:r>
        <w:rPr>
          <w:lang w:val="fr-FR"/>
        </w:rPr>
        <w:t>.</w:t>
      </w:r>
    </w:p>
    <w:p w:rsidR="00432AF1" w:rsidRPr="00286D79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Comme convenu à la session de juin 2018 du WP.29, le Groupe de travail examinera en outre une proposition d</w:t>
      </w:r>
      <w:r>
        <w:rPr>
          <w:lang w:val="fr-FR"/>
        </w:rPr>
        <w:t>’</w:t>
      </w:r>
      <w:r w:rsidRPr="00286D79">
        <w:rPr>
          <w:lang w:val="fr-FR"/>
        </w:rPr>
        <w:t>amendements au Règlement ONU n</w:t>
      </w:r>
      <w:r w:rsidRPr="00286D79">
        <w:rPr>
          <w:vertAlign w:val="superscript"/>
          <w:lang w:val="fr-FR"/>
        </w:rPr>
        <w:t>o</w:t>
      </w:r>
      <w:r w:rsidRPr="00286D79">
        <w:rPr>
          <w:lang w:val="fr-FR"/>
        </w:rPr>
        <w:t> 117, soumise par l</w:t>
      </w:r>
      <w:r>
        <w:rPr>
          <w:lang w:val="fr-FR"/>
        </w:rPr>
        <w:t>’</w:t>
      </w:r>
      <w:r w:rsidRPr="00286D79">
        <w:rPr>
          <w:lang w:val="fr-FR"/>
        </w:rPr>
        <w:t>expert de l</w:t>
      </w:r>
      <w:r>
        <w:rPr>
          <w:lang w:val="fr-FR"/>
        </w:rPr>
        <w:t>’</w:t>
      </w:r>
      <w:r w:rsidRPr="00286D79">
        <w:rPr>
          <w:lang w:val="fr-FR"/>
        </w:rPr>
        <w:t>ETRTO.</w:t>
      </w:r>
    </w:p>
    <w:p w:rsidR="00432AF1" w:rsidRPr="00286D79" w:rsidRDefault="00432AF1" w:rsidP="00432AF1">
      <w:pPr>
        <w:pStyle w:val="SingleTxtG"/>
        <w:rPr>
          <w:lang w:val="fr-FR"/>
        </w:rPr>
      </w:pPr>
      <w:r w:rsidRPr="00286D79">
        <w:rPr>
          <w:b/>
          <w:lang w:val="fr-FR"/>
        </w:rPr>
        <w:t>Document(s) </w:t>
      </w:r>
      <w:r w:rsidRPr="00286D79">
        <w:rPr>
          <w:lang w:val="fr-FR"/>
        </w:rPr>
        <w:t>:</w:t>
      </w:r>
      <w:r w:rsidRPr="00286D79">
        <w:rPr>
          <w:lang w:val="fr-FR"/>
        </w:rPr>
        <w:tab/>
        <w:t>ECE/TRANS/WP.29/GRVA/2018/5</w:t>
      </w:r>
      <w:r>
        <w:rPr>
          <w:lang w:val="fr-FR"/>
        </w:rPr>
        <w:t>.</w:t>
      </w:r>
    </w:p>
    <w:p w:rsidR="00432AF1" w:rsidRPr="00286D79" w:rsidRDefault="00432AF1" w:rsidP="00432AF1">
      <w:pPr>
        <w:pStyle w:val="SingleTxtG"/>
        <w:ind w:firstLine="567"/>
        <w:rPr>
          <w:lang w:val="fr-FR"/>
        </w:rPr>
      </w:pPr>
      <w:r w:rsidRPr="00286D79">
        <w:rPr>
          <w:lang w:val="fr-FR"/>
        </w:rPr>
        <w:t>Le Groupe de travail voudra sans doute examiner les renseignements et documents reçus par le secrétariat concernant les performances des pneumatiques en usage. Y figurent des éléments d</w:t>
      </w:r>
      <w:r>
        <w:rPr>
          <w:lang w:val="fr-FR"/>
        </w:rPr>
        <w:t>’</w:t>
      </w:r>
      <w:r w:rsidRPr="00286D79">
        <w:rPr>
          <w:lang w:val="fr-FR"/>
        </w:rPr>
        <w:t>information sur le comportement des consommateurs, ainsi que sur l</w:t>
      </w:r>
      <w:r>
        <w:rPr>
          <w:lang w:val="fr-FR"/>
        </w:rPr>
        <w:t>’</w:t>
      </w:r>
      <w:r w:rsidRPr="00286D79">
        <w:rPr>
          <w:lang w:val="fr-FR"/>
        </w:rPr>
        <w:t xml:space="preserve">impact environnemental du manque de données </w:t>
      </w:r>
      <w:r>
        <w:rPr>
          <w:lang w:val="fr-FR"/>
        </w:rPr>
        <w:t>relatives à ces</w:t>
      </w:r>
      <w:r w:rsidRPr="00286D79">
        <w:rPr>
          <w:lang w:val="fr-FR"/>
        </w:rPr>
        <w:t xml:space="preserve"> performances. On y trouve également des propositions concernant les moyens de mesurer </w:t>
      </w:r>
      <w:r>
        <w:rPr>
          <w:lang w:val="fr-FR"/>
        </w:rPr>
        <w:t>lesdites performances</w:t>
      </w:r>
      <w:r w:rsidRPr="00286D79">
        <w:rPr>
          <w:lang w:val="fr-FR"/>
        </w:rPr>
        <w:t xml:space="preserve">, selon lesquelles </w:t>
      </w:r>
      <w:r>
        <w:rPr>
          <w:lang w:val="fr-FR"/>
        </w:rPr>
        <w:t>cette</w:t>
      </w:r>
      <w:r w:rsidRPr="00286D79">
        <w:rPr>
          <w:lang w:val="fr-FR"/>
        </w:rPr>
        <w:t xml:space="preserve"> mesure pourrait être incluse dans le processus d</w:t>
      </w:r>
      <w:r>
        <w:rPr>
          <w:lang w:val="fr-FR"/>
        </w:rPr>
        <w:t>’</w:t>
      </w:r>
      <w:r w:rsidRPr="00286D79">
        <w:rPr>
          <w:lang w:val="fr-FR"/>
        </w:rPr>
        <w:t xml:space="preserve">homologation de type, potentiellement au libre choix du demandeur.  </w:t>
      </w:r>
    </w:p>
    <w:p w:rsidR="00F9573C" w:rsidRDefault="00432AF1" w:rsidP="00432AF1">
      <w:pPr>
        <w:pStyle w:val="SingleTxtG"/>
        <w:rPr>
          <w:lang w:val="fr-FR"/>
        </w:rPr>
      </w:pPr>
      <w:r w:rsidRPr="00286D79">
        <w:rPr>
          <w:b/>
          <w:lang w:val="fr-FR"/>
        </w:rPr>
        <w:t>Document(s) </w:t>
      </w:r>
      <w:r w:rsidRPr="00286D79">
        <w:rPr>
          <w:lang w:val="fr-FR"/>
        </w:rPr>
        <w:t xml:space="preserve">: </w:t>
      </w:r>
      <w:r w:rsidR="00F14814">
        <w:rPr>
          <w:lang w:val="fr-FR"/>
        </w:rPr>
        <w:tab/>
      </w:r>
      <w:r w:rsidRPr="00286D79">
        <w:rPr>
          <w:lang w:val="fr-FR"/>
        </w:rPr>
        <w:t>Document informel GRB-68-01</w:t>
      </w:r>
      <w:r>
        <w:rPr>
          <w:lang w:val="fr-FR"/>
        </w:rPr>
        <w:t>.</w:t>
      </w:r>
    </w:p>
    <w:p w:rsidR="00432AF1" w:rsidRPr="00432AF1" w:rsidRDefault="00432AF1" w:rsidP="00432AF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32AF1" w:rsidRPr="00432AF1" w:rsidSect="00432A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00" w:rsidRDefault="00057400" w:rsidP="00F95C08">
      <w:pPr>
        <w:spacing w:line="240" w:lineRule="auto"/>
      </w:pPr>
    </w:p>
  </w:endnote>
  <w:endnote w:type="continuationSeparator" w:id="0">
    <w:p w:rsidR="00057400" w:rsidRPr="00AC3823" w:rsidRDefault="00057400" w:rsidP="00AC3823">
      <w:pPr>
        <w:pStyle w:val="Footer"/>
      </w:pPr>
    </w:p>
  </w:endnote>
  <w:endnote w:type="continuationNotice" w:id="1">
    <w:p w:rsidR="00057400" w:rsidRDefault="000574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F1" w:rsidRPr="00432AF1" w:rsidRDefault="00432AF1" w:rsidP="00432AF1">
    <w:pPr>
      <w:pStyle w:val="Footer"/>
      <w:tabs>
        <w:tab w:val="right" w:pos="9638"/>
      </w:tabs>
    </w:pPr>
    <w:r w:rsidRPr="00432AF1">
      <w:rPr>
        <w:b/>
        <w:sz w:val="18"/>
      </w:rPr>
      <w:fldChar w:fldCharType="begin"/>
    </w:r>
    <w:r w:rsidRPr="00432AF1">
      <w:rPr>
        <w:b/>
        <w:sz w:val="18"/>
      </w:rPr>
      <w:instrText xml:space="preserve"> PAGE  \* MERGEFORMAT </w:instrText>
    </w:r>
    <w:r w:rsidRPr="00432AF1">
      <w:rPr>
        <w:b/>
        <w:sz w:val="18"/>
      </w:rPr>
      <w:fldChar w:fldCharType="separate"/>
    </w:r>
    <w:r w:rsidR="00CE4857">
      <w:rPr>
        <w:b/>
        <w:noProof/>
        <w:sz w:val="18"/>
      </w:rPr>
      <w:t>2</w:t>
    </w:r>
    <w:r w:rsidRPr="00432AF1">
      <w:rPr>
        <w:b/>
        <w:sz w:val="18"/>
      </w:rPr>
      <w:fldChar w:fldCharType="end"/>
    </w:r>
    <w:r>
      <w:rPr>
        <w:b/>
        <w:sz w:val="18"/>
      </w:rPr>
      <w:tab/>
    </w:r>
    <w:r>
      <w:t>GE.18-12014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F1" w:rsidRPr="00432AF1" w:rsidRDefault="00432AF1" w:rsidP="00432AF1">
    <w:pPr>
      <w:pStyle w:val="Footer"/>
      <w:tabs>
        <w:tab w:val="right" w:pos="9638"/>
      </w:tabs>
      <w:rPr>
        <w:b/>
        <w:sz w:val="18"/>
      </w:rPr>
    </w:pPr>
    <w:r>
      <w:t>GE.18-12014</w:t>
    </w:r>
    <w:r>
      <w:tab/>
    </w:r>
    <w:r w:rsidRPr="00432AF1">
      <w:rPr>
        <w:b/>
        <w:sz w:val="18"/>
      </w:rPr>
      <w:fldChar w:fldCharType="begin"/>
    </w:r>
    <w:r w:rsidRPr="00432AF1">
      <w:rPr>
        <w:b/>
        <w:sz w:val="18"/>
      </w:rPr>
      <w:instrText xml:space="preserve"> PAGE  \* MERGEFORMAT </w:instrText>
    </w:r>
    <w:r w:rsidRPr="00432AF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32A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32AF1" w:rsidRDefault="00432AF1" w:rsidP="00432AF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18-12014  (F)</w:t>
    </w:r>
    <w:r w:rsidR="004F057C">
      <w:rPr>
        <w:sz w:val="20"/>
      </w:rPr>
      <w:t xml:space="preserve">    270718    270718</w:t>
    </w:r>
    <w:r>
      <w:rPr>
        <w:sz w:val="20"/>
      </w:rPr>
      <w:br/>
    </w:r>
    <w:r w:rsidRPr="00432AF1">
      <w:rPr>
        <w:rFonts w:ascii="C39T30Lfz" w:hAnsi="C39T30Lfz"/>
        <w:sz w:val="56"/>
      </w:rPr>
      <w:t></w:t>
    </w:r>
    <w:r w:rsidRPr="00432AF1">
      <w:rPr>
        <w:rFonts w:ascii="C39T30Lfz" w:hAnsi="C39T30Lfz"/>
        <w:sz w:val="56"/>
      </w:rPr>
      <w:t></w:t>
    </w:r>
    <w:r w:rsidRPr="00432AF1">
      <w:rPr>
        <w:rFonts w:ascii="C39T30Lfz" w:hAnsi="C39T30Lfz"/>
        <w:sz w:val="56"/>
      </w:rPr>
      <w:t></w:t>
    </w:r>
    <w:r w:rsidRPr="00432AF1">
      <w:rPr>
        <w:rFonts w:ascii="C39T30Lfz" w:hAnsi="C39T30Lfz"/>
        <w:sz w:val="56"/>
      </w:rPr>
      <w:t></w:t>
    </w:r>
    <w:r w:rsidRPr="00432AF1">
      <w:rPr>
        <w:rFonts w:ascii="C39T30Lfz" w:hAnsi="C39T30Lfz"/>
        <w:sz w:val="56"/>
      </w:rPr>
      <w:t></w:t>
    </w:r>
    <w:r w:rsidRPr="00432AF1">
      <w:rPr>
        <w:rFonts w:ascii="C39T30Lfz" w:hAnsi="C39T30Lfz"/>
        <w:sz w:val="56"/>
      </w:rPr>
      <w:t></w:t>
    </w:r>
    <w:r w:rsidRPr="00432AF1">
      <w:rPr>
        <w:rFonts w:ascii="C39T30Lfz" w:hAnsi="C39T30Lfz"/>
        <w:sz w:val="56"/>
      </w:rPr>
      <w:t></w:t>
    </w:r>
    <w:r w:rsidRPr="00432AF1">
      <w:rPr>
        <w:rFonts w:ascii="C39T30Lfz" w:hAnsi="C39T30Lfz"/>
        <w:sz w:val="56"/>
      </w:rPr>
      <w:t></w:t>
    </w:r>
    <w:r w:rsidRPr="00432AF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8/5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5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00" w:rsidRPr="00AC3823" w:rsidRDefault="000574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7400" w:rsidRPr="00AC3823" w:rsidRDefault="000574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7400" w:rsidRPr="00AC3823" w:rsidRDefault="0005740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F1" w:rsidRPr="00432AF1" w:rsidRDefault="00A414E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E4857">
      <w:t>ECE/TRANS/WP.29/GRB/2018/5/Add.1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F1" w:rsidRPr="00432AF1" w:rsidRDefault="00A414E7" w:rsidP="00432A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4857">
      <w:t>ECE/TRANS/WP.29/GRB/2018/5/Add.1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00"/>
    <w:rsid w:val="00017F94"/>
    <w:rsid w:val="00023842"/>
    <w:rsid w:val="000334F9"/>
    <w:rsid w:val="00045FEB"/>
    <w:rsid w:val="00057400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2F94"/>
    <w:rsid w:val="002D7C93"/>
    <w:rsid w:val="00305801"/>
    <w:rsid w:val="003916DE"/>
    <w:rsid w:val="0042791D"/>
    <w:rsid w:val="00432AF1"/>
    <w:rsid w:val="00441C3B"/>
    <w:rsid w:val="00446FE5"/>
    <w:rsid w:val="00452396"/>
    <w:rsid w:val="004837D8"/>
    <w:rsid w:val="004E468C"/>
    <w:rsid w:val="004F057C"/>
    <w:rsid w:val="005505B7"/>
    <w:rsid w:val="00573BE5"/>
    <w:rsid w:val="00586ED3"/>
    <w:rsid w:val="00596AA9"/>
    <w:rsid w:val="0071601D"/>
    <w:rsid w:val="007A62E6"/>
    <w:rsid w:val="007F20FA"/>
    <w:rsid w:val="00806383"/>
    <w:rsid w:val="0080684C"/>
    <w:rsid w:val="008502E6"/>
    <w:rsid w:val="00871C75"/>
    <w:rsid w:val="008776DC"/>
    <w:rsid w:val="009446C0"/>
    <w:rsid w:val="009705C8"/>
    <w:rsid w:val="009C1CF4"/>
    <w:rsid w:val="009F6B74"/>
    <w:rsid w:val="00A30353"/>
    <w:rsid w:val="00A414E7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E4857"/>
    <w:rsid w:val="00D3439C"/>
    <w:rsid w:val="00DA723E"/>
    <w:rsid w:val="00DB1831"/>
    <w:rsid w:val="00DD3BFD"/>
    <w:rsid w:val="00DF6678"/>
    <w:rsid w:val="00E0299A"/>
    <w:rsid w:val="00E85C74"/>
    <w:rsid w:val="00EA6547"/>
    <w:rsid w:val="00EF2E22"/>
    <w:rsid w:val="00F1481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49E5C4-4468-452F-93B3-460F149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ECE/TRANS/WP.29/GRB/2018/5/Add.1</vt:lpstr>
      <vt:lpstr/>
    </vt:vector>
  </TitlesOfParts>
  <Company>DCM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ECE/TRANS/WP.29/GRB/2018/5/Add.1</dc:title>
  <dc:subject/>
  <dc:creator>Sylvie LAMY</dc:creator>
  <cp:keywords/>
  <cp:lastModifiedBy>Benedicte Boudol</cp:lastModifiedBy>
  <cp:revision>2</cp:revision>
  <cp:lastPrinted>2018-07-27T09:29:00Z</cp:lastPrinted>
  <dcterms:created xsi:type="dcterms:W3CDTF">2018-07-30T12:22:00Z</dcterms:created>
  <dcterms:modified xsi:type="dcterms:W3CDTF">2018-07-30T12:22:00Z</dcterms:modified>
</cp:coreProperties>
</file>