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F4A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F4AE1" w:rsidP="006F4AE1">
            <w:pPr>
              <w:jc w:val="right"/>
            </w:pPr>
            <w:r w:rsidRPr="006F4AE1">
              <w:rPr>
                <w:sz w:val="40"/>
              </w:rPr>
              <w:t>ECE</w:t>
            </w:r>
            <w:r>
              <w:t>/TRANS/WP.29/GRB/2018/2</w:t>
            </w:r>
          </w:p>
        </w:tc>
      </w:tr>
      <w:tr w:rsidR="002D5AAC" w:rsidRPr="00C5173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F4A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F4AE1" w:rsidRDefault="006F4AE1" w:rsidP="006F4A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2017</w:t>
            </w:r>
          </w:p>
          <w:p w:rsidR="006F4AE1" w:rsidRDefault="006F4AE1" w:rsidP="006F4A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F4AE1" w:rsidRPr="008D53B6" w:rsidRDefault="006F4AE1" w:rsidP="006F4A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4AE1" w:rsidRPr="0004717C" w:rsidRDefault="006F4AE1" w:rsidP="006F4AE1">
      <w:pPr>
        <w:spacing w:before="120"/>
        <w:rPr>
          <w:bCs/>
          <w:sz w:val="28"/>
          <w:szCs w:val="28"/>
        </w:rPr>
      </w:pPr>
      <w:r w:rsidRPr="0004717C">
        <w:rPr>
          <w:bCs/>
          <w:sz w:val="28"/>
          <w:szCs w:val="28"/>
        </w:rPr>
        <w:t>Комитет по внутреннему транспорту</w:t>
      </w:r>
    </w:p>
    <w:p w:rsidR="006F4AE1" w:rsidRPr="0004717C" w:rsidRDefault="006F4AE1" w:rsidP="006F4AE1">
      <w:pPr>
        <w:spacing w:before="120"/>
        <w:rPr>
          <w:b/>
          <w:bCs/>
          <w:sz w:val="24"/>
          <w:szCs w:val="24"/>
        </w:rPr>
      </w:pPr>
      <w:r w:rsidRPr="0004717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4717C">
        <w:rPr>
          <w:b/>
          <w:bCs/>
          <w:sz w:val="24"/>
          <w:szCs w:val="24"/>
        </w:rPr>
        <w:br/>
        <w:t>в области транспортных средств</w:t>
      </w:r>
    </w:p>
    <w:p w:rsidR="00C51734" w:rsidRPr="003C5648" w:rsidRDefault="00C51734" w:rsidP="00C51734">
      <w:pPr>
        <w:spacing w:before="120"/>
        <w:rPr>
          <w:b/>
        </w:rPr>
      </w:pPr>
      <w:bookmarkStart w:id="0" w:name="_GoBack"/>
      <w:r w:rsidRPr="00AA7959">
        <w:rPr>
          <w:b/>
          <w:bCs/>
        </w:rPr>
        <w:t>Рабочая группа по вопросам шума</w:t>
      </w:r>
    </w:p>
    <w:p w:rsidR="006F4AE1" w:rsidRPr="00C51734" w:rsidRDefault="006F4AE1" w:rsidP="00C51734">
      <w:pPr>
        <w:spacing w:before="120"/>
        <w:rPr>
          <w:b/>
          <w:bCs/>
        </w:rPr>
      </w:pPr>
      <w:r w:rsidRPr="00C51734">
        <w:rPr>
          <w:b/>
          <w:bCs/>
        </w:rPr>
        <w:t>Шестьдесят седьмая сессия</w:t>
      </w:r>
    </w:p>
    <w:bookmarkEnd w:id="0"/>
    <w:p w:rsidR="006F4AE1" w:rsidRPr="00666951" w:rsidRDefault="006F4AE1" w:rsidP="006F4AE1">
      <w:pPr>
        <w:rPr>
          <w:bCs/>
          <w:szCs w:val="20"/>
        </w:rPr>
      </w:pPr>
      <w:r w:rsidRPr="00666951">
        <w:rPr>
          <w:szCs w:val="20"/>
        </w:rPr>
        <w:t>Женева, 24–26 января 2018 года</w:t>
      </w:r>
    </w:p>
    <w:p w:rsidR="006F4AE1" w:rsidRPr="00666951" w:rsidRDefault="006F4AE1" w:rsidP="006F4AE1">
      <w:pPr>
        <w:rPr>
          <w:bCs/>
          <w:szCs w:val="20"/>
        </w:rPr>
      </w:pPr>
      <w:r w:rsidRPr="00666951">
        <w:rPr>
          <w:szCs w:val="20"/>
        </w:rPr>
        <w:t>Пункт 4 а) предварительной повестки дня</w:t>
      </w:r>
    </w:p>
    <w:p w:rsidR="006F4AE1" w:rsidRPr="0004717C" w:rsidRDefault="006F4AE1" w:rsidP="006F4AE1">
      <w:pPr>
        <w:rPr>
          <w:b/>
          <w:bCs/>
          <w:szCs w:val="20"/>
        </w:rPr>
      </w:pPr>
      <w:r w:rsidRPr="0004717C">
        <w:rPr>
          <w:b/>
          <w:bCs/>
          <w:szCs w:val="20"/>
        </w:rPr>
        <w:t xml:space="preserve">Правила № 51 (шум, производимый транспортными </w:t>
      </w:r>
      <w:r w:rsidRPr="0004717C">
        <w:rPr>
          <w:b/>
          <w:bCs/>
          <w:szCs w:val="20"/>
        </w:rPr>
        <w:br/>
        <w:t xml:space="preserve">средствами категорий M и N): </w:t>
      </w:r>
    </w:p>
    <w:p w:rsidR="006F4AE1" w:rsidRPr="006F4AE1" w:rsidRDefault="006F4AE1" w:rsidP="006F4AE1">
      <w:pPr>
        <w:rPr>
          <w:b/>
          <w:sz w:val="28"/>
          <w:szCs w:val="28"/>
        </w:rPr>
      </w:pPr>
      <w:r w:rsidRPr="0004717C">
        <w:rPr>
          <w:b/>
          <w:bCs/>
          <w:szCs w:val="20"/>
        </w:rPr>
        <w:t>Разработка</w:t>
      </w:r>
    </w:p>
    <w:p w:rsidR="006F4AE1" w:rsidRPr="007127BB" w:rsidRDefault="006F4AE1" w:rsidP="006F4AE1">
      <w:pPr>
        <w:pStyle w:val="HChGR"/>
      </w:pPr>
      <w:r w:rsidRPr="007127BB">
        <w:tab/>
      </w:r>
      <w:r w:rsidRPr="007127BB">
        <w:tab/>
        <w:t>Предложение по дополнению 4 к поправкам серии 03 к Правилам № 51 (шум, производимый транспортными средствами категорий M и N)</w:t>
      </w:r>
    </w:p>
    <w:p w:rsidR="006F4AE1" w:rsidRPr="007127BB" w:rsidRDefault="006F4AE1" w:rsidP="006F4AE1">
      <w:pPr>
        <w:pStyle w:val="H1GR"/>
      </w:pPr>
      <w:r>
        <w:tab/>
      </w:r>
      <w:r>
        <w:tab/>
      </w:r>
      <w:r w:rsidRPr="007127BB">
        <w:t>Представлено экспертом от Международной организации предприятий автомобильной промышленности</w:t>
      </w:r>
      <w:r w:rsidRPr="0004717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F4AE1" w:rsidRPr="007127BB" w:rsidRDefault="006F4AE1" w:rsidP="006F4AE1">
      <w:pPr>
        <w:pStyle w:val="SingleTxtGR"/>
        <w:rPr>
          <w:b/>
        </w:rPr>
      </w:pPr>
      <w:r>
        <w:tab/>
      </w:r>
      <w:r w:rsidRPr="007127BB">
        <w:t>Воспроизведенный ниже текст был подготовлен экспертом от Междун</w:t>
      </w:r>
      <w:r w:rsidRPr="007127BB">
        <w:t>а</w:t>
      </w:r>
      <w:r w:rsidRPr="007127BB">
        <w:t>родной организации предприятий автомобильной промышленности (МОПАП) для обновления и пересмотра поправок серии 03 к Правилам № 51. Предлага</w:t>
      </w:r>
      <w:r w:rsidRPr="007127BB">
        <w:t>е</w:t>
      </w:r>
      <w:r w:rsidRPr="007127BB">
        <w:t>мые поправки основаны на проекте дополнения 3 к поправкам серии 03 к Пр</w:t>
      </w:r>
      <w:r w:rsidRPr="007127BB">
        <w:t>а</w:t>
      </w:r>
      <w:r w:rsidRPr="007127BB">
        <w:t>вилам № 51, который был принят Рабочей группой по вопросам шума на ее шестьдесят шестой сессии (приложение II к документу ECE/TRANS/WP.29/</w:t>
      </w:r>
      <w:r>
        <w:br/>
      </w:r>
      <w:r w:rsidRPr="007127BB">
        <w:t>GRB/64). Изменения выделены жирным шрифтом в случае новых положений или зачеркиванием в случае исключенных элементов.</w:t>
      </w:r>
    </w:p>
    <w:p w:rsidR="006F4AE1" w:rsidRPr="007127BB" w:rsidRDefault="006F4AE1" w:rsidP="00B26CA4">
      <w:pPr>
        <w:pStyle w:val="HChGR"/>
        <w:pageBreakBefore/>
      </w:pPr>
      <w:r w:rsidRPr="007127BB">
        <w:lastRenderedPageBreak/>
        <w:tab/>
        <w:t>I.</w:t>
      </w:r>
      <w:r w:rsidRPr="007127BB">
        <w:tab/>
        <w:t>Предложение</w:t>
      </w:r>
    </w:p>
    <w:p w:rsidR="006F4AE1" w:rsidRPr="007127BB" w:rsidRDefault="006F4AE1" w:rsidP="006F4AE1">
      <w:pPr>
        <w:pStyle w:val="SingleTxtGR"/>
        <w:rPr>
          <w:i/>
        </w:rPr>
      </w:pPr>
      <w:r w:rsidRPr="007127BB">
        <w:rPr>
          <w:i/>
          <w:iCs/>
        </w:rPr>
        <w:t>Приложение 3</w:t>
      </w:r>
      <w:r w:rsidRPr="007127BB">
        <w:t xml:space="preserve"> </w:t>
      </w:r>
    </w:p>
    <w:p w:rsidR="006F4AE1" w:rsidRPr="007127BB" w:rsidRDefault="006F4AE1" w:rsidP="006F4AE1">
      <w:pPr>
        <w:pStyle w:val="SingleTxtGR"/>
      </w:pPr>
      <w:r w:rsidRPr="007127BB">
        <w:rPr>
          <w:i/>
          <w:iCs/>
        </w:rPr>
        <w:t>Пункт 3.1.2.1.4.1,</w:t>
      </w:r>
      <w:r w:rsidRPr="007127BB">
        <w:t xml:space="preserve"> добавить новый подпункт e) следующего содержания:</w:t>
      </w:r>
    </w:p>
    <w:p w:rsidR="00B26CA4" w:rsidRPr="006D3570" w:rsidRDefault="006D3570" w:rsidP="00B26CA4">
      <w:pPr>
        <w:pStyle w:val="SingleTxtGR"/>
        <w:ind w:left="2268" w:hanging="1134"/>
      </w:pPr>
      <w:r>
        <w:t>«</w:t>
      </w:r>
      <w:r w:rsidR="006F4AE1" w:rsidRPr="007127BB">
        <w:t xml:space="preserve">3.1.2.1.4.1 </w:t>
      </w:r>
      <w:r w:rsidR="006F4AE1" w:rsidRPr="007127BB"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  <w:r w:rsidRPr="006D3570">
        <w:t xml:space="preserve"> </w:t>
      </w:r>
    </w:p>
    <w:p w:rsidR="006F4AE1" w:rsidRPr="007127BB" w:rsidRDefault="006F4AE1" w:rsidP="00B26CA4">
      <w:pPr>
        <w:pStyle w:val="SingleTxtGR"/>
        <w:ind w:left="2268"/>
      </w:pPr>
      <w:r w:rsidRPr="007127BB">
        <w:t xml:space="preserve">… </w:t>
      </w:r>
    </w:p>
    <w:p w:rsidR="006F4AE1" w:rsidRPr="007127BB" w:rsidRDefault="006F4AE1" w:rsidP="00B26CA4">
      <w:pPr>
        <w:pStyle w:val="SingleTxtGR"/>
        <w:ind w:left="2268"/>
        <w:rPr>
          <w:b/>
          <w:bCs/>
        </w:rPr>
      </w:pPr>
      <w:r w:rsidRPr="007127BB">
        <w:rPr>
          <w:b/>
          <w:bCs/>
        </w:rPr>
        <w:t>e) если ни одно из передаточных чисел не позволяет обеспечить ускорение менее 2,0 м/с</w:t>
      </w:r>
      <w:r w:rsidRPr="007127BB">
        <w:rPr>
          <w:b/>
          <w:bCs/>
          <w:vertAlign w:val="superscript"/>
        </w:rPr>
        <w:t>2</w:t>
      </w:r>
      <w:r w:rsidRPr="007127BB">
        <w:rPr>
          <w:b/>
          <w:bCs/>
        </w:rPr>
        <w:t>, то изготовитель по возможности пр</w:t>
      </w:r>
      <w:r w:rsidRPr="007127BB">
        <w:rPr>
          <w:b/>
          <w:bCs/>
        </w:rPr>
        <w:t>и</w:t>
      </w:r>
      <w:r w:rsidRPr="007127BB">
        <w:rPr>
          <w:b/>
          <w:bCs/>
        </w:rPr>
        <w:t>нимает меры для недопущения того, чтобы значение ускорения а</w:t>
      </w:r>
      <w:r w:rsidRPr="007127BB">
        <w:rPr>
          <w:b/>
          <w:bCs/>
          <w:vertAlign w:val="subscript"/>
        </w:rPr>
        <w:t>wot</w:t>
      </w:r>
      <w:r w:rsidRPr="007127BB">
        <w:rPr>
          <w:b/>
          <w:bCs/>
        </w:rPr>
        <w:t xml:space="preserve"> </w:t>
      </w:r>
      <w:r w:rsidRPr="007127BB">
        <w:rPr>
          <w:b/>
          <w:bCs/>
          <w:vertAlign w:val="subscript"/>
        </w:rPr>
        <w:t>test</w:t>
      </w:r>
      <w:r w:rsidRPr="007127BB">
        <w:rPr>
          <w:b/>
          <w:bCs/>
        </w:rPr>
        <w:t xml:space="preserve"> превышало 2,0 м/с</w:t>
      </w:r>
      <w:r w:rsidRPr="007127BB">
        <w:rPr>
          <w:b/>
          <w:bCs/>
          <w:vertAlign w:val="superscript"/>
        </w:rPr>
        <w:t>2</w:t>
      </w:r>
      <w:r w:rsidRPr="007127BB">
        <w:rPr>
          <w:b/>
          <w:bCs/>
        </w:rPr>
        <w:t>.</w:t>
      </w:r>
    </w:p>
    <w:p w:rsidR="006F4AE1" w:rsidRPr="007127BB" w:rsidRDefault="006F4AE1" w:rsidP="00B26CA4">
      <w:pPr>
        <w:pStyle w:val="SingleTxtGR"/>
        <w:ind w:left="2268"/>
        <w:rPr>
          <w:b/>
          <w:bCs/>
        </w:rPr>
      </w:pPr>
      <w:r w:rsidRPr="007127BB">
        <w:rPr>
          <w:b/>
          <w:bCs/>
        </w:rPr>
        <w:t>В таблице 1, содержащейся в добавлении к приложению 3, пр</w:t>
      </w:r>
      <w:r w:rsidRPr="007127BB">
        <w:rPr>
          <w:b/>
          <w:bCs/>
        </w:rPr>
        <w:t>и</w:t>
      </w:r>
      <w:r w:rsidRPr="007127BB">
        <w:rPr>
          <w:b/>
          <w:bCs/>
        </w:rPr>
        <w:t>ведены примеры приемлемых методов контроля понижения передач или недопущения ускорений, превышающих 2,0</w:t>
      </w:r>
      <w:r w:rsidR="009526F7">
        <w:rPr>
          <w:b/>
          <w:bCs/>
        </w:rPr>
        <w:t> </w:t>
      </w:r>
      <w:r w:rsidRPr="007127BB">
        <w:rPr>
          <w:b/>
          <w:bCs/>
        </w:rPr>
        <w:t>м/с</w:t>
      </w:r>
      <w:r w:rsidRPr="007127BB">
        <w:rPr>
          <w:b/>
          <w:bCs/>
          <w:vertAlign w:val="superscript"/>
        </w:rPr>
        <w:t>2</w:t>
      </w:r>
      <w:r w:rsidRPr="007127BB">
        <w:rPr>
          <w:b/>
          <w:bCs/>
        </w:rPr>
        <w:t>. Любой метод, используемый изготовителем для вышеупомян</w:t>
      </w:r>
      <w:r w:rsidRPr="007127BB">
        <w:rPr>
          <w:b/>
          <w:bCs/>
        </w:rPr>
        <w:t>у</w:t>
      </w:r>
      <w:r w:rsidRPr="007127BB">
        <w:rPr>
          <w:b/>
          <w:bCs/>
        </w:rPr>
        <w:t>тых целей, указывают в протоколе испытания</w:t>
      </w:r>
      <w:r w:rsidR="006D3570" w:rsidRPr="006D3570">
        <w:rPr>
          <w:bCs/>
        </w:rPr>
        <w:t>»</w:t>
      </w:r>
      <w:r w:rsidRPr="006D3570">
        <w:rPr>
          <w:bCs/>
        </w:rPr>
        <w:t>.</w:t>
      </w:r>
      <w:r w:rsidRPr="007127BB">
        <w:rPr>
          <w:b/>
          <w:bCs/>
        </w:rPr>
        <w:t xml:space="preserve"> </w:t>
      </w:r>
    </w:p>
    <w:p w:rsidR="006F4AE1" w:rsidRPr="007127BB" w:rsidRDefault="006F4AE1" w:rsidP="006F4AE1">
      <w:pPr>
        <w:pStyle w:val="SingleTxtGR"/>
      </w:pPr>
      <w:r w:rsidRPr="007127BB">
        <w:rPr>
          <w:i/>
          <w:iCs/>
        </w:rPr>
        <w:t>Пункт 3.1.2.1.4.2</w:t>
      </w:r>
      <w:r w:rsidRPr="007127BB">
        <w:t xml:space="preserve"> изменить следующим образом:</w:t>
      </w:r>
    </w:p>
    <w:p w:rsidR="006F4AE1" w:rsidRPr="00B26CA4" w:rsidRDefault="009526F7" w:rsidP="00B26CA4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6F4AE1" w:rsidRPr="00B26CA4">
        <w:rPr>
          <w:bCs/>
        </w:rPr>
        <w:t xml:space="preserve">3.1.2.1.4.2 </w:t>
      </w:r>
      <w:r w:rsidR="006F4AE1" w:rsidRPr="00B26CA4">
        <w:rPr>
          <w:bCs/>
        </w:rPr>
        <w:tab/>
        <w:t>Транспортные средства, оснащенные автоматической трансмисс</w:t>
      </w:r>
      <w:r w:rsidR="006F4AE1" w:rsidRPr="00B26CA4">
        <w:rPr>
          <w:bCs/>
        </w:rPr>
        <w:t>и</w:t>
      </w:r>
      <w:r w:rsidR="006F4AE1" w:rsidRPr="00B26CA4">
        <w:rPr>
          <w:bCs/>
        </w:rPr>
        <w:t>ей, адаптивными трансмиссиями и БКП, испытываемыми без бл</w:t>
      </w:r>
      <w:r w:rsidR="006F4AE1" w:rsidRPr="00B26CA4">
        <w:rPr>
          <w:bCs/>
        </w:rPr>
        <w:t>о</w:t>
      </w:r>
      <w:r w:rsidR="006F4AE1" w:rsidRPr="00B26CA4">
        <w:rPr>
          <w:bCs/>
        </w:rPr>
        <w:t>кировки передаточных чисел</w:t>
      </w:r>
    </w:p>
    <w:p w:rsidR="006F4AE1" w:rsidRPr="00B26CA4" w:rsidRDefault="006F4AE1" w:rsidP="00B26CA4">
      <w:pPr>
        <w:pStyle w:val="SingleTxtGR"/>
        <w:ind w:left="3402" w:hanging="1134"/>
        <w:rPr>
          <w:bCs/>
        </w:rPr>
      </w:pPr>
      <w:r w:rsidRPr="00B26CA4">
        <w:rPr>
          <w:bCs/>
        </w:rPr>
        <w:t xml:space="preserve">… </w:t>
      </w:r>
    </w:p>
    <w:p w:rsidR="006F4AE1" w:rsidRPr="00B26CA4" w:rsidRDefault="00B26CA4" w:rsidP="00B26CA4">
      <w:pPr>
        <w:pStyle w:val="SingleTxtGR"/>
        <w:ind w:left="2268" w:hanging="1134"/>
        <w:rPr>
          <w:bCs/>
        </w:rPr>
      </w:pPr>
      <w:r w:rsidRPr="00C51734">
        <w:rPr>
          <w:bCs/>
        </w:rPr>
        <w:tab/>
      </w:r>
      <w:r w:rsidRPr="00C51734">
        <w:rPr>
          <w:bCs/>
        </w:rPr>
        <w:tab/>
      </w:r>
      <w:r w:rsidR="006F4AE1" w:rsidRPr="00B26CA4">
        <w:rPr>
          <w:bCs/>
        </w:rPr>
        <w:t>Таким образом, допускается установка и использование электро</w:t>
      </w:r>
      <w:r w:rsidR="006F4AE1" w:rsidRPr="00B26CA4">
        <w:rPr>
          <w:bCs/>
        </w:rPr>
        <w:t>н</w:t>
      </w:r>
      <w:r w:rsidR="006F4AE1" w:rsidRPr="00B26CA4">
        <w:rPr>
          <w:bCs/>
        </w:rPr>
        <w:t>ных либо механических устройств, в том числе переменных пол</w:t>
      </w:r>
      <w:r w:rsidR="006F4AE1" w:rsidRPr="00B26CA4">
        <w:rPr>
          <w:bCs/>
        </w:rPr>
        <w:t>о</w:t>
      </w:r>
      <w:r w:rsidR="006F4AE1" w:rsidRPr="00B26CA4">
        <w:rPr>
          <w:bCs/>
        </w:rPr>
        <w:t>жений переключателя передачи, которые препятствуют понижению передаточного числа до значения, которое обычно не применяется в указанных условиях испытания при движении в городе.</w:t>
      </w:r>
    </w:p>
    <w:p w:rsidR="006F4AE1" w:rsidRPr="00B26CA4" w:rsidRDefault="00B26CA4" w:rsidP="00B26CA4">
      <w:pPr>
        <w:pStyle w:val="SingleTxtGR"/>
        <w:ind w:left="2268" w:hanging="1134"/>
      </w:pPr>
      <w:r w:rsidRPr="00C51734">
        <w:rPr>
          <w:bCs/>
        </w:rPr>
        <w:tab/>
      </w:r>
      <w:r w:rsidRPr="00C51734">
        <w:rPr>
          <w:bCs/>
        </w:rPr>
        <w:tab/>
      </w:r>
      <w:r w:rsidR="006F4AE1" w:rsidRPr="00B26CA4">
        <w:rPr>
          <w:bCs/>
        </w:rPr>
        <w:t>Изготовитель, по возможности, принимает меры для недопущения того, чтобы значение ускорения а</w:t>
      </w:r>
      <w:r w:rsidR="006F4AE1" w:rsidRPr="00B26CA4">
        <w:rPr>
          <w:bCs/>
          <w:vertAlign w:val="subscript"/>
        </w:rPr>
        <w:t>wot</w:t>
      </w:r>
      <w:r w:rsidR="006F4AE1" w:rsidRPr="00B26CA4">
        <w:rPr>
          <w:bCs/>
        </w:rPr>
        <w:t xml:space="preserve"> </w:t>
      </w:r>
      <w:r w:rsidR="006F4AE1" w:rsidRPr="009526F7">
        <w:rPr>
          <w:bCs/>
          <w:vertAlign w:val="subscript"/>
        </w:rPr>
        <w:t>test</w:t>
      </w:r>
      <w:r w:rsidR="006F4AE1" w:rsidRPr="00B26CA4">
        <w:rPr>
          <w:bCs/>
        </w:rPr>
        <w:t xml:space="preserve"> превышало 2,0 м/с</w:t>
      </w:r>
      <w:proofErr w:type="gramStart"/>
      <w:r w:rsidR="006F4AE1" w:rsidRPr="00B26CA4">
        <w:rPr>
          <w:bCs/>
          <w:vertAlign w:val="superscript"/>
        </w:rPr>
        <w:t>2</w:t>
      </w:r>
      <w:proofErr w:type="gramEnd"/>
      <w:r w:rsidR="006F4AE1" w:rsidRPr="00B26CA4">
        <w:rPr>
          <w:bCs/>
        </w:rPr>
        <w:t>.</w:t>
      </w:r>
    </w:p>
    <w:p w:rsidR="006F4AE1" w:rsidRPr="007127BB" w:rsidRDefault="00B26CA4" w:rsidP="00B26CA4">
      <w:pPr>
        <w:pStyle w:val="SingleTxtGR"/>
        <w:ind w:left="2268" w:hanging="1134"/>
        <w:rPr>
          <w:b/>
          <w:bCs/>
        </w:rPr>
      </w:pPr>
      <w:r w:rsidRPr="009526F7">
        <w:rPr>
          <w:b/>
          <w:bCs/>
        </w:rPr>
        <w:tab/>
      </w:r>
      <w:r w:rsidRPr="009526F7">
        <w:rPr>
          <w:b/>
          <w:bCs/>
        </w:rPr>
        <w:tab/>
      </w:r>
      <w:r w:rsidR="006F4AE1" w:rsidRPr="007127BB">
        <w:rPr>
          <w:b/>
          <w:bCs/>
        </w:rPr>
        <w:t>В таблице 1, содержащейся в добавлении к приложению 3, пр</w:t>
      </w:r>
      <w:r w:rsidR="006F4AE1" w:rsidRPr="007127BB">
        <w:rPr>
          <w:b/>
          <w:bCs/>
        </w:rPr>
        <w:t>и</w:t>
      </w:r>
      <w:r w:rsidR="006F4AE1" w:rsidRPr="007127BB">
        <w:rPr>
          <w:b/>
          <w:bCs/>
        </w:rPr>
        <w:t>ведены примеры приемлемых методов контроля понижения передач или недопущения ускорений, превышающих 2,0</w:t>
      </w:r>
      <w:r w:rsidR="009526F7">
        <w:rPr>
          <w:b/>
          <w:bCs/>
        </w:rPr>
        <w:t> </w:t>
      </w:r>
      <w:r w:rsidR="006F4AE1" w:rsidRPr="007127BB">
        <w:rPr>
          <w:b/>
          <w:bCs/>
        </w:rPr>
        <w:t>м/с</w:t>
      </w:r>
      <w:r w:rsidR="006F4AE1" w:rsidRPr="007127BB">
        <w:rPr>
          <w:b/>
          <w:bCs/>
          <w:vertAlign w:val="superscript"/>
        </w:rPr>
        <w:t>2</w:t>
      </w:r>
      <w:r w:rsidR="006F4AE1" w:rsidRPr="007127BB">
        <w:rPr>
          <w:b/>
          <w:bCs/>
        </w:rPr>
        <w:t>. Любой метод, используемый изготовителем для вышеупомян</w:t>
      </w:r>
      <w:r w:rsidR="006F4AE1" w:rsidRPr="007127BB">
        <w:rPr>
          <w:b/>
          <w:bCs/>
        </w:rPr>
        <w:t>у</w:t>
      </w:r>
      <w:r w:rsidR="006F4AE1" w:rsidRPr="007127BB">
        <w:rPr>
          <w:b/>
          <w:bCs/>
        </w:rPr>
        <w:t>тых целей, указывают в протоколе испытания</w:t>
      </w:r>
      <w:r w:rsidR="006F4AE1" w:rsidRPr="009526F7">
        <w:rPr>
          <w:bCs/>
        </w:rPr>
        <w:t xml:space="preserve">. </w:t>
      </w:r>
    </w:p>
    <w:p w:rsidR="006F4AE1" w:rsidRPr="007127BB" w:rsidRDefault="009526F7" w:rsidP="000C52D4">
      <w:pPr>
        <w:pStyle w:val="SingleTxtGR"/>
        <w:ind w:left="2268"/>
        <w:rPr>
          <w:b/>
        </w:rPr>
      </w:pPr>
      <w:r>
        <w:t>…»</w:t>
      </w:r>
    </w:p>
    <w:p w:rsidR="006F4AE1" w:rsidRPr="007127BB" w:rsidRDefault="006F4AE1" w:rsidP="006F4AE1">
      <w:pPr>
        <w:pStyle w:val="SingleTxtGR"/>
        <w:rPr>
          <w:b/>
        </w:rPr>
      </w:pPr>
      <w:r w:rsidRPr="007127BB">
        <w:rPr>
          <w:i/>
          <w:iCs/>
        </w:rPr>
        <w:t>Пункт 3.1.2.1.4.3</w:t>
      </w:r>
      <w:r w:rsidRPr="007127BB">
        <w:t xml:space="preserve"> изменить следующим образом:</w:t>
      </w:r>
    </w:p>
    <w:p w:rsidR="006F4AE1" w:rsidRPr="007127BB" w:rsidRDefault="009526F7" w:rsidP="000C52D4">
      <w:pPr>
        <w:pStyle w:val="SingleTxtGR"/>
        <w:ind w:left="2268" w:hanging="1134"/>
      </w:pPr>
      <w:r>
        <w:t>«</w:t>
      </w:r>
      <w:r w:rsidR="006F4AE1" w:rsidRPr="007127BB">
        <w:t>3.1.2.1.4.3</w:t>
      </w:r>
      <w:r w:rsidR="006F4AE1" w:rsidRPr="007127BB">
        <w:tab/>
        <w:t>Такие транспортные средства, имеющие только одно передаточное число, как, среди прочего, аккумуляторные электромобили (АЭМ) и транспортные средства на топливных элементах (ТСТЭ)</w:t>
      </w:r>
    </w:p>
    <w:p w:rsidR="006F4AE1" w:rsidRPr="007127BB" w:rsidRDefault="006F4AE1" w:rsidP="000C52D4">
      <w:pPr>
        <w:pStyle w:val="SingleTxtGR"/>
        <w:ind w:left="2268"/>
      </w:pPr>
      <w:r w:rsidRPr="007127BB">
        <w:t>…</w:t>
      </w:r>
    </w:p>
    <w:p w:rsidR="006F4AE1" w:rsidRPr="007127BB" w:rsidRDefault="006F4AE1" w:rsidP="000C52D4">
      <w:pPr>
        <w:pStyle w:val="SingleTxtGR"/>
        <w:ind w:left="2268"/>
      </w:pPr>
      <w:r w:rsidRPr="007127BB">
        <w:t>Изготовитель, по возможности, принимает меры для недопущения того, чтобы значение ускорения а</w:t>
      </w:r>
      <w:r w:rsidRPr="007127BB">
        <w:rPr>
          <w:vertAlign w:val="subscript"/>
        </w:rPr>
        <w:t>wot</w:t>
      </w:r>
      <w:r w:rsidRPr="007127BB">
        <w:t xml:space="preserve"> </w:t>
      </w:r>
      <w:r w:rsidRPr="007127BB">
        <w:rPr>
          <w:vertAlign w:val="subscript"/>
        </w:rPr>
        <w:t>test</w:t>
      </w:r>
      <w:r w:rsidRPr="007127BB">
        <w:t xml:space="preserve"> превышало 2,0 м/с</w:t>
      </w:r>
      <w:r w:rsidRPr="007127BB">
        <w:rPr>
          <w:vertAlign w:val="superscript"/>
        </w:rPr>
        <w:t>2</w:t>
      </w:r>
      <w:r w:rsidRPr="007127BB">
        <w:t xml:space="preserve">. </w:t>
      </w:r>
    </w:p>
    <w:p w:rsidR="006F4AE1" w:rsidRPr="007127BB" w:rsidRDefault="006F4AE1" w:rsidP="000C52D4">
      <w:pPr>
        <w:pStyle w:val="SingleTxtGR"/>
        <w:ind w:left="2268"/>
        <w:rPr>
          <w:b/>
          <w:bCs/>
        </w:rPr>
      </w:pPr>
      <w:r w:rsidRPr="007127BB">
        <w:rPr>
          <w:b/>
          <w:bCs/>
        </w:rPr>
        <w:t>В таблице 1, содержащейся в добавлении к приложению 3, пр</w:t>
      </w:r>
      <w:r w:rsidRPr="007127BB">
        <w:rPr>
          <w:b/>
          <w:bCs/>
        </w:rPr>
        <w:t>и</w:t>
      </w:r>
      <w:r w:rsidRPr="007127BB">
        <w:rPr>
          <w:b/>
          <w:bCs/>
        </w:rPr>
        <w:t>ведены примеры приемлемых методов недопущения ускорений, превышающих 2,0 м/с</w:t>
      </w:r>
      <w:r w:rsidRPr="007127BB">
        <w:rPr>
          <w:b/>
          <w:bCs/>
          <w:vertAlign w:val="superscript"/>
        </w:rPr>
        <w:t>2</w:t>
      </w:r>
      <w:r w:rsidRPr="007127BB">
        <w:rPr>
          <w:b/>
          <w:bCs/>
        </w:rPr>
        <w:t>. Любой метод, используемый изготов</w:t>
      </w:r>
      <w:r w:rsidRPr="007127BB">
        <w:rPr>
          <w:b/>
          <w:bCs/>
        </w:rPr>
        <w:t>и</w:t>
      </w:r>
      <w:r w:rsidRPr="007127BB">
        <w:rPr>
          <w:b/>
          <w:bCs/>
        </w:rPr>
        <w:t>телем для вышеупомянутых целей, указывают в протоколе и</w:t>
      </w:r>
      <w:r w:rsidRPr="007127BB">
        <w:rPr>
          <w:b/>
          <w:bCs/>
        </w:rPr>
        <w:t>с</w:t>
      </w:r>
      <w:r w:rsidRPr="007127BB">
        <w:rPr>
          <w:b/>
          <w:bCs/>
        </w:rPr>
        <w:t xml:space="preserve">пытания. </w:t>
      </w:r>
    </w:p>
    <w:p w:rsidR="006F4AE1" w:rsidRPr="007127BB" w:rsidRDefault="009526F7" w:rsidP="000C52D4">
      <w:pPr>
        <w:pStyle w:val="SingleTxtGR"/>
        <w:ind w:left="1701"/>
        <w:rPr>
          <w:b/>
        </w:rPr>
      </w:pPr>
      <w:r>
        <w:tab/>
        <w:t>…»</w:t>
      </w:r>
    </w:p>
    <w:p w:rsidR="006F4AE1" w:rsidRPr="007127BB" w:rsidRDefault="006F4AE1" w:rsidP="006F4AE1">
      <w:pPr>
        <w:pStyle w:val="SingleTxtGR"/>
      </w:pPr>
      <w:r w:rsidRPr="007127BB">
        <w:rPr>
          <w:i/>
          <w:iCs/>
        </w:rPr>
        <w:lastRenderedPageBreak/>
        <w:t>Пункт 3.1.2.2.1.2</w:t>
      </w:r>
      <w:r w:rsidRPr="007127BB">
        <w:t xml:space="preserve"> изменить следующим образом:</w:t>
      </w:r>
    </w:p>
    <w:p w:rsidR="006F4AE1" w:rsidRPr="007127BB" w:rsidRDefault="002B369D" w:rsidP="000C52D4">
      <w:pPr>
        <w:pStyle w:val="SingleTxtGR"/>
        <w:ind w:left="2268" w:hanging="1134"/>
      </w:pPr>
      <w:r>
        <w:t>«</w:t>
      </w:r>
      <w:r w:rsidR="006F4AE1" w:rsidRPr="007127BB">
        <w:t xml:space="preserve">3.1.2.2.1.2 </w:t>
      </w:r>
      <w:r w:rsidR="006F4AE1" w:rsidRPr="007127BB">
        <w:tab/>
        <w:t>Автоматическая трансмиссия, адаптивные трансмиссии и тран</w:t>
      </w:r>
      <w:r w:rsidR="006F4AE1" w:rsidRPr="007127BB">
        <w:t>с</w:t>
      </w:r>
      <w:r w:rsidR="006F4AE1" w:rsidRPr="007127BB">
        <w:t>миссии с переменными передаточными числами, проходящие и</w:t>
      </w:r>
      <w:r w:rsidR="006F4AE1" w:rsidRPr="007127BB">
        <w:t>с</w:t>
      </w:r>
      <w:r w:rsidR="006F4AE1" w:rsidRPr="007127BB">
        <w:t>пытание без блокировки передаточных чисел</w:t>
      </w:r>
    </w:p>
    <w:p w:rsidR="006F4AE1" w:rsidRPr="007127BB" w:rsidRDefault="006F4AE1" w:rsidP="000C52D4">
      <w:pPr>
        <w:pStyle w:val="SingleTxtGR"/>
        <w:ind w:left="2268"/>
      </w:pPr>
      <w:r w:rsidRPr="007127BB">
        <w:t>Используют положение переключателя передач, которое соотве</w:t>
      </w:r>
      <w:r w:rsidRPr="007127BB">
        <w:t>т</w:t>
      </w:r>
      <w:r w:rsidRPr="007127BB">
        <w:t>ствует полностью автоматическому режиму.</w:t>
      </w:r>
    </w:p>
    <w:p w:rsidR="006F4AE1" w:rsidRPr="007127BB" w:rsidRDefault="006F4AE1" w:rsidP="000C52D4">
      <w:pPr>
        <w:pStyle w:val="SingleTxtGR"/>
        <w:ind w:left="2268"/>
      </w:pPr>
      <w:r w:rsidRPr="007127BB">
        <w:t>Затем в ходе испытания передаточное число может быть изменено в расчете на менее высокий диапазон и большее ускорение. Изм</w:t>
      </w:r>
      <w:r w:rsidRPr="007127BB">
        <w:t>е</w:t>
      </w:r>
      <w:r w:rsidRPr="007127BB">
        <w:t>нения передаточного числа в расчете на более высокий диапазон и меньшее ускорение не допускается. В любом случае необходимо избегать использования передаточного числа, которое обычно не применяется в указанных условиях испытания, определенных изг</w:t>
      </w:r>
      <w:r w:rsidRPr="007127BB">
        <w:t>о</w:t>
      </w:r>
      <w:r w:rsidRPr="007127BB">
        <w:t>товителем, при движении в городе.</w:t>
      </w:r>
    </w:p>
    <w:p w:rsidR="006F4AE1" w:rsidRPr="007127BB" w:rsidRDefault="006F4AE1" w:rsidP="000C52D4">
      <w:pPr>
        <w:pStyle w:val="SingleTxtGR"/>
        <w:ind w:left="2268"/>
      </w:pPr>
      <w:r w:rsidRPr="007127BB">
        <w:t>Таким образом, допускается выбор и использование электронных либо механических устройств, в том числе переменных положений переключателя передачи, которые препятствуют понижению пер</w:t>
      </w:r>
      <w:r w:rsidRPr="007127BB">
        <w:t>е</w:t>
      </w:r>
      <w:r w:rsidRPr="007127BB">
        <w:t>даточного числа до значения, которое обычно не применяется в указанных условиях испытания, определенных изготовителем, при движении в городе.</w:t>
      </w:r>
    </w:p>
    <w:p w:rsidR="006F4AE1" w:rsidRPr="007127BB" w:rsidRDefault="006F4AE1" w:rsidP="000C52D4">
      <w:pPr>
        <w:pStyle w:val="SingleTxtGR"/>
        <w:ind w:left="2268"/>
        <w:rPr>
          <w:b/>
          <w:bCs/>
        </w:rPr>
      </w:pPr>
      <w:r w:rsidRPr="007127BB">
        <w:rPr>
          <w:b/>
          <w:bCs/>
        </w:rPr>
        <w:t>В таблице 1, содержащейся в добавлении к приложению 3, пр</w:t>
      </w:r>
      <w:r w:rsidRPr="007127BB">
        <w:rPr>
          <w:b/>
          <w:bCs/>
        </w:rPr>
        <w:t>и</w:t>
      </w:r>
      <w:r w:rsidRPr="007127BB">
        <w:rPr>
          <w:b/>
          <w:bCs/>
        </w:rPr>
        <w:t>ведены примеры приемлемых методов контроля понижения передач. Любой метод, используемый изготовителем для выш</w:t>
      </w:r>
      <w:r w:rsidRPr="007127BB">
        <w:rPr>
          <w:b/>
          <w:bCs/>
        </w:rPr>
        <w:t>е</w:t>
      </w:r>
      <w:r w:rsidRPr="007127BB">
        <w:rPr>
          <w:b/>
          <w:bCs/>
        </w:rPr>
        <w:t xml:space="preserve">упомянутых целей, указывают в протоколе испытания. </w:t>
      </w:r>
    </w:p>
    <w:p w:rsidR="006F4AE1" w:rsidRPr="007127BB" w:rsidRDefault="002B369D" w:rsidP="000C52D4">
      <w:pPr>
        <w:pStyle w:val="SingleTxtGR"/>
        <w:ind w:left="1701"/>
      </w:pPr>
      <w:r>
        <w:tab/>
        <w:t>…»</w:t>
      </w:r>
    </w:p>
    <w:p w:rsidR="006F4AE1" w:rsidRPr="007127BB" w:rsidRDefault="006F4AE1" w:rsidP="006F4AE1">
      <w:pPr>
        <w:pStyle w:val="SingleTxtGR"/>
      </w:pPr>
      <w:r w:rsidRPr="007127BB">
        <w:rPr>
          <w:i/>
          <w:iCs/>
        </w:rPr>
        <w:t>Добавление к приложению 3,</w:t>
      </w:r>
      <w:r w:rsidRPr="007127BB">
        <w:t xml:space="preserve"> в конце добавить новую таблицу 1:</w:t>
      </w:r>
    </w:p>
    <w:p w:rsidR="006F4AE1" w:rsidRPr="007127BB" w:rsidRDefault="002B369D" w:rsidP="002B369D">
      <w:pPr>
        <w:pStyle w:val="H23GR"/>
      </w:pPr>
      <w:r>
        <w:tab/>
      </w:r>
      <w:r>
        <w:tab/>
      </w:r>
      <w:r w:rsidR="006D3570" w:rsidRPr="002B369D">
        <w:rPr>
          <w:b w:val="0"/>
        </w:rPr>
        <w:t>«</w:t>
      </w:r>
      <w:r w:rsidR="006F4AE1" w:rsidRPr="002B369D">
        <w:rPr>
          <w:b w:val="0"/>
        </w:rPr>
        <w:t>Таблица 1</w:t>
      </w:r>
      <w:r w:rsidRPr="002B369D">
        <w:rPr>
          <w:b w:val="0"/>
        </w:rPr>
        <w:br/>
      </w:r>
      <w:r w:rsidR="006F4AE1" w:rsidRPr="007127BB">
        <w:t>Примеры устройств и методов для обеспечения испытания транспортного средства на ускорение в пределах граничных условий</w:t>
      </w:r>
    </w:p>
    <w:tbl>
      <w:tblPr>
        <w:tblStyle w:val="TabTxt"/>
        <w:tblW w:w="8539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22"/>
        <w:gridCol w:w="2042"/>
        <w:gridCol w:w="602"/>
        <w:gridCol w:w="3331"/>
        <w:gridCol w:w="2142"/>
      </w:tblGrid>
      <w:tr w:rsidR="006F4AE1" w:rsidRPr="007127BB" w:rsidTr="00955D32">
        <w:trPr>
          <w:trHeight w:val="476"/>
          <w:tblHeader/>
        </w:trPr>
        <w:tc>
          <w:tcPr>
            <w:tcW w:w="42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F4AE1" w:rsidRPr="007127BB" w:rsidRDefault="006F4AE1" w:rsidP="00A74601">
            <w:pPr>
              <w:spacing w:before="80" w:after="80" w:line="200" w:lineRule="exact"/>
              <w:ind w:left="17"/>
              <w:jc w:val="center"/>
              <w:rPr>
                <w:i/>
                <w:sz w:val="16"/>
              </w:rPr>
            </w:pPr>
            <w:r w:rsidRPr="007127BB">
              <w:rPr>
                <w:i/>
                <w:sz w:val="16"/>
              </w:rPr>
              <w:t>№</w:t>
            </w:r>
          </w:p>
        </w:tc>
        <w:tc>
          <w:tcPr>
            <w:tcW w:w="204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F4AE1" w:rsidRPr="007127BB" w:rsidRDefault="006F4AE1" w:rsidP="00A74601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7127BB">
              <w:rPr>
                <w:i/>
                <w:sz w:val="16"/>
              </w:rPr>
              <w:t>Действие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F4AE1" w:rsidRPr="007127BB" w:rsidRDefault="006F4AE1" w:rsidP="00A74601">
            <w:pPr>
              <w:spacing w:before="80" w:after="80" w:line="200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  <w:r>
              <w:rPr>
                <w:i/>
                <w:sz w:val="16"/>
                <w:lang w:val="en-US"/>
              </w:rPr>
              <w:t> </w:t>
            </w:r>
            <w:r w:rsidRPr="007127BB">
              <w:rPr>
                <w:i/>
                <w:sz w:val="16"/>
              </w:rPr>
              <w:t>ме</w:t>
            </w:r>
            <w:r w:rsidR="0057320E">
              <w:rPr>
                <w:i/>
                <w:sz w:val="16"/>
              </w:rPr>
              <w:t>-</w:t>
            </w:r>
            <w:r w:rsidRPr="007127BB">
              <w:rPr>
                <w:i/>
                <w:sz w:val="16"/>
              </w:rPr>
              <w:t>тода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F4AE1" w:rsidRPr="007127BB" w:rsidRDefault="006F4AE1" w:rsidP="00A74601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7127BB">
              <w:rPr>
                <w:i/>
                <w:sz w:val="16"/>
              </w:rPr>
              <w:t>Метод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F4AE1" w:rsidRPr="007127BB" w:rsidRDefault="006F4AE1" w:rsidP="00A74601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7127BB">
              <w:rPr>
                <w:i/>
                <w:sz w:val="16"/>
              </w:rPr>
              <w:t>Дополнительные</w:t>
            </w:r>
            <w:r w:rsidRPr="007127BB">
              <w:rPr>
                <w:i/>
                <w:sz w:val="16"/>
              </w:rPr>
              <w:br/>
              <w:t>требования</w:t>
            </w:r>
          </w:p>
        </w:tc>
      </w:tr>
      <w:tr w:rsidR="006F4AE1" w:rsidRPr="007127BB" w:rsidTr="00955D32">
        <w:trPr>
          <w:trHeight w:val="496"/>
        </w:trPr>
        <w:tc>
          <w:tcPr>
            <w:tcW w:w="42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1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Блокировка дискре</w:t>
            </w:r>
            <w:r w:rsidRPr="007127BB">
              <w:t>т</w:t>
            </w:r>
            <w:r w:rsidRPr="007127BB">
              <w:t>ного передаточного числа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1*</w:t>
            </w:r>
          </w:p>
        </w:tc>
        <w:tc>
          <w:tcPr>
            <w:tcW w:w="3331" w:type="dxa"/>
            <w:tcBorders>
              <w:top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Блокировка дискретного перед</w:t>
            </w:r>
            <w:r w:rsidRPr="007127BB">
              <w:t>а</w:t>
            </w:r>
            <w:r w:rsidRPr="007127BB">
              <w:t>точного числа может производит</w:t>
            </w:r>
            <w:r w:rsidRPr="007127BB">
              <w:t>ь</w:t>
            </w:r>
            <w:r w:rsidRPr="007127BB">
              <w:t>ся водителем.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6F4AE1" w:rsidRPr="007127BB" w:rsidRDefault="00A74601" w:rsidP="00A74601">
            <w:pPr>
              <w:ind w:left="17"/>
            </w:pPr>
            <w:r w:rsidRPr="007127BB">
              <w:t>О</w:t>
            </w:r>
            <w:r w:rsidR="006F4AE1" w:rsidRPr="007127BB">
              <w:t>тсутствуют</w:t>
            </w:r>
            <w:r>
              <w:t>.</w:t>
            </w:r>
          </w:p>
        </w:tc>
      </w:tr>
      <w:tr w:rsidR="006F4AE1" w:rsidRPr="007127BB" w:rsidTr="00955D32">
        <w:trPr>
          <w:trHeight w:val="359"/>
        </w:trPr>
        <w:tc>
          <w:tcPr>
            <w:tcW w:w="422" w:type="dxa"/>
            <w:vMerge/>
            <w:vAlign w:val="center"/>
            <w:hideMark/>
          </w:tcPr>
          <w:p w:rsidR="006F4AE1" w:rsidRPr="007127BB" w:rsidRDefault="006F4AE1" w:rsidP="00A74601">
            <w:pPr>
              <w:ind w:left="17"/>
            </w:pPr>
          </w:p>
        </w:tc>
        <w:tc>
          <w:tcPr>
            <w:tcW w:w="2042" w:type="dxa"/>
            <w:vMerge/>
            <w:vAlign w:val="center"/>
            <w:hideMark/>
          </w:tcPr>
          <w:p w:rsidR="006F4AE1" w:rsidRPr="007127BB" w:rsidRDefault="006F4AE1" w:rsidP="00A74601">
            <w:pPr>
              <w:ind w:left="17"/>
            </w:pPr>
          </w:p>
        </w:tc>
        <w:tc>
          <w:tcPr>
            <w:tcW w:w="602" w:type="dxa"/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2</w:t>
            </w:r>
          </w:p>
        </w:tc>
        <w:tc>
          <w:tcPr>
            <w:tcW w:w="3331" w:type="dxa"/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Возможность выбора дискретного передаточного числа в принципе предусмотрена, но водитель сам</w:t>
            </w:r>
            <w:r w:rsidRPr="007127BB">
              <w:t>о</w:t>
            </w:r>
            <w:r w:rsidRPr="007127BB">
              <w:t>стоятельно выбрать его не может. Блокировка может быть активир</w:t>
            </w:r>
            <w:r w:rsidRPr="007127BB">
              <w:t>о</w:t>
            </w:r>
            <w:r w:rsidRPr="007127BB">
              <w:t>вана изготовителем в виде борт</w:t>
            </w:r>
            <w:r w:rsidRPr="007127BB">
              <w:t>о</w:t>
            </w:r>
            <w:r w:rsidRPr="007127BB">
              <w:t>вой (скрытой) функции или при помощи внешнего устройства.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6F4AE1" w:rsidRPr="007127BB" w:rsidRDefault="00A74601" w:rsidP="00A74601">
            <w:pPr>
              <w:ind w:left="17"/>
            </w:pPr>
            <w:r w:rsidRPr="007127BB">
              <w:t>О</w:t>
            </w:r>
            <w:r w:rsidR="006F4AE1" w:rsidRPr="007127BB">
              <w:t>тсутствуют</w:t>
            </w:r>
            <w:r>
              <w:t>.</w:t>
            </w:r>
          </w:p>
        </w:tc>
      </w:tr>
      <w:tr w:rsidR="000C52D4" w:rsidRPr="007127BB" w:rsidTr="00955D32">
        <w:trPr>
          <w:trHeight w:val="505"/>
        </w:trPr>
        <w:tc>
          <w:tcPr>
            <w:tcW w:w="422" w:type="dxa"/>
            <w:vMerge w:val="restart"/>
            <w:vAlign w:val="center"/>
            <w:hideMark/>
          </w:tcPr>
          <w:p w:rsidR="000C52D4" w:rsidRPr="007127BB" w:rsidRDefault="000C52D4" w:rsidP="00A74601">
            <w:pPr>
              <w:pageBreakBefore/>
              <w:ind w:left="17"/>
              <w:jc w:val="center"/>
            </w:pPr>
            <w:r w:rsidRPr="007127BB">
              <w:t>2</w:t>
            </w:r>
          </w:p>
        </w:tc>
        <w:tc>
          <w:tcPr>
            <w:tcW w:w="2042" w:type="dxa"/>
            <w:vMerge w:val="restart"/>
            <w:vAlign w:val="center"/>
            <w:hideMark/>
          </w:tcPr>
          <w:p w:rsidR="000C52D4" w:rsidRPr="007127BB" w:rsidRDefault="000C52D4" w:rsidP="00A74601">
            <w:pPr>
              <w:ind w:left="17"/>
            </w:pPr>
            <w:r w:rsidRPr="007127BB">
              <w:t>Контролируемое управление перед</w:t>
            </w:r>
            <w:r w:rsidRPr="007127BB">
              <w:t>а</w:t>
            </w:r>
            <w:r w:rsidRPr="007127BB">
              <w:t>точным числом. Применимо в случае трансмиссий без возможности блок</w:t>
            </w:r>
            <w:r w:rsidRPr="007127BB">
              <w:t>и</w:t>
            </w:r>
            <w:r w:rsidRPr="007127BB">
              <w:t>ровки либо в том случае, если ни одно из заблокированных передаточных чисел не обеспечивает де</w:t>
            </w:r>
            <w:r w:rsidRPr="007127BB">
              <w:t>й</w:t>
            </w:r>
            <w:r w:rsidRPr="007127BB">
              <w:t>ствительных резул</w:t>
            </w:r>
            <w:r w:rsidRPr="007127BB">
              <w:t>ь</w:t>
            </w:r>
            <w:r w:rsidRPr="007127BB">
              <w:t>татов испытания.</w:t>
            </w:r>
          </w:p>
        </w:tc>
        <w:tc>
          <w:tcPr>
            <w:tcW w:w="602" w:type="dxa"/>
            <w:vAlign w:val="center"/>
            <w:hideMark/>
          </w:tcPr>
          <w:p w:rsidR="000C52D4" w:rsidRPr="007127BB" w:rsidRDefault="000C52D4" w:rsidP="00A74601">
            <w:pPr>
              <w:ind w:left="17"/>
              <w:jc w:val="center"/>
            </w:pPr>
            <w:r w:rsidRPr="007127BB">
              <w:t>1*</w:t>
            </w:r>
          </w:p>
        </w:tc>
        <w:tc>
          <w:tcPr>
            <w:tcW w:w="3331" w:type="dxa"/>
            <w:vAlign w:val="center"/>
            <w:hideMark/>
          </w:tcPr>
          <w:p w:rsidR="000C52D4" w:rsidRPr="007127BB" w:rsidRDefault="000C52D4" w:rsidP="00A74601">
            <w:pPr>
              <w:ind w:left="17"/>
            </w:pPr>
            <w:r w:rsidRPr="007127BB">
              <w:t>Деактивируется функция принуд</w:t>
            </w:r>
            <w:r w:rsidRPr="007127BB">
              <w:t>и</w:t>
            </w:r>
            <w:r w:rsidRPr="007127BB">
              <w:t>тельного понижения передачи.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0C52D4" w:rsidRPr="007127BB" w:rsidRDefault="000C52D4" w:rsidP="00A74601">
            <w:pPr>
              <w:ind w:left="17"/>
            </w:pPr>
            <w:r>
              <w:t>О</w:t>
            </w:r>
            <w:r w:rsidRPr="007127BB">
              <w:t>тсутствуют</w:t>
            </w:r>
            <w:r>
              <w:t>.</w:t>
            </w:r>
          </w:p>
        </w:tc>
      </w:tr>
      <w:tr w:rsidR="005A077A" w:rsidRPr="007127BB" w:rsidTr="00955D32">
        <w:trPr>
          <w:trHeight w:val="2458"/>
        </w:trPr>
        <w:tc>
          <w:tcPr>
            <w:tcW w:w="422" w:type="dxa"/>
            <w:vMerge/>
            <w:vAlign w:val="center"/>
            <w:hideMark/>
          </w:tcPr>
          <w:p w:rsidR="005A077A" w:rsidRPr="007127BB" w:rsidRDefault="005A077A" w:rsidP="00A74601">
            <w:pPr>
              <w:ind w:left="17"/>
            </w:pPr>
          </w:p>
        </w:tc>
        <w:tc>
          <w:tcPr>
            <w:tcW w:w="2042" w:type="dxa"/>
            <w:vMerge/>
            <w:vAlign w:val="center"/>
            <w:hideMark/>
          </w:tcPr>
          <w:p w:rsidR="005A077A" w:rsidRPr="007127BB" w:rsidRDefault="005A077A" w:rsidP="00A74601">
            <w:pPr>
              <w:ind w:left="17"/>
            </w:pPr>
          </w:p>
        </w:tc>
        <w:tc>
          <w:tcPr>
            <w:tcW w:w="602" w:type="dxa"/>
            <w:vAlign w:val="center"/>
            <w:hideMark/>
          </w:tcPr>
          <w:p w:rsidR="005A077A" w:rsidRPr="007127BB" w:rsidRDefault="005A077A" w:rsidP="00A74601">
            <w:pPr>
              <w:ind w:left="17"/>
              <w:jc w:val="center"/>
            </w:pPr>
            <w:r w:rsidRPr="007127BB">
              <w:t>2</w:t>
            </w:r>
          </w:p>
        </w:tc>
        <w:tc>
          <w:tcPr>
            <w:tcW w:w="3331" w:type="dxa"/>
            <w:vAlign w:val="center"/>
            <w:hideMark/>
          </w:tcPr>
          <w:p w:rsidR="005A077A" w:rsidRPr="007127BB" w:rsidRDefault="005A077A" w:rsidP="00A74601">
            <w:pPr>
              <w:ind w:left="17"/>
            </w:pPr>
            <w:r w:rsidRPr="007127BB">
              <w:t>Переключение(я) передачи может (могут) осуществляться во время испытания, причем передаточное число контролируется при помощи внутренней функции или внешнего устройства.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5A077A" w:rsidRPr="007127BB" w:rsidRDefault="005A077A" w:rsidP="00A74601">
            <w:pPr>
              <w:ind w:left="17"/>
            </w:pPr>
            <w:r w:rsidRPr="007127BB">
              <w:t>Значение ускорения** должно находиться в пределах от a</w:t>
            </w:r>
            <w:r w:rsidRPr="000C66B2">
              <w:rPr>
                <w:vertAlign w:val="subscript"/>
              </w:rPr>
              <w:t>urban</w:t>
            </w:r>
            <w:r w:rsidRPr="007127BB">
              <w:t xml:space="preserve"> до a</w:t>
            </w:r>
            <w:r w:rsidRPr="000C66B2">
              <w:rPr>
                <w:vertAlign w:val="subscript"/>
              </w:rPr>
              <w:t>wot,ref</w:t>
            </w:r>
            <w:r w:rsidRPr="007127BB">
              <w:t>, но не должно превышать 2,0 м/с</w:t>
            </w:r>
            <w:r w:rsidRPr="000C66B2">
              <w:rPr>
                <w:vertAlign w:val="superscript"/>
              </w:rPr>
              <w:t>2</w:t>
            </w:r>
            <w:r w:rsidRPr="007127BB">
              <w:t>.</w:t>
            </w:r>
          </w:p>
        </w:tc>
      </w:tr>
      <w:tr w:rsidR="006F4AE1" w:rsidRPr="00C51734" w:rsidTr="00955D32">
        <w:trPr>
          <w:trHeight w:val="1325"/>
        </w:trPr>
        <w:tc>
          <w:tcPr>
            <w:tcW w:w="422" w:type="dxa"/>
            <w:vMerge w:val="restart"/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3</w:t>
            </w:r>
          </w:p>
        </w:tc>
        <w:tc>
          <w:tcPr>
            <w:tcW w:w="2042" w:type="dxa"/>
            <w:vMerge w:val="restart"/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Ускорение с непо</w:t>
            </w:r>
            <w:r w:rsidRPr="007127BB">
              <w:t>л</w:t>
            </w:r>
            <w:r w:rsidRPr="007127BB">
              <w:t>ной нагрузкой</w:t>
            </w:r>
          </w:p>
        </w:tc>
        <w:tc>
          <w:tcPr>
            <w:tcW w:w="602" w:type="dxa"/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1</w:t>
            </w:r>
          </w:p>
        </w:tc>
        <w:tc>
          <w:tcPr>
            <w:tcW w:w="3331" w:type="dxa"/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Ускорение ограничивается механ</w:t>
            </w:r>
            <w:r w:rsidRPr="007127BB">
              <w:t>и</w:t>
            </w:r>
            <w:r w:rsidRPr="007127BB">
              <w:t xml:space="preserve">ческим устройством.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Значение ускорения** должно находиться в пределах от a</w:t>
            </w:r>
            <w:r w:rsidRPr="0001342E">
              <w:rPr>
                <w:vertAlign w:val="subscript"/>
              </w:rPr>
              <w:t>urban</w:t>
            </w:r>
            <w:r w:rsidRPr="007127BB">
              <w:t xml:space="preserve"> до a</w:t>
            </w:r>
            <w:r w:rsidRPr="0001342E">
              <w:rPr>
                <w:vertAlign w:val="subscript"/>
              </w:rPr>
              <w:t>wot,ref</w:t>
            </w:r>
            <w:r w:rsidRPr="007127BB">
              <w:t>, но не должно превышать 2,0 м/с</w:t>
            </w:r>
            <w:r w:rsidRPr="0001342E">
              <w:rPr>
                <w:vertAlign w:val="superscript"/>
              </w:rPr>
              <w:t>2</w:t>
            </w:r>
            <w:r w:rsidRPr="007127BB">
              <w:t>.</w:t>
            </w:r>
          </w:p>
          <w:p w:rsidR="006F4AE1" w:rsidRPr="007127BB" w:rsidRDefault="006F4AE1" w:rsidP="00A74601">
            <w:pPr>
              <w:ind w:left="17"/>
            </w:pPr>
            <w:r w:rsidRPr="007127BB">
              <w:t>Для целей АСЕП** анкерную точку ра</w:t>
            </w:r>
            <w:r w:rsidRPr="007127BB">
              <w:t>с</w:t>
            </w:r>
            <w:r w:rsidRPr="007127BB">
              <w:t>считывают следу</w:t>
            </w:r>
            <w:r w:rsidRPr="007127BB">
              <w:t>ю</w:t>
            </w:r>
            <w:r w:rsidRPr="007127BB">
              <w:t>щим образом:</w:t>
            </w:r>
          </w:p>
          <w:p w:rsidR="006F4AE1" w:rsidRPr="007127BB" w:rsidRDefault="006F4AE1" w:rsidP="00A74601">
            <w:pPr>
              <w:ind w:left="17"/>
            </w:pPr>
            <w:r w:rsidRPr="007127BB">
              <w:t>L</w:t>
            </w:r>
            <w:r w:rsidRPr="0001342E">
              <w:rPr>
                <w:vertAlign w:val="subscript"/>
              </w:rPr>
              <w:t>anchor</w:t>
            </w:r>
            <w:r w:rsidRPr="007127BB">
              <w:t xml:space="preserve"> = (L</w:t>
            </w:r>
            <w:r w:rsidRPr="0001342E">
              <w:rPr>
                <w:vertAlign w:val="subscript"/>
              </w:rPr>
              <w:t>test</w:t>
            </w:r>
            <w:r w:rsidRPr="007127BB">
              <w:t xml:space="preserve"> </w:t>
            </w:r>
            <w:r w:rsidRPr="0001342E">
              <w:t>–</w:t>
            </w:r>
            <w:r w:rsidRPr="007127BB">
              <w:t xml:space="preserve"> k</w:t>
            </w:r>
            <w:r w:rsidRPr="0001342E">
              <w:rPr>
                <w:vertAlign w:val="subscript"/>
              </w:rPr>
              <w:t>p</w:t>
            </w:r>
            <w:r w:rsidRPr="007127BB">
              <w:t>*L</w:t>
            </w:r>
            <w:r w:rsidRPr="0001342E">
              <w:rPr>
                <w:vertAlign w:val="subscript"/>
              </w:rPr>
              <w:t>crs</w:t>
            </w:r>
            <w:r w:rsidRPr="007127BB">
              <w:t>)/(1</w:t>
            </w:r>
            <w:r w:rsidRPr="0001342E">
              <w:t>–</w:t>
            </w:r>
            <w:r w:rsidRPr="007127BB">
              <w:t>k</w:t>
            </w:r>
            <w:r w:rsidRPr="0001342E">
              <w:rPr>
                <w:vertAlign w:val="subscript"/>
              </w:rPr>
              <w:t>p</w:t>
            </w:r>
            <w:r w:rsidRPr="007127BB">
              <w:t xml:space="preserve">), где </w:t>
            </w:r>
            <w:r w:rsidRPr="0001342E">
              <w:br/>
            </w:r>
            <w:r w:rsidRPr="007127BB">
              <w:t>k</w:t>
            </w:r>
            <w:r w:rsidRPr="0001342E">
              <w:rPr>
                <w:vertAlign w:val="subscript"/>
              </w:rPr>
              <w:t>p</w:t>
            </w:r>
            <w:r>
              <w:t xml:space="preserve"> = 1</w:t>
            </w:r>
            <w:r w:rsidRPr="0001342E">
              <w:t>–</w:t>
            </w:r>
            <w:r w:rsidRPr="007127BB">
              <w:t>a</w:t>
            </w:r>
            <w:r w:rsidRPr="0001342E">
              <w:rPr>
                <w:vertAlign w:val="subscript"/>
              </w:rPr>
              <w:t>test</w:t>
            </w:r>
            <w:r w:rsidRPr="007127BB">
              <w:t>/a</w:t>
            </w:r>
            <w:r w:rsidRPr="0001342E">
              <w:rPr>
                <w:vertAlign w:val="subscript"/>
              </w:rPr>
              <w:t>wot,ref</w:t>
            </w:r>
            <w:r w:rsidRPr="007127BB">
              <w:t xml:space="preserve"> и a</w:t>
            </w:r>
            <w:r w:rsidRPr="007850E8">
              <w:rPr>
                <w:vertAlign w:val="subscript"/>
              </w:rPr>
              <w:t>wot,ref</w:t>
            </w:r>
            <w:r w:rsidRPr="007127BB">
              <w:t xml:space="preserve"> соответствует пункту 3.1.2.1.2.4, но не превышает </w:t>
            </w:r>
            <w:r w:rsidRPr="007850E8">
              <w:br/>
            </w:r>
            <w:r>
              <w:t>2,</w:t>
            </w:r>
            <w:r w:rsidRPr="007127BB">
              <w:t>0 м/с</w:t>
            </w:r>
            <w:r w:rsidRPr="007850E8">
              <w:rPr>
                <w:vertAlign w:val="superscript"/>
              </w:rPr>
              <w:t>2</w:t>
            </w:r>
            <w:r w:rsidRPr="007850E8">
              <w:t>.</w:t>
            </w:r>
          </w:p>
          <w:p w:rsidR="006F4AE1" w:rsidRPr="007850E8" w:rsidRDefault="006F4AE1" w:rsidP="00A74601">
            <w:pPr>
              <w:ind w:left="17"/>
              <w:rPr>
                <w:lang w:val="en-US"/>
              </w:rPr>
            </w:pPr>
            <w:r w:rsidRPr="007850E8">
              <w:rPr>
                <w:lang w:val="en-US"/>
              </w:rPr>
              <w:t>n</w:t>
            </w:r>
            <w:r w:rsidRPr="007850E8">
              <w:rPr>
                <w:vertAlign w:val="subscript"/>
                <w:lang w:val="en-US"/>
              </w:rPr>
              <w:t>anchor</w:t>
            </w:r>
            <w:r w:rsidRPr="007850E8">
              <w:rPr>
                <w:lang w:val="en-US"/>
              </w:rPr>
              <w:t xml:space="preserve"> = n</w:t>
            </w:r>
            <w:r w:rsidRPr="007850E8">
              <w:rPr>
                <w:vertAlign w:val="subscript"/>
                <w:lang w:val="en-US"/>
              </w:rPr>
              <w:t>bb,test</w:t>
            </w:r>
            <w:r w:rsidRPr="00666951">
              <w:rPr>
                <w:vertAlign w:val="subscript"/>
                <w:lang w:val="en-US"/>
              </w:rPr>
              <w:t xml:space="preserve"> </w:t>
            </w:r>
            <w:r w:rsidRPr="007850E8">
              <w:rPr>
                <w:lang w:val="en-US"/>
              </w:rPr>
              <w:t>*</w:t>
            </w:r>
            <w:r w:rsidRPr="00666951">
              <w:rPr>
                <w:lang w:val="en-US"/>
              </w:rPr>
              <w:t xml:space="preserve"> </w:t>
            </w:r>
            <w:r w:rsidRPr="007850E8">
              <w:rPr>
                <w:lang w:val="en-US"/>
              </w:rPr>
              <w:t>3,6/</w:t>
            </w:r>
            <w:r w:rsidRPr="007850E8">
              <w:rPr>
                <w:lang w:val="en-US"/>
              </w:rPr>
              <w:br/>
              <w:t>v</w:t>
            </w:r>
            <w:r w:rsidRPr="007850E8">
              <w:rPr>
                <w:vertAlign w:val="subscript"/>
                <w:lang w:val="en-US"/>
              </w:rPr>
              <w:t>bb,test</w:t>
            </w:r>
            <w:r w:rsidRPr="007850E8">
              <w:rPr>
                <w:lang w:val="en-US"/>
              </w:rPr>
              <w:t xml:space="preserve"> * (a</w:t>
            </w:r>
            <w:r w:rsidRPr="00666951">
              <w:rPr>
                <w:vertAlign w:val="subscript"/>
                <w:lang w:val="en-US"/>
              </w:rPr>
              <w:t>test</w:t>
            </w:r>
            <w:r w:rsidRPr="007850E8">
              <w:rPr>
                <w:lang w:val="en-US"/>
              </w:rPr>
              <w:t>*</w:t>
            </w:r>
            <w:r w:rsidRPr="00666951">
              <w:rPr>
                <w:lang w:val="en-US"/>
              </w:rPr>
              <w:br/>
            </w:r>
            <w:r w:rsidRPr="007850E8">
              <w:rPr>
                <w:lang w:val="en-US"/>
              </w:rPr>
              <w:t>(20+2*l</w:t>
            </w:r>
            <w:r w:rsidRPr="00666951">
              <w:rPr>
                <w:vertAlign w:val="subscript"/>
                <w:lang w:val="en-US"/>
              </w:rPr>
              <w:t>veh</w:t>
            </w:r>
            <w:r w:rsidRPr="007850E8">
              <w:rPr>
                <w:lang w:val="en-US"/>
              </w:rPr>
              <w:t>)+192,9)</w:t>
            </w:r>
            <w:r w:rsidRPr="00666951">
              <w:rPr>
                <w:vertAlign w:val="superscript"/>
                <w:lang w:val="en-US"/>
              </w:rPr>
              <w:t>0,5</w:t>
            </w:r>
          </w:p>
        </w:tc>
      </w:tr>
      <w:tr w:rsidR="006F4AE1" w:rsidRPr="007127BB" w:rsidTr="00955D32">
        <w:trPr>
          <w:trHeight w:val="848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4AE1" w:rsidRPr="007850E8" w:rsidRDefault="006F4AE1" w:rsidP="00A74601">
            <w:pPr>
              <w:ind w:left="17"/>
              <w:rPr>
                <w:lang w:val="en-US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4AE1" w:rsidRPr="007850E8" w:rsidRDefault="006F4AE1" w:rsidP="00A74601">
            <w:pPr>
              <w:ind w:left="17"/>
              <w:rPr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2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  <w:hideMark/>
          </w:tcPr>
          <w:p w:rsidR="006F4AE1" w:rsidRPr="007127BB" w:rsidRDefault="006F4AE1" w:rsidP="007B759F">
            <w:pPr>
              <w:ind w:left="17"/>
            </w:pPr>
            <w:r w:rsidRPr="007127BB">
              <w:t>Внешнее программное обеспеч</w:t>
            </w:r>
            <w:r w:rsidRPr="007127BB">
              <w:t>е</w:t>
            </w:r>
            <w:r w:rsidRPr="007127BB">
              <w:t>ние для ускорения с неполной нагрузкой***.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</w:p>
        </w:tc>
      </w:tr>
      <w:tr w:rsidR="006F4AE1" w:rsidRPr="007127BB" w:rsidTr="00955D32">
        <w:trPr>
          <w:trHeight w:val="519"/>
        </w:trPr>
        <w:tc>
          <w:tcPr>
            <w:tcW w:w="422" w:type="dxa"/>
            <w:vMerge w:val="restart"/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4</w:t>
            </w:r>
          </w:p>
        </w:tc>
        <w:tc>
          <w:tcPr>
            <w:tcW w:w="2042" w:type="dxa"/>
            <w:vMerge w:val="restart"/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Комбинированное решение (Режим): Этот метод пре</w:t>
            </w:r>
            <w:r w:rsidRPr="007127BB">
              <w:t>д</w:t>
            </w:r>
            <w:r w:rsidRPr="007127BB">
              <w:t>ставляет собой соч</w:t>
            </w:r>
            <w:r w:rsidRPr="007127BB">
              <w:t>е</w:t>
            </w:r>
            <w:r w:rsidRPr="007127BB">
              <w:t>тание вышеуказа</w:t>
            </w:r>
            <w:r w:rsidRPr="007127BB">
              <w:t>н</w:t>
            </w:r>
            <w:r w:rsidRPr="007127BB">
              <w:t>ных решений, обр</w:t>
            </w:r>
            <w:r w:rsidRPr="007127BB">
              <w:t>а</w:t>
            </w:r>
            <w:r w:rsidRPr="007127BB">
              <w:t>зующих специал</w:t>
            </w:r>
            <w:r w:rsidRPr="007127BB">
              <w:t>ь</w:t>
            </w:r>
            <w:r w:rsidRPr="007127BB">
              <w:t>ный режим</w:t>
            </w:r>
          </w:p>
        </w:tc>
        <w:tc>
          <w:tcPr>
            <w:tcW w:w="602" w:type="dxa"/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1*</w:t>
            </w:r>
          </w:p>
        </w:tc>
        <w:tc>
          <w:tcPr>
            <w:tcW w:w="3331" w:type="dxa"/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Режим в принципе предусмотрен и может быть выбран водителем самостоятельно.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>
              <w:t>О</w:t>
            </w:r>
            <w:r w:rsidRPr="007127BB">
              <w:t>тсутствуют</w:t>
            </w:r>
            <w:r>
              <w:t>.</w:t>
            </w:r>
          </w:p>
        </w:tc>
      </w:tr>
      <w:tr w:rsidR="006F4AE1" w:rsidRPr="007127BB" w:rsidTr="00955D32">
        <w:trPr>
          <w:trHeight w:val="834"/>
        </w:trPr>
        <w:tc>
          <w:tcPr>
            <w:tcW w:w="422" w:type="dxa"/>
            <w:vMerge/>
            <w:vAlign w:val="center"/>
            <w:hideMark/>
          </w:tcPr>
          <w:p w:rsidR="006F4AE1" w:rsidRPr="007127BB" w:rsidRDefault="006F4AE1" w:rsidP="00A74601">
            <w:pPr>
              <w:ind w:left="17"/>
            </w:pPr>
          </w:p>
        </w:tc>
        <w:tc>
          <w:tcPr>
            <w:tcW w:w="2042" w:type="dxa"/>
            <w:vMerge/>
            <w:vAlign w:val="center"/>
            <w:hideMark/>
          </w:tcPr>
          <w:p w:rsidR="006F4AE1" w:rsidRPr="007127BB" w:rsidRDefault="006F4AE1" w:rsidP="00A74601">
            <w:pPr>
              <w:ind w:left="17"/>
            </w:pPr>
          </w:p>
        </w:tc>
        <w:tc>
          <w:tcPr>
            <w:tcW w:w="602" w:type="dxa"/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2</w:t>
            </w:r>
          </w:p>
        </w:tc>
        <w:tc>
          <w:tcPr>
            <w:tcW w:w="3331" w:type="dxa"/>
            <w:vAlign w:val="center"/>
            <w:hideMark/>
          </w:tcPr>
          <w:p w:rsidR="006F4AE1" w:rsidRPr="007127BB" w:rsidRDefault="00750EB5" w:rsidP="00A74601">
            <w:pPr>
              <w:ind w:left="17"/>
            </w:pPr>
            <w:r>
              <w:t>Режим в принципе преду</w:t>
            </w:r>
            <w:r w:rsidR="006F4AE1" w:rsidRPr="007127BB">
              <w:t>смотрен, но может быть активирован только изготовителем при помощи скр</w:t>
            </w:r>
            <w:r w:rsidR="006F4AE1" w:rsidRPr="007127BB">
              <w:t>ы</w:t>
            </w:r>
            <w:r w:rsidR="006F4AE1" w:rsidRPr="007127BB">
              <w:t>той функции или внешнего устройства.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>
              <w:t>О</w:t>
            </w:r>
            <w:r w:rsidRPr="007127BB">
              <w:t>тсутствуют</w:t>
            </w:r>
            <w:r>
              <w:t>.</w:t>
            </w:r>
          </w:p>
        </w:tc>
      </w:tr>
      <w:tr w:rsidR="006F4AE1" w:rsidRPr="007127BB" w:rsidTr="00955D32">
        <w:trPr>
          <w:trHeight w:val="852"/>
        </w:trPr>
        <w:tc>
          <w:tcPr>
            <w:tcW w:w="42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</w:p>
        </w:tc>
        <w:tc>
          <w:tcPr>
            <w:tcW w:w="204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  <w:jc w:val="center"/>
            </w:pPr>
            <w:r w:rsidRPr="007127BB">
              <w:t>3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Режим в принципе не предусмо</w:t>
            </w:r>
            <w:r w:rsidRPr="007127BB">
              <w:t>т</w:t>
            </w:r>
            <w:r w:rsidRPr="007127BB">
              <w:t>рен, но внешнее программное обеспечение позволяет обойти внутреннее программное обесп</w:t>
            </w:r>
            <w:r w:rsidRPr="007127BB">
              <w:t>е</w:t>
            </w:r>
            <w:r w:rsidRPr="007127BB">
              <w:t>чение.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6F4AE1" w:rsidRPr="007127BB" w:rsidRDefault="006F4AE1" w:rsidP="00A74601">
            <w:pPr>
              <w:ind w:left="17"/>
            </w:pPr>
            <w:r w:rsidRPr="007127BB">
              <w:t>Значение ускорения** должно находиться в пределах от a</w:t>
            </w:r>
            <w:r w:rsidRPr="00666951">
              <w:rPr>
                <w:vertAlign w:val="subscript"/>
              </w:rPr>
              <w:t>urban</w:t>
            </w:r>
            <w:r w:rsidRPr="007127BB">
              <w:t xml:space="preserve"> до a</w:t>
            </w:r>
            <w:r w:rsidRPr="00666951">
              <w:rPr>
                <w:vertAlign w:val="subscript"/>
              </w:rPr>
              <w:t>wot,ref</w:t>
            </w:r>
            <w:r w:rsidRPr="007127BB">
              <w:t>, но не должно превышать 2,0 м/с</w:t>
            </w:r>
            <w:r w:rsidRPr="00666951">
              <w:rPr>
                <w:vertAlign w:val="superscript"/>
              </w:rPr>
              <w:t>2</w:t>
            </w:r>
            <w:r w:rsidRPr="007127BB">
              <w:t>.</w:t>
            </w:r>
          </w:p>
        </w:tc>
      </w:tr>
    </w:tbl>
    <w:p w:rsidR="006F4AE1" w:rsidRPr="009A140F" w:rsidRDefault="001F2024" w:rsidP="001F2024">
      <w:pPr>
        <w:pStyle w:val="SingleTxtGR"/>
        <w:tabs>
          <w:tab w:val="left" w:pos="1276"/>
        </w:tabs>
        <w:spacing w:before="120" w:line="220" w:lineRule="exact"/>
        <w:jc w:val="left"/>
        <w:rPr>
          <w:sz w:val="18"/>
          <w:szCs w:val="18"/>
        </w:rPr>
      </w:pPr>
      <w:r w:rsidRPr="00C51734">
        <w:rPr>
          <w:sz w:val="18"/>
          <w:szCs w:val="18"/>
        </w:rPr>
        <w:tab/>
      </w:r>
      <w:r w:rsidR="006F4AE1" w:rsidRPr="009A140F">
        <w:rPr>
          <w:sz w:val="18"/>
          <w:szCs w:val="18"/>
        </w:rPr>
        <w:t>*</w:t>
      </w:r>
      <w:r w:rsidRPr="001F2024">
        <w:rPr>
          <w:sz w:val="18"/>
          <w:szCs w:val="18"/>
        </w:rPr>
        <w:t xml:space="preserve">  </w:t>
      </w:r>
      <w:r w:rsidR="006F4AE1" w:rsidRPr="009A140F">
        <w:rPr>
          <w:sz w:val="18"/>
          <w:szCs w:val="18"/>
        </w:rPr>
        <w:t xml:space="preserve">Примечание: Это стандартная ситуация, которая уже предусмотрена текстом </w:t>
      </w:r>
      <w:r w:rsidR="002B369D">
        <w:rPr>
          <w:sz w:val="18"/>
          <w:szCs w:val="18"/>
        </w:rPr>
        <w:br/>
      </w:r>
      <w:r w:rsidR="006F4AE1" w:rsidRPr="009A140F">
        <w:rPr>
          <w:sz w:val="18"/>
          <w:szCs w:val="18"/>
        </w:rPr>
        <w:t>Правил.</w:t>
      </w:r>
    </w:p>
    <w:p w:rsidR="006F4AE1" w:rsidRPr="009A140F" w:rsidRDefault="001F2024" w:rsidP="001F2024">
      <w:pPr>
        <w:pStyle w:val="SingleTxtGR"/>
        <w:tabs>
          <w:tab w:val="left" w:pos="1276"/>
        </w:tabs>
        <w:spacing w:line="220" w:lineRule="exact"/>
        <w:jc w:val="left"/>
        <w:rPr>
          <w:sz w:val="18"/>
          <w:szCs w:val="18"/>
        </w:rPr>
      </w:pPr>
      <w:r w:rsidRPr="002B369D">
        <w:rPr>
          <w:sz w:val="18"/>
          <w:szCs w:val="18"/>
        </w:rPr>
        <w:tab/>
      </w:r>
      <w:r>
        <w:rPr>
          <w:sz w:val="18"/>
          <w:szCs w:val="18"/>
        </w:rPr>
        <w:t xml:space="preserve">** </w:t>
      </w:r>
      <w:r w:rsidRPr="001F2024">
        <w:rPr>
          <w:sz w:val="18"/>
          <w:szCs w:val="18"/>
        </w:rPr>
        <w:t xml:space="preserve"> </w:t>
      </w:r>
      <w:r w:rsidR="006F4AE1" w:rsidRPr="009A140F">
        <w:rPr>
          <w:sz w:val="18"/>
          <w:szCs w:val="18"/>
        </w:rPr>
        <w:t>Применимо к транспортным средствам категорий M</w:t>
      </w:r>
      <w:r w:rsidR="006F4AE1" w:rsidRPr="009A140F">
        <w:rPr>
          <w:sz w:val="18"/>
          <w:szCs w:val="18"/>
          <w:vertAlign w:val="subscript"/>
        </w:rPr>
        <w:t>1</w:t>
      </w:r>
      <w:r w:rsidR="006F4AE1" w:rsidRPr="009A140F">
        <w:rPr>
          <w:sz w:val="18"/>
          <w:szCs w:val="18"/>
        </w:rPr>
        <w:t>, N</w:t>
      </w:r>
      <w:r w:rsidR="006F4AE1" w:rsidRPr="009A140F">
        <w:rPr>
          <w:sz w:val="18"/>
          <w:szCs w:val="18"/>
          <w:vertAlign w:val="subscript"/>
        </w:rPr>
        <w:t>1</w:t>
      </w:r>
      <w:r w:rsidR="006F4AE1" w:rsidRPr="009A140F">
        <w:rPr>
          <w:sz w:val="18"/>
          <w:szCs w:val="18"/>
        </w:rPr>
        <w:t xml:space="preserve"> и M</w:t>
      </w:r>
      <w:r w:rsidR="006F4AE1" w:rsidRPr="009A140F">
        <w:rPr>
          <w:sz w:val="18"/>
          <w:szCs w:val="18"/>
          <w:vertAlign w:val="subscript"/>
        </w:rPr>
        <w:t>2</w:t>
      </w:r>
      <w:r w:rsidR="006F4AE1" w:rsidRPr="009A140F">
        <w:rPr>
          <w:sz w:val="18"/>
          <w:szCs w:val="18"/>
        </w:rPr>
        <w:t xml:space="preserve"> массой ≤ 3,500 кг. Расчеты, указанные в графе </w:t>
      </w:r>
      <w:r w:rsidR="006D3570">
        <w:rPr>
          <w:sz w:val="18"/>
          <w:szCs w:val="18"/>
        </w:rPr>
        <w:t>«</w:t>
      </w:r>
      <w:r w:rsidR="006F4AE1" w:rsidRPr="009A140F">
        <w:rPr>
          <w:sz w:val="18"/>
          <w:szCs w:val="18"/>
        </w:rPr>
        <w:t>Дополнительные требования</w:t>
      </w:r>
      <w:r w:rsidR="006D3570">
        <w:rPr>
          <w:sz w:val="18"/>
          <w:szCs w:val="18"/>
        </w:rPr>
        <w:t>»</w:t>
      </w:r>
      <w:r w:rsidR="006F4AE1" w:rsidRPr="009A140F">
        <w:rPr>
          <w:sz w:val="18"/>
          <w:szCs w:val="18"/>
        </w:rPr>
        <w:t>, производятся по каждой стороне транспортного средства отдельно в соответствии с пунктом</w:t>
      </w:r>
      <w:r w:rsidR="006F4AE1" w:rsidRPr="009A140F">
        <w:rPr>
          <w:sz w:val="18"/>
          <w:szCs w:val="18"/>
          <w:lang w:val="en-US"/>
        </w:rPr>
        <w:t> </w:t>
      </w:r>
      <w:r w:rsidR="006F4AE1" w:rsidRPr="009A140F">
        <w:rPr>
          <w:sz w:val="18"/>
          <w:szCs w:val="18"/>
        </w:rPr>
        <w:t>3.1.3 приложения 3. Для дальнейших расчетов используют более высокий итоговый результат.</w:t>
      </w:r>
    </w:p>
    <w:p w:rsidR="006F4AE1" w:rsidRPr="007127BB" w:rsidRDefault="001F2024" w:rsidP="001F2024">
      <w:pPr>
        <w:pStyle w:val="SingleTxtGR"/>
        <w:tabs>
          <w:tab w:val="left" w:pos="1276"/>
        </w:tabs>
        <w:spacing w:line="220" w:lineRule="exact"/>
        <w:jc w:val="left"/>
      </w:pPr>
      <w:r w:rsidRPr="00C51734">
        <w:rPr>
          <w:sz w:val="18"/>
          <w:szCs w:val="18"/>
        </w:rPr>
        <w:tab/>
      </w:r>
      <w:r w:rsidR="006F4AE1" w:rsidRPr="009A140F">
        <w:rPr>
          <w:sz w:val="18"/>
          <w:szCs w:val="18"/>
        </w:rPr>
        <w:t xml:space="preserve">*** </w:t>
      </w:r>
      <w:r w:rsidRPr="001F2024">
        <w:rPr>
          <w:sz w:val="18"/>
          <w:szCs w:val="18"/>
        </w:rPr>
        <w:t xml:space="preserve"> </w:t>
      </w:r>
      <w:r w:rsidR="006F4AE1" w:rsidRPr="009A140F">
        <w:rPr>
          <w:sz w:val="18"/>
          <w:szCs w:val="18"/>
        </w:rPr>
        <w:t>Неполная нагрузка обеспечивается путем имитации дорожного ограничения на использование акселератора. Вмешательства в процесс управления работой двигателя не допускается</w:t>
      </w:r>
      <w:r w:rsidR="006D3570" w:rsidRPr="00A74601">
        <w:t>»</w:t>
      </w:r>
      <w:r w:rsidR="006F4AE1" w:rsidRPr="00A74601">
        <w:t>.</w:t>
      </w:r>
    </w:p>
    <w:p w:rsidR="006F4AE1" w:rsidRPr="007127BB" w:rsidRDefault="006F4AE1" w:rsidP="006F4AE1">
      <w:pPr>
        <w:pStyle w:val="SingleTxtGR"/>
      </w:pPr>
      <w:r w:rsidRPr="007127BB">
        <w:rPr>
          <w:i/>
          <w:iCs/>
        </w:rPr>
        <w:t>Приложение 7, пункт 2.5.1</w:t>
      </w:r>
      <w:r w:rsidRPr="007127BB">
        <w:t xml:space="preserve"> изменить следующим образом:</w:t>
      </w:r>
    </w:p>
    <w:p w:rsidR="006F4AE1" w:rsidRPr="007127BB" w:rsidRDefault="00A74601" w:rsidP="006F4AE1">
      <w:pPr>
        <w:pStyle w:val="SingleTxtGR"/>
      </w:pPr>
      <w:r>
        <w:t>«</w:t>
      </w:r>
      <w:r w:rsidR="000908D9">
        <w:t>2.5.1</w:t>
      </w:r>
      <w:r w:rsidR="000908D9">
        <w:tab/>
      </w:r>
      <w:r w:rsidR="000908D9">
        <w:tab/>
      </w:r>
      <w:r w:rsidR="006F4AE1" w:rsidRPr="007127BB">
        <w:t>…</w:t>
      </w:r>
    </w:p>
    <w:p w:rsidR="006F4AE1" w:rsidRPr="007127BB" w:rsidRDefault="006F4AE1" w:rsidP="001F2024">
      <w:pPr>
        <w:pStyle w:val="SingleTxtGR"/>
        <w:ind w:left="2268"/>
      </w:pPr>
      <w:r w:rsidRPr="007127BB">
        <w:t>В условиях трансмиссии без блокировки передаточных чисел и</w:t>
      </w:r>
      <w:r w:rsidRPr="007127BB">
        <w:t>с</w:t>
      </w:r>
      <w:r w:rsidRPr="007127BB">
        <w:t>пытания могут включать изменение передаточного числа в расчете на менее высокий диапазон и большее ускорение. Изменения пер</w:t>
      </w:r>
      <w:r w:rsidRPr="007127BB">
        <w:t>е</w:t>
      </w:r>
      <w:r w:rsidRPr="007127BB">
        <w:t>даточного числа в расчете на более высокий диапазон и меньшее ускорение не допускается.</w:t>
      </w:r>
    </w:p>
    <w:p w:rsidR="006F4AE1" w:rsidRPr="007127BB" w:rsidRDefault="006F4AE1" w:rsidP="001F2024">
      <w:pPr>
        <w:pStyle w:val="SingleTxtGR"/>
        <w:ind w:left="2268"/>
      </w:pPr>
      <w:r w:rsidRPr="007127BB">
        <w:t>Изготовитель по возможности принимает меры, с тем чтобы нед</w:t>
      </w:r>
      <w:r w:rsidRPr="007127BB">
        <w:t>о</w:t>
      </w:r>
      <w:r w:rsidRPr="007127BB">
        <w:t>пустить применения передаточного числа, создающего условия, к</w:t>
      </w:r>
      <w:r w:rsidRPr="007127BB">
        <w:t>о</w:t>
      </w:r>
      <w:r w:rsidRPr="007127BB">
        <w:t>торые не соответствуют предусмотренным ограничениям. Для эт</w:t>
      </w:r>
      <w:r w:rsidRPr="007127BB">
        <w:t>о</w:t>
      </w:r>
      <w:r w:rsidRPr="007127BB">
        <w:t>го допускаются установка и использование электронных либо м</w:t>
      </w:r>
      <w:r w:rsidRPr="007127BB">
        <w:t>е</w:t>
      </w:r>
      <w:r w:rsidRPr="007127BB">
        <w:t>ханических устройств, в том числе переменных положений пер</w:t>
      </w:r>
      <w:r w:rsidRPr="007127BB">
        <w:t>е</w:t>
      </w:r>
      <w:r w:rsidRPr="007127BB">
        <w:t>ключателя передачи. Если подобные методы применяться не могут, то должно быть представлено обоснование, включаемое в технич</w:t>
      </w:r>
      <w:r w:rsidRPr="007127BB">
        <w:t>е</w:t>
      </w:r>
      <w:r w:rsidRPr="007127BB">
        <w:t>ский отчет.</w:t>
      </w:r>
    </w:p>
    <w:p w:rsidR="006F4AE1" w:rsidRPr="007127BB" w:rsidRDefault="006F4AE1" w:rsidP="001F2024">
      <w:pPr>
        <w:pStyle w:val="SingleTxtGR"/>
        <w:ind w:left="2268"/>
        <w:rPr>
          <w:b/>
          <w:bCs/>
        </w:rPr>
      </w:pPr>
      <w:r w:rsidRPr="007127BB">
        <w:rPr>
          <w:b/>
          <w:bCs/>
        </w:rPr>
        <w:t>В таблице 1, содержащейся в добавлении к приложению 3, пр</w:t>
      </w:r>
      <w:r w:rsidRPr="007127BB">
        <w:rPr>
          <w:b/>
          <w:bCs/>
        </w:rPr>
        <w:t>и</w:t>
      </w:r>
      <w:r w:rsidRPr="007127BB">
        <w:rPr>
          <w:b/>
          <w:bCs/>
        </w:rPr>
        <w:t>ведены примеры приемлемых методов контроля понижения передач. Любой метод, используемый изготовителем для выш</w:t>
      </w:r>
      <w:r w:rsidRPr="007127BB">
        <w:rPr>
          <w:b/>
          <w:bCs/>
        </w:rPr>
        <w:t>е</w:t>
      </w:r>
      <w:r w:rsidRPr="007127BB">
        <w:rPr>
          <w:b/>
          <w:bCs/>
        </w:rPr>
        <w:t>упомянутых целей, указывают в протоколе испытания</w:t>
      </w:r>
      <w:r w:rsidR="00A74601" w:rsidRPr="00A74601">
        <w:rPr>
          <w:bCs/>
        </w:rPr>
        <w:t>»</w:t>
      </w:r>
      <w:r w:rsidRPr="00A74601">
        <w:rPr>
          <w:bCs/>
        </w:rPr>
        <w:t>.</w:t>
      </w:r>
    </w:p>
    <w:p w:rsidR="006F4AE1" w:rsidRPr="007834CC" w:rsidRDefault="006F4AE1" w:rsidP="006F4AE1">
      <w:pPr>
        <w:pStyle w:val="HChGR"/>
      </w:pPr>
      <w:r w:rsidRPr="007127BB">
        <w:tab/>
        <w:t>II.</w:t>
      </w:r>
      <w:r w:rsidRPr="007127BB">
        <w:tab/>
        <w:t>Обоснование</w:t>
      </w:r>
    </w:p>
    <w:p w:rsidR="006F4AE1" w:rsidRPr="007834CC" w:rsidRDefault="006F4AE1" w:rsidP="006F4AE1">
      <w:pPr>
        <w:pStyle w:val="SingleTxtGR"/>
      </w:pPr>
      <w:r>
        <w:t>1.</w:t>
      </w:r>
      <w:r>
        <w:tab/>
      </w:r>
      <w:r w:rsidRPr="007834CC">
        <w:t>В нескольких местах в Правилах приведены положения, предусматрив</w:t>
      </w:r>
      <w:r w:rsidRPr="007834CC">
        <w:t>а</w:t>
      </w:r>
      <w:r w:rsidRPr="007834CC">
        <w:t>ющие, что изготовитель может либо использовать механические или электро</w:t>
      </w:r>
      <w:r w:rsidRPr="007834CC">
        <w:t>н</w:t>
      </w:r>
      <w:r w:rsidRPr="007834CC">
        <w:t>ные устройства контроля передаточного числа, либо принять меры для недоп</w:t>
      </w:r>
      <w:r w:rsidRPr="007834CC">
        <w:t>у</w:t>
      </w:r>
      <w:r w:rsidRPr="007834CC">
        <w:t>щения того, чтобы ускорение превышало 2,0 м/с</w:t>
      </w:r>
      <w:r w:rsidRPr="00A47A33">
        <w:rPr>
          <w:vertAlign w:val="superscript"/>
        </w:rPr>
        <w:t>2</w:t>
      </w:r>
      <w:r w:rsidRPr="007834CC">
        <w:t xml:space="preserve">. </w:t>
      </w:r>
    </w:p>
    <w:p w:rsidR="006F4AE1" w:rsidRPr="007834CC" w:rsidRDefault="006F4AE1" w:rsidP="006F4AE1">
      <w:pPr>
        <w:pStyle w:val="SingleTxtGR"/>
      </w:pPr>
      <w:r>
        <w:t>2.</w:t>
      </w:r>
      <w:r>
        <w:tab/>
      </w:r>
      <w:r w:rsidRPr="007834CC">
        <w:t>Вместе с тем эти методы не определены, равно как и отсутствуют пол</w:t>
      </w:r>
      <w:r w:rsidRPr="007834CC">
        <w:t>о</w:t>
      </w:r>
      <w:r w:rsidRPr="007834CC">
        <w:t>жения, обязывающие изготовителя или техническую службу отражать соотве</w:t>
      </w:r>
      <w:r w:rsidRPr="007834CC">
        <w:t>т</w:t>
      </w:r>
      <w:r w:rsidRPr="007834CC">
        <w:t>ствующую документацию в протоколе испытания.</w:t>
      </w:r>
    </w:p>
    <w:p w:rsidR="006F4AE1" w:rsidRPr="007834CC" w:rsidRDefault="006F4AE1" w:rsidP="006F4AE1">
      <w:pPr>
        <w:pStyle w:val="SingleTxtGR"/>
      </w:pPr>
      <w:r>
        <w:t>3.</w:t>
      </w:r>
      <w:r>
        <w:tab/>
      </w:r>
      <w:r w:rsidRPr="007834CC">
        <w:t>Предлагаемые поправки нацелены на включение таблицы с примерами соответствующих устройств и методов, с тем чтобы помочь изготовителям и дать указания техническим службам. Кроме того, данной поправкой предусмо</w:t>
      </w:r>
      <w:r w:rsidRPr="007834CC">
        <w:t>т</w:t>
      </w:r>
      <w:r w:rsidRPr="007834CC">
        <w:t>рено, что в случае таких устройств и методов документация должна обязател</w:t>
      </w:r>
      <w:r w:rsidRPr="007834CC">
        <w:t>ь</w:t>
      </w:r>
      <w:r w:rsidRPr="007834CC">
        <w:t>ном порядке отражаться в протоколе.</w:t>
      </w:r>
    </w:p>
    <w:p w:rsidR="006F4AE1" w:rsidRDefault="006F4AE1" w:rsidP="006F4AE1">
      <w:pPr>
        <w:pStyle w:val="SingleTxtGR"/>
      </w:pPr>
      <w:r>
        <w:t>4.</w:t>
      </w:r>
      <w:r>
        <w:tab/>
      </w:r>
      <w:r w:rsidRPr="007834CC">
        <w:t>Это позволить повысить транспарентность процесса официального утверждения типа.</w:t>
      </w:r>
    </w:p>
    <w:p w:rsidR="00E12C5F" w:rsidRPr="001F2024" w:rsidRDefault="001F2024" w:rsidP="001F202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F2024" w:rsidSect="006F4AE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0F" w:rsidRPr="00A312BC" w:rsidRDefault="009A140F" w:rsidP="00A312BC"/>
  </w:endnote>
  <w:endnote w:type="continuationSeparator" w:id="0">
    <w:p w:rsidR="009A140F" w:rsidRPr="00A312BC" w:rsidRDefault="009A14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F" w:rsidRPr="006F4AE1" w:rsidRDefault="009A140F">
    <w:pPr>
      <w:pStyle w:val="Footer"/>
    </w:pPr>
    <w:r w:rsidRPr="006F4AE1">
      <w:rPr>
        <w:b/>
        <w:sz w:val="18"/>
      </w:rPr>
      <w:fldChar w:fldCharType="begin"/>
    </w:r>
    <w:r w:rsidRPr="006F4AE1">
      <w:rPr>
        <w:b/>
        <w:sz w:val="18"/>
      </w:rPr>
      <w:instrText xml:space="preserve"> PAGE  \* MERGEFORMAT </w:instrText>
    </w:r>
    <w:r w:rsidRPr="006F4AE1">
      <w:rPr>
        <w:b/>
        <w:sz w:val="18"/>
      </w:rPr>
      <w:fldChar w:fldCharType="separate"/>
    </w:r>
    <w:r w:rsidR="00C51734">
      <w:rPr>
        <w:b/>
        <w:noProof/>
        <w:sz w:val="18"/>
      </w:rPr>
      <w:t>2</w:t>
    </w:r>
    <w:r w:rsidRPr="006F4AE1">
      <w:rPr>
        <w:b/>
        <w:sz w:val="18"/>
      </w:rPr>
      <w:fldChar w:fldCharType="end"/>
    </w:r>
    <w:r>
      <w:rPr>
        <w:b/>
        <w:sz w:val="18"/>
      </w:rPr>
      <w:tab/>
    </w:r>
    <w:r>
      <w:t>GE.17-19777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F" w:rsidRPr="006F4AE1" w:rsidRDefault="009A140F" w:rsidP="006F4AE1">
    <w:pPr>
      <w:pStyle w:val="Footer"/>
      <w:tabs>
        <w:tab w:val="clear" w:pos="9639"/>
        <w:tab w:val="right" w:pos="9638"/>
      </w:tabs>
      <w:rPr>
        <w:b/>
        <w:sz w:val="18"/>
      </w:rPr>
    </w:pPr>
    <w:r>
      <w:t>G</w:t>
    </w:r>
    <w:r w:rsidR="001B1EE1">
      <w:t>E.17-19777</w:t>
    </w:r>
    <w:r>
      <w:tab/>
    </w:r>
    <w:r w:rsidRPr="006F4AE1">
      <w:rPr>
        <w:b/>
        <w:sz w:val="18"/>
      </w:rPr>
      <w:fldChar w:fldCharType="begin"/>
    </w:r>
    <w:r w:rsidRPr="006F4AE1">
      <w:rPr>
        <w:b/>
        <w:sz w:val="18"/>
      </w:rPr>
      <w:instrText xml:space="preserve"> PAGE  \* MERGEFORMAT </w:instrText>
    </w:r>
    <w:r w:rsidRPr="006F4AE1">
      <w:rPr>
        <w:b/>
        <w:sz w:val="18"/>
      </w:rPr>
      <w:fldChar w:fldCharType="separate"/>
    </w:r>
    <w:r w:rsidR="00C51734">
      <w:rPr>
        <w:b/>
        <w:noProof/>
        <w:sz w:val="18"/>
      </w:rPr>
      <w:t>5</w:t>
    </w:r>
    <w:r w:rsidRPr="006F4A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F" w:rsidRPr="006F4AE1" w:rsidRDefault="009A140F" w:rsidP="006F4AE1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B16386" wp14:editId="2043DF6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17-19777  (R)</w:t>
    </w:r>
    <w:r>
      <w:rPr>
        <w:lang w:val="en-US"/>
      </w:rPr>
      <w:t xml:space="preserve">  041217  041217</w:t>
    </w:r>
    <w:r>
      <w:br/>
    </w:r>
    <w:r w:rsidRPr="006F4AE1">
      <w:rPr>
        <w:rFonts w:ascii="C39T30Lfz" w:hAnsi="C39T30Lfz"/>
        <w:spacing w:val="0"/>
        <w:w w:val="100"/>
        <w:sz w:val="56"/>
        <w:lang w:val="en-US"/>
      </w:rPr>
      <w:t></w:t>
    </w:r>
    <w:r w:rsidRPr="006F4AE1">
      <w:rPr>
        <w:rFonts w:ascii="C39T30Lfz" w:hAnsi="C39T30Lfz"/>
        <w:spacing w:val="0"/>
        <w:w w:val="100"/>
        <w:sz w:val="56"/>
        <w:lang w:val="en-US"/>
      </w:rPr>
      <w:t></w:t>
    </w:r>
    <w:r w:rsidRPr="006F4AE1">
      <w:rPr>
        <w:rFonts w:ascii="C39T30Lfz" w:hAnsi="C39T30Lfz"/>
        <w:spacing w:val="0"/>
        <w:w w:val="100"/>
        <w:sz w:val="56"/>
        <w:lang w:val="en-US"/>
      </w:rPr>
      <w:t></w:t>
    </w:r>
    <w:r w:rsidRPr="006F4AE1">
      <w:rPr>
        <w:rFonts w:ascii="C39T30Lfz" w:hAnsi="C39T30Lfz"/>
        <w:spacing w:val="0"/>
        <w:w w:val="100"/>
        <w:sz w:val="56"/>
        <w:lang w:val="en-US"/>
      </w:rPr>
      <w:t></w:t>
    </w:r>
    <w:r w:rsidRPr="006F4AE1">
      <w:rPr>
        <w:rFonts w:ascii="C39T30Lfz" w:hAnsi="C39T30Lfz"/>
        <w:spacing w:val="0"/>
        <w:w w:val="100"/>
        <w:sz w:val="56"/>
        <w:lang w:val="en-US"/>
      </w:rPr>
      <w:t></w:t>
    </w:r>
    <w:r w:rsidRPr="006F4AE1">
      <w:rPr>
        <w:rFonts w:ascii="C39T30Lfz" w:hAnsi="C39T30Lfz"/>
        <w:spacing w:val="0"/>
        <w:w w:val="100"/>
        <w:sz w:val="56"/>
        <w:lang w:val="en-US"/>
      </w:rPr>
      <w:t></w:t>
    </w:r>
    <w:r w:rsidRPr="006F4AE1">
      <w:rPr>
        <w:rFonts w:ascii="C39T30Lfz" w:hAnsi="C39T30Lfz"/>
        <w:spacing w:val="0"/>
        <w:w w:val="100"/>
        <w:sz w:val="56"/>
        <w:lang w:val="en-US"/>
      </w:rPr>
      <w:t></w:t>
    </w:r>
    <w:r w:rsidRPr="006F4AE1">
      <w:rPr>
        <w:rFonts w:ascii="C39T30Lfz" w:hAnsi="C39T30Lfz"/>
        <w:spacing w:val="0"/>
        <w:w w:val="100"/>
        <w:sz w:val="56"/>
        <w:lang w:val="en-US"/>
      </w:rPr>
      <w:t></w:t>
    </w:r>
    <w:r w:rsidRPr="006F4AE1">
      <w:rPr>
        <w:rFonts w:ascii="C39T30Lfz" w:hAnsi="C39T30Lfz"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59264" behindDoc="0" locked="0" layoutInCell="1" allowOverlap="1" wp14:anchorId="6C638277" wp14:editId="40910D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B/20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AE1">
      <w:rPr>
        <w:rFonts w:ascii="C39T30Lfz" w:hAnsi="C39T30Lfz"/>
        <w:spacing w:val="0"/>
        <w:w w:val="100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0F" w:rsidRPr="001075E9" w:rsidRDefault="009A14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140F" w:rsidRDefault="009A14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A140F" w:rsidRPr="0004717C" w:rsidRDefault="009A140F" w:rsidP="006F4AE1">
      <w:pPr>
        <w:pStyle w:val="FootnoteText"/>
        <w:rPr>
          <w:sz w:val="20"/>
          <w:lang w:val="ru-RU"/>
        </w:rPr>
      </w:pPr>
      <w:r>
        <w:tab/>
      </w:r>
      <w:r w:rsidRPr="0004717C">
        <w:rPr>
          <w:rStyle w:val="FootnoteReference"/>
          <w:sz w:val="20"/>
          <w:vertAlign w:val="baseline"/>
          <w:lang w:val="ru-RU"/>
        </w:rPr>
        <w:t>*</w:t>
      </w:r>
      <w:r w:rsidRPr="0004717C">
        <w:rPr>
          <w:rStyle w:val="FootnoteReference"/>
          <w:vertAlign w:val="baseline"/>
          <w:lang w:val="ru-RU"/>
        </w:rPr>
        <w:tab/>
      </w:r>
      <w:r w:rsidRPr="0004717C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04717C">
        <w:rPr>
          <w:lang w:val="ru-RU"/>
        </w:rPr>
        <w:t>на 2016–2017 годы (ECE/TRANS/254, пункт 159, и ECE/TRANS/2016/28/Add.1, направление работы 3.2) Всемирный форум будет</w:t>
      </w:r>
      <w:r>
        <w:rPr>
          <w:lang w:val="ru-RU"/>
        </w:rPr>
        <w:t xml:space="preserve"> разрабатывать, согласовывать и </w:t>
      </w:r>
      <w:r w:rsidRPr="0004717C">
        <w:rPr>
          <w:lang w:val="ru-RU"/>
        </w:rPr>
        <w:t>обновлять правила в целях улучшения характеристик транспортных средств. Настоящий документ представлен 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F" w:rsidRPr="006F4AE1" w:rsidRDefault="00354FCA">
    <w:pPr>
      <w:pStyle w:val="Header"/>
    </w:pPr>
    <w:fldSimple w:instr=" TITLE  \* MERGEFORMAT ">
      <w:r w:rsidR="00C51734">
        <w:t>ECE/TRANS/WP.29/GRB/2018/2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F" w:rsidRPr="006F4AE1" w:rsidRDefault="00354FCA" w:rsidP="006F4AE1">
    <w:pPr>
      <w:pStyle w:val="Header"/>
      <w:jc w:val="right"/>
    </w:pPr>
    <w:fldSimple w:instr=" TITLE  \* MERGEFORMAT ">
      <w:r w:rsidR="00C51734">
        <w:t>ECE/TRANS/WP.29/GRB/2018/2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A"/>
    <w:rsid w:val="00033EE1"/>
    <w:rsid w:val="00042B72"/>
    <w:rsid w:val="000558BD"/>
    <w:rsid w:val="00081187"/>
    <w:rsid w:val="000908D9"/>
    <w:rsid w:val="000B57E7"/>
    <w:rsid w:val="000B6373"/>
    <w:rsid w:val="000C52D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EE1"/>
    <w:rsid w:val="001B3EF6"/>
    <w:rsid w:val="001C7A89"/>
    <w:rsid w:val="001F2024"/>
    <w:rsid w:val="00232D31"/>
    <w:rsid w:val="00255343"/>
    <w:rsid w:val="0027151D"/>
    <w:rsid w:val="002A09F5"/>
    <w:rsid w:val="002A2EFC"/>
    <w:rsid w:val="002B0106"/>
    <w:rsid w:val="002B369D"/>
    <w:rsid w:val="002B74B1"/>
    <w:rsid w:val="002C0E18"/>
    <w:rsid w:val="002C517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4FCA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5168"/>
    <w:rsid w:val="004E05B7"/>
    <w:rsid w:val="0050108D"/>
    <w:rsid w:val="00513081"/>
    <w:rsid w:val="00517901"/>
    <w:rsid w:val="00526683"/>
    <w:rsid w:val="005639C1"/>
    <w:rsid w:val="005709E0"/>
    <w:rsid w:val="00572E19"/>
    <w:rsid w:val="0057320E"/>
    <w:rsid w:val="005961C8"/>
    <w:rsid w:val="005966F1"/>
    <w:rsid w:val="005A077A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3570"/>
    <w:rsid w:val="006D461A"/>
    <w:rsid w:val="006F35EE"/>
    <w:rsid w:val="006F4AE1"/>
    <w:rsid w:val="007021FF"/>
    <w:rsid w:val="00712895"/>
    <w:rsid w:val="00734ACB"/>
    <w:rsid w:val="00750EB5"/>
    <w:rsid w:val="00757357"/>
    <w:rsid w:val="00792497"/>
    <w:rsid w:val="007B759F"/>
    <w:rsid w:val="007E7FF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26F7"/>
    <w:rsid w:val="00955D32"/>
    <w:rsid w:val="009608F3"/>
    <w:rsid w:val="009A140F"/>
    <w:rsid w:val="009A24AC"/>
    <w:rsid w:val="009C6FE6"/>
    <w:rsid w:val="009D7E7D"/>
    <w:rsid w:val="009E6D2F"/>
    <w:rsid w:val="00A14DA8"/>
    <w:rsid w:val="00A312BC"/>
    <w:rsid w:val="00A47A33"/>
    <w:rsid w:val="00A74601"/>
    <w:rsid w:val="00A84021"/>
    <w:rsid w:val="00A84D35"/>
    <w:rsid w:val="00A917B3"/>
    <w:rsid w:val="00AB4B51"/>
    <w:rsid w:val="00B10CC7"/>
    <w:rsid w:val="00B26CA4"/>
    <w:rsid w:val="00B36DF7"/>
    <w:rsid w:val="00B539E7"/>
    <w:rsid w:val="00B62458"/>
    <w:rsid w:val="00BC18B2"/>
    <w:rsid w:val="00BD33EE"/>
    <w:rsid w:val="00BE1CC7"/>
    <w:rsid w:val="00C106D6"/>
    <w:rsid w:val="00C119AE"/>
    <w:rsid w:val="00C44914"/>
    <w:rsid w:val="00C51734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1D0"/>
    <w:rsid w:val="00FC2D2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ECE/TRANS/WP.29/GRB/2018/2</vt:lpstr>
      <vt:lpstr>ECE/TRANS/WP.29/GRB/2018/2</vt:lpstr>
      <vt:lpstr>A/</vt:lpstr>
    </vt:vector>
  </TitlesOfParts>
  <Company>DCM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ECE/TRANS/WP.29/GRB/2018/2</dc:title>
  <dc:creator>Izotova Elena</dc:creator>
  <cp:lastModifiedBy>Benedicte Boudol</cp:lastModifiedBy>
  <cp:revision>3</cp:revision>
  <cp:lastPrinted>2017-12-15T13:08:00Z</cp:lastPrinted>
  <dcterms:created xsi:type="dcterms:W3CDTF">2017-12-05T10:29:00Z</dcterms:created>
  <dcterms:modified xsi:type="dcterms:W3CDTF">2017-12-15T13:08:00Z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