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BAA" w:rsidRPr="00821E33" w:rsidRDefault="00E50BAA" w:rsidP="00E50BAA">
      <w:pPr>
        <w:pStyle w:val="HChG"/>
        <w:tabs>
          <w:tab w:val="clear" w:pos="851"/>
        </w:tabs>
        <w:spacing w:before="0" w:after="0" w:line="240" w:lineRule="auto"/>
        <w:ind w:left="0" w:right="4" w:firstLine="0"/>
        <w:jc w:val="center"/>
      </w:pPr>
      <w:r w:rsidRPr="00821E33">
        <w:t xml:space="preserve">Draft minutes </w:t>
      </w:r>
      <w:r w:rsidR="00DF2455" w:rsidRPr="00821E33">
        <w:t xml:space="preserve">of </w:t>
      </w:r>
      <w:r w:rsidRPr="00821E33">
        <w:t xml:space="preserve">the </w:t>
      </w:r>
      <w:r w:rsidR="00821E33" w:rsidRPr="00821E33">
        <w:t>eleventh</w:t>
      </w:r>
      <w:r w:rsidR="00DF2455" w:rsidRPr="00821E33">
        <w:t xml:space="preserve"> </w:t>
      </w:r>
      <w:r w:rsidRPr="00821E33">
        <w:t xml:space="preserve">meeting of the </w:t>
      </w:r>
      <w:r w:rsidRPr="00821E33">
        <w:br/>
        <w:t xml:space="preserve">Informal Working Group (IWG) on </w:t>
      </w:r>
      <w:r w:rsidRPr="00821E33">
        <w:br/>
        <w:t>Periodical Technical Inspection</w:t>
      </w:r>
      <w:r w:rsidR="0029097B">
        <w:t>s</w:t>
      </w:r>
      <w:bookmarkStart w:id="0" w:name="_GoBack"/>
      <w:bookmarkEnd w:id="0"/>
      <w:r w:rsidRPr="00821E33">
        <w:t xml:space="preserve"> (PTI)</w:t>
      </w:r>
    </w:p>
    <w:p w:rsidR="00E50BAA" w:rsidRPr="00821E33" w:rsidRDefault="00E50BAA" w:rsidP="00913783">
      <w:pPr>
        <w:jc w:val="center"/>
        <w:rPr>
          <w:rFonts w:ascii="Times New Roman" w:hAnsi="Times New Roman"/>
          <w:lang w:val="en-GB"/>
        </w:rPr>
      </w:pPr>
    </w:p>
    <w:p w:rsidR="00913783" w:rsidRPr="00821E33" w:rsidRDefault="00913783" w:rsidP="00D45B4A">
      <w:pPr>
        <w:spacing w:line="240" w:lineRule="auto"/>
        <w:jc w:val="center"/>
        <w:rPr>
          <w:rFonts w:ascii="Times New Roman" w:hAnsi="Times New Roman"/>
          <w:lang w:val="en-GB"/>
        </w:rPr>
      </w:pPr>
      <w:r w:rsidRPr="00821E33">
        <w:rPr>
          <w:rFonts w:ascii="Times New Roman" w:hAnsi="Times New Roman"/>
          <w:lang w:val="en-GB"/>
        </w:rPr>
        <w:t xml:space="preserve">On </w:t>
      </w:r>
      <w:r w:rsidR="00821E33" w:rsidRPr="00821E33">
        <w:rPr>
          <w:rFonts w:ascii="Times New Roman" w:hAnsi="Times New Roman"/>
          <w:lang w:val="en-GB"/>
        </w:rPr>
        <w:t>6</w:t>
      </w:r>
      <w:r w:rsidR="00BF7AE9" w:rsidRPr="00821E33">
        <w:rPr>
          <w:rFonts w:ascii="Times New Roman" w:hAnsi="Times New Roman"/>
          <w:lang w:val="en-GB"/>
        </w:rPr>
        <w:t xml:space="preserve"> </w:t>
      </w:r>
      <w:r w:rsidR="00821E33" w:rsidRPr="00821E33">
        <w:rPr>
          <w:rFonts w:ascii="Times New Roman" w:hAnsi="Times New Roman"/>
          <w:lang w:val="en-GB"/>
        </w:rPr>
        <w:t>June</w:t>
      </w:r>
      <w:r w:rsidR="00BF7AE9" w:rsidRPr="00821E33">
        <w:rPr>
          <w:rFonts w:ascii="Times New Roman" w:hAnsi="Times New Roman"/>
          <w:lang w:val="en-GB"/>
        </w:rPr>
        <w:t xml:space="preserve"> 2018</w:t>
      </w:r>
      <w:r w:rsidRPr="00821E33">
        <w:rPr>
          <w:rFonts w:ascii="Times New Roman" w:hAnsi="Times New Roman"/>
          <w:lang w:val="en-GB"/>
        </w:rPr>
        <w:t xml:space="preserve">, </w:t>
      </w:r>
      <w:r w:rsidR="00ED73B9" w:rsidRPr="00821E33">
        <w:rPr>
          <w:rFonts w:ascii="Times New Roman" w:hAnsi="Times New Roman"/>
          <w:lang w:val="en-GB"/>
        </w:rPr>
        <w:t>10</w:t>
      </w:r>
      <w:r w:rsidRPr="00821E33">
        <w:rPr>
          <w:rFonts w:ascii="Times New Roman" w:hAnsi="Times New Roman"/>
          <w:lang w:val="en-GB"/>
        </w:rPr>
        <w:t>:00 – 1</w:t>
      </w:r>
      <w:r w:rsidR="00821E33" w:rsidRPr="00821E33">
        <w:rPr>
          <w:rFonts w:ascii="Times New Roman" w:hAnsi="Times New Roman"/>
          <w:lang w:val="en-GB"/>
        </w:rPr>
        <w:t>6</w:t>
      </w:r>
      <w:r w:rsidRPr="00821E33">
        <w:rPr>
          <w:rFonts w:ascii="Times New Roman" w:hAnsi="Times New Roman"/>
          <w:lang w:val="en-GB"/>
        </w:rPr>
        <w:t>:00</w:t>
      </w:r>
    </w:p>
    <w:p w:rsidR="00CA7AF6" w:rsidRPr="00821E33" w:rsidRDefault="00CA7AF6" w:rsidP="00BC0E68">
      <w:pPr>
        <w:spacing w:after="0" w:line="240" w:lineRule="auto"/>
        <w:jc w:val="center"/>
        <w:rPr>
          <w:rFonts w:ascii="Times New Roman" w:hAnsi="Times New Roman"/>
          <w:lang w:val="en-GB"/>
        </w:rPr>
      </w:pPr>
    </w:p>
    <w:p w:rsidR="00BC0E68" w:rsidRPr="00821E33" w:rsidRDefault="00BC0E68" w:rsidP="00BC0E68">
      <w:pPr>
        <w:spacing w:after="0" w:line="240" w:lineRule="auto"/>
        <w:jc w:val="center"/>
        <w:rPr>
          <w:rFonts w:ascii="Times New Roman" w:hAnsi="Times New Roman"/>
          <w:lang w:val="en-GB"/>
        </w:rPr>
      </w:pPr>
      <w:r w:rsidRPr="00821E33">
        <w:rPr>
          <w:rFonts w:ascii="Times New Roman" w:hAnsi="Times New Roman"/>
          <w:lang w:val="en-GB"/>
        </w:rPr>
        <w:t xml:space="preserve">Hosted by </w:t>
      </w:r>
      <w:r w:rsidR="00821E33" w:rsidRPr="00821E33">
        <w:rPr>
          <w:rFonts w:ascii="Times New Roman" w:hAnsi="Times New Roman"/>
          <w:b/>
          <w:lang w:val="en-GB"/>
        </w:rPr>
        <w:t>OICA</w:t>
      </w:r>
    </w:p>
    <w:p w:rsidR="00CA7AF6" w:rsidRPr="00821E33" w:rsidRDefault="00821E33" w:rsidP="00CA7AF6">
      <w:pPr>
        <w:spacing w:after="0" w:line="240" w:lineRule="auto"/>
        <w:jc w:val="center"/>
        <w:rPr>
          <w:rFonts w:ascii="Times New Roman" w:hAnsi="Times New Roman"/>
          <w:lang w:val="en-GB"/>
        </w:rPr>
      </w:pPr>
      <w:r w:rsidRPr="00821E33">
        <w:rPr>
          <w:rFonts w:ascii="Times New Roman" w:hAnsi="Times New Roman"/>
          <w:lang w:val="en-GB"/>
        </w:rPr>
        <w:t xml:space="preserve">4 </w:t>
      </w:r>
      <w:r w:rsidR="005E202F" w:rsidRPr="00821E33">
        <w:rPr>
          <w:rFonts w:ascii="Times New Roman" w:hAnsi="Times New Roman"/>
          <w:lang w:val="en-GB"/>
        </w:rPr>
        <w:t>Rue d</w:t>
      </w:r>
      <w:r w:rsidRPr="00821E33">
        <w:rPr>
          <w:rFonts w:ascii="Times New Roman" w:hAnsi="Times New Roman"/>
          <w:lang w:val="en-GB"/>
        </w:rPr>
        <w:t>e</w:t>
      </w:r>
      <w:r w:rsidR="005E202F" w:rsidRPr="00821E33">
        <w:rPr>
          <w:rFonts w:ascii="Times New Roman" w:hAnsi="Times New Roman"/>
          <w:lang w:val="en-GB"/>
        </w:rPr>
        <w:t xml:space="preserve"> </w:t>
      </w:r>
      <w:r w:rsidRPr="00821E33">
        <w:rPr>
          <w:rFonts w:ascii="Times New Roman" w:hAnsi="Times New Roman"/>
          <w:lang w:val="en-GB"/>
        </w:rPr>
        <w:t>Berri,</w:t>
      </w:r>
      <w:r w:rsidR="005E202F" w:rsidRPr="00821E33">
        <w:rPr>
          <w:rFonts w:ascii="Times New Roman" w:hAnsi="Times New Roman"/>
          <w:lang w:val="en-GB"/>
        </w:rPr>
        <w:t xml:space="preserve"> </w:t>
      </w:r>
      <w:r w:rsidRPr="00821E33">
        <w:rPr>
          <w:rFonts w:ascii="Times New Roman" w:hAnsi="Times New Roman"/>
          <w:lang w:val="en-GB"/>
        </w:rPr>
        <w:t>75008</w:t>
      </w:r>
      <w:r w:rsidR="005E202F" w:rsidRPr="00821E33">
        <w:rPr>
          <w:rFonts w:ascii="Times New Roman" w:hAnsi="Times New Roman"/>
          <w:lang w:val="en-GB"/>
        </w:rPr>
        <w:t xml:space="preserve"> </w:t>
      </w:r>
      <w:r w:rsidRPr="00821E33">
        <w:rPr>
          <w:rFonts w:ascii="Times New Roman" w:hAnsi="Times New Roman"/>
          <w:lang w:val="en-GB"/>
        </w:rPr>
        <w:t>Paris</w:t>
      </w:r>
      <w:r w:rsidR="005E202F" w:rsidRPr="00821E33">
        <w:rPr>
          <w:rFonts w:ascii="Times New Roman" w:hAnsi="Times New Roman"/>
          <w:lang w:val="en-GB"/>
        </w:rPr>
        <w:t xml:space="preserve">, </w:t>
      </w:r>
      <w:r w:rsidRPr="00821E33">
        <w:rPr>
          <w:rFonts w:ascii="Times New Roman" w:hAnsi="Times New Roman"/>
          <w:lang w:val="en-GB"/>
        </w:rPr>
        <w:t>France</w:t>
      </w:r>
    </w:p>
    <w:p w:rsidR="00BC0E68" w:rsidRPr="00821E33" w:rsidRDefault="00BC0E68" w:rsidP="00BC0E68">
      <w:pPr>
        <w:spacing w:after="0" w:line="240" w:lineRule="auto"/>
        <w:jc w:val="center"/>
        <w:rPr>
          <w:rFonts w:ascii="Times New Roman" w:hAnsi="Times New Roman"/>
          <w:lang w:val="en-GB"/>
        </w:rPr>
      </w:pPr>
    </w:p>
    <w:p w:rsidR="00563A06" w:rsidRPr="00821E33" w:rsidRDefault="0013641B" w:rsidP="006C3F60">
      <w:pPr>
        <w:spacing w:after="0" w:line="240" w:lineRule="auto"/>
        <w:jc w:val="both"/>
        <w:rPr>
          <w:rFonts w:ascii="Times New Roman" w:hAnsi="Times New Roman"/>
          <w:lang w:val="en-GB"/>
        </w:rPr>
      </w:pPr>
      <w:r w:rsidRPr="00821E33">
        <w:rPr>
          <w:rFonts w:ascii="Times New Roman" w:hAnsi="Times New Roman"/>
          <w:lang w:val="en-GB"/>
        </w:rPr>
        <w:t>M</w:t>
      </w:r>
      <w:r w:rsidR="00563A06" w:rsidRPr="00821E33">
        <w:rPr>
          <w:rFonts w:ascii="Times New Roman" w:hAnsi="Times New Roman"/>
          <w:lang w:val="en-GB"/>
        </w:rPr>
        <w:t>r</w:t>
      </w:r>
      <w:r w:rsidRPr="00821E33">
        <w:rPr>
          <w:rFonts w:ascii="Times New Roman" w:hAnsi="Times New Roman"/>
          <w:lang w:val="en-GB"/>
        </w:rPr>
        <w:t>.</w:t>
      </w:r>
      <w:r w:rsidR="00563A06" w:rsidRPr="00821E33">
        <w:rPr>
          <w:rFonts w:ascii="Times New Roman" w:hAnsi="Times New Roman"/>
          <w:lang w:val="en-GB"/>
        </w:rPr>
        <w:t xml:space="preserve"> Vitaly </w:t>
      </w:r>
      <w:proofErr w:type="spellStart"/>
      <w:r w:rsidR="00563A06" w:rsidRPr="00821E33">
        <w:rPr>
          <w:rFonts w:ascii="Times New Roman" w:hAnsi="Times New Roman"/>
          <w:lang w:val="en-GB"/>
        </w:rPr>
        <w:t>Komarov</w:t>
      </w:r>
      <w:proofErr w:type="spellEnd"/>
      <w:r w:rsidR="00563A06" w:rsidRPr="00821E33">
        <w:rPr>
          <w:rFonts w:ascii="Times New Roman" w:hAnsi="Times New Roman"/>
          <w:lang w:val="en-GB"/>
        </w:rPr>
        <w:t xml:space="preserve">, </w:t>
      </w:r>
      <w:r w:rsidR="008D68BB" w:rsidRPr="00821E33">
        <w:rPr>
          <w:rFonts w:ascii="Times New Roman" w:hAnsi="Times New Roman"/>
          <w:lang w:val="en-GB"/>
        </w:rPr>
        <w:t>Co</w:t>
      </w:r>
      <w:r w:rsidR="00704097" w:rsidRPr="00821E33">
        <w:rPr>
          <w:rFonts w:ascii="Times New Roman" w:hAnsi="Times New Roman"/>
          <w:lang w:val="en-GB"/>
        </w:rPr>
        <w:t>-</w:t>
      </w:r>
      <w:r w:rsidR="008D68BB" w:rsidRPr="00821E33">
        <w:rPr>
          <w:rFonts w:ascii="Times New Roman" w:hAnsi="Times New Roman"/>
          <w:lang w:val="en-GB"/>
        </w:rPr>
        <w:t xml:space="preserve">Chair, </w:t>
      </w:r>
      <w:r w:rsidR="00563A06" w:rsidRPr="00821E33">
        <w:rPr>
          <w:rFonts w:ascii="Times New Roman" w:hAnsi="Times New Roman"/>
          <w:lang w:val="en-GB"/>
        </w:rPr>
        <w:t>Ministry of Transport / NIIAT, Russia</w:t>
      </w:r>
    </w:p>
    <w:p w:rsidR="0098119B" w:rsidRPr="00821E33" w:rsidRDefault="0098119B" w:rsidP="006C3F60">
      <w:pPr>
        <w:spacing w:after="0" w:line="240" w:lineRule="auto"/>
        <w:jc w:val="both"/>
        <w:rPr>
          <w:rFonts w:ascii="Times New Roman" w:hAnsi="Times New Roman"/>
          <w:lang w:val="en-GB"/>
        </w:rPr>
      </w:pPr>
      <w:r w:rsidRPr="00821E33">
        <w:rPr>
          <w:rFonts w:ascii="Times New Roman" w:hAnsi="Times New Roman"/>
          <w:lang w:val="en-GB"/>
        </w:rPr>
        <w:t xml:space="preserve">Mr. Hens </w:t>
      </w:r>
      <w:proofErr w:type="spellStart"/>
      <w:r w:rsidRPr="00821E33">
        <w:rPr>
          <w:rFonts w:ascii="Times New Roman" w:hAnsi="Times New Roman"/>
          <w:lang w:val="en-GB"/>
        </w:rPr>
        <w:t>Peeters</w:t>
      </w:r>
      <w:proofErr w:type="spellEnd"/>
      <w:r w:rsidRPr="00821E33">
        <w:rPr>
          <w:rFonts w:ascii="Times New Roman" w:hAnsi="Times New Roman"/>
          <w:lang w:val="en-GB"/>
        </w:rPr>
        <w:t xml:space="preserve"> </w:t>
      </w:r>
      <w:proofErr w:type="spellStart"/>
      <w:r w:rsidRPr="00821E33">
        <w:rPr>
          <w:rFonts w:ascii="Times New Roman" w:hAnsi="Times New Roman"/>
          <w:lang w:val="en-GB"/>
        </w:rPr>
        <w:t>Weem</w:t>
      </w:r>
      <w:proofErr w:type="spellEnd"/>
      <w:r w:rsidRPr="00821E33">
        <w:rPr>
          <w:rFonts w:ascii="Times New Roman" w:hAnsi="Times New Roman"/>
          <w:lang w:val="en-GB"/>
        </w:rPr>
        <w:t>, Co-Chair, RDW, The Netherlands</w:t>
      </w:r>
    </w:p>
    <w:p w:rsidR="0098119B" w:rsidRPr="00821E33" w:rsidRDefault="0098119B" w:rsidP="006C3F60">
      <w:pPr>
        <w:spacing w:after="0" w:line="240" w:lineRule="auto"/>
        <w:jc w:val="both"/>
        <w:rPr>
          <w:rFonts w:ascii="Times New Roman" w:hAnsi="Times New Roman"/>
          <w:lang w:val="en-GB"/>
        </w:rPr>
      </w:pPr>
      <w:r w:rsidRPr="00821E33">
        <w:rPr>
          <w:rFonts w:ascii="Times New Roman" w:hAnsi="Times New Roman"/>
          <w:lang w:val="en-GB"/>
        </w:rPr>
        <w:t xml:space="preserve">Mr. Henk </w:t>
      </w:r>
      <w:proofErr w:type="spellStart"/>
      <w:r w:rsidRPr="00821E33">
        <w:rPr>
          <w:rFonts w:ascii="Times New Roman" w:hAnsi="Times New Roman"/>
          <w:lang w:val="en-GB"/>
        </w:rPr>
        <w:t>Bussink</w:t>
      </w:r>
      <w:proofErr w:type="spellEnd"/>
      <w:r w:rsidRPr="00821E33">
        <w:rPr>
          <w:rFonts w:ascii="Times New Roman" w:hAnsi="Times New Roman"/>
          <w:lang w:val="en-GB"/>
        </w:rPr>
        <w:t>, RDW, The Netherlands</w:t>
      </w:r>
    </w:p>
    <w:p w:rsidR="0098119B" w:rsidRPr="00821E33" w:rsidRDefault="0098119B" w:rsidP="006C3F60">
      <w:pPr>
        <w:spacing w:after="0" w:line="240" w:lineRule="auto"/>
        <w:jc w:val="both"/>
        <w:rPr>
          <w:rFonts w:ascii="Times New Roman" w:hAnsi="Times New Roman"/>
          <w:lang w:val="en-GB"/>
        </w:rPr>
      </w:pPr>
      <w:r w:rsidRPr="00821E33">
        <w:rPr>
          <w:rFonts w:ascii="Times New Roman" w:hAnsi="Times New Roman"/>
          <w:lang w:val="en-GB"/>
        </w:rPr>
        <w:t>Mr. John Stephenson, DVSA, United Kingdom</w:t>
      </w:r>
    </w:p>
    <w:p w:rsidR="00057149" w:rsidRPr="00821E33" w:rsidRDefault="00057149" w:rsidP="006C3F60">
      <w:pPr>
        <w:spacing w:after="0" w:line="240" w:lineRule="auto"/>
        <w:jc w:val="both"/>
        <w:rPr>
          <w:rFonts w:ascii="Times New Roman" w:hAnsi="Times New Roman"/>
          <w:lang w:val="en-GB"/>
        </w:rPr>
      </w:pPr>
      <w:r w:rsidRPr="00821E33">
        <w:rPr>
          <w:rFonts w:ascii="Times New Roman" w:hAnsi="Times New Roman"/>
          <w:lang w:val="en-GB"/>
        </w:rPr>
        <w:t xml:space="preserve">Mr. Vladimir </w:t>
      </w:r>
      <w:proofErr w:type="spellStart"/>
      <w:r w:rsidRPr="00821E33">
        <w:rPr>
          <w:rFonts w:ascii="Times New Roman" w:hAnsi="Times New Roman"/>
          <w:lang w:val="en-GB"/>
        </w:rPr>
        <w:t>P</w:t>
      </w:r>
      <w:r w:rsidR="00821E33" w:rsidRPr="00821E33">
        <w:rPr>
          <w:rFonts w:ascii="Times New Roman" w:hAnsi="Times New Roman"/>
          <w:lang w:val="en-GB"/>
        </w:rPr>
        <w:t>ap</w:t>
      </w:r>
      <w:r w:rsidRPr="00821E33">
        <w:rPr>
          <w:rFonts w:ascii="Times New Roman" w:hAnsi="Times New Roman"/>
          <w:lang w:val="en-GB"/>
        </w:rPr>
        <w:t>ic</w:t>
      </w:r>
      <w:proofErr w:type="spellEnd"/>
      <w:r w:rsidRPr="00821E33">
        <w:rPr>
          <w:rFonts w:ascii="Times New Roman" w:hAnsi="Times New Roman"/>
          <w:lang w:val="en-GB"/>
        </w:rPr>
        <w:t xml:space="preserve">, </w:t>
      </w:r>
      <w:r w:rsidR="00BC0E68" w:rsidRPr="00821E33">
        <w:rPr>
          <w:rFonts w:ascii="Times New Roman" w:hAnsi="Times New Roman"/>
          <w:lang w:val="en-GB"/>
        </w:rPr>
        <w:t xml:space="preserve">AMSS-CMV, </w:t>
      </w:r>
      <w:r w:rsidRPr="00821E33">
        <w:rPr>
          <w:rFonts w:ascii="Times New Roman" w:hAnsi="Times New Roman"/>
          <w:lang w:val="en-GB"/>
        </w:rPr>
        <w:t>Serbia</w:t>
      </w:r>
    </w:p>
    <w:p w:rsidR="00821E33" w:rsidRPr="00821E33" w:rsidRDefault="00821E33" w:rsidP="006C3F60">
      <w:pPr>
        <w:spacing w:after="0" w:line="240" w:lineRule="auto"/>
        <w:jc w:val="both"/>
        <w:rPr>
          <w:rFonts w:ascii="Times New Roman" w:hAnsi="Times New Roman"/>
          <w:lang w:val="en-GB"/>
        </w:rPr>
      </w:pPr>
      <w:r w:rsidRPr="00821E33">
        <w:rPr>
          <w:rFonts w:ascii="Times New Roman" w:hAnsi="Times New Roman"/>
          <w:lang w:val="en-GB"/>
        </w:rPr>
        <w:t xml:space="preserve">Mr. </w:t>
      </w:r>
      <w:proofErr w:type="spellStart"/>
      <w:r w:rsidRPr="00821E33">
        <w:rPr>
          <w:rFonts w:ascii="Times New Roman" w:hAnsi="Times New Roman"/>
          <w:lang w:val="en-GB"/>
        </w:rPr>
        <w:t>Vladan</w:t>
      </w:r>
      <w:proofErr w:type="spellEnd"/>
      <w:r w:rsidRPr="00821E33">
        <w:rPr>
          <w:rFonts w:ascii="Times New Roman" w:hAnsi="Times New Roman"/>
          <w:lang w:val="en-GB"/>
        </w:rPr>
        <w:t xml:space="preserve"> Popovic, AMSS-CMV, Serbia</w:t>
      </w:r>
    </w:p>
    <w:p w:rsidR="00821E33" w:rsidRPr="00821E33" w:rsidRDefault="00821E33" w:rsidP="006C3F60">
      <w:pPr>
        <w:spacing w:after="0" w:line="240" w:lineRule="auto"/>
        <w:jc w:val="both"/>
        <w:rPr>
          <w:rFonts w:ascii="Times New Roman" w:hAnsi="Times New Roman"/>
          <w:lang w:val="en-GB"/>
        </w:rPr>
      </w:pPr>
      <w:r w:rsidRPr="00821E33">
        <w:rPr>
          <w:rFonts w:ascii="Times New Roman" w:hAnsi="Times New Roman"/>
          <w:lang w:val="en-GB"/>
        </w:rPr>
        <w:t xml:space="preserve">Mr. Michael Sedgwick, </w:t>
      </w:r>
      <w:proofErr w:type="spellStart"/>
      <w:r w:rsidRPr="00821E33">
        <w:rPr>
          <w:rFonts w:ascii="Times New Roman" w:hAnsi="Times New Roman"/>
          <w:lang w:val="en-GB"/>
        </w:rPr>
        <w:t>DfT</w:t>
      </w:r>
      <w:proofErr w:type="spellEnd"/>
      <w:r w:rsidRPr="00821E33">
        <w:rPr>
          <w:rFonts w:ascii="Times New Roman" w:hAnsi="Times New Roman"/>
          <w:lang w:val="en-GB"/>
        </w:rPr>
        <w:t>, United Kingdom</w:t>
      </w:r>
    </w:p>
    <w:p w:rsidR="00C807E7" w:rsidRPr="00821E33" w:rsidRDefault="00C807E7" w:rsidP="006C3F60">
      <w:pPr>
        <w:spacing w:after="0" w:line="240" w:lineRule="auto"/>
        <w:jc w:val="both"/>
        <w:rPr>
          <w:rFonts w:ascii="Times New Roman" w:hAnsi="Times New Roman"/>
          <w:lang w:val="en-GB"/>
        </w:rPr>
      </w:pPr>
      <w:r w:rsidRPr="00821E33">
        <w:rPr>
          <w:rFonts w:ascii="Times New Roman" w:hAnsi="Times New Roman"/>
          <w:lang w:val="en-GB"/>
        </w:rPr>
        <w:t xml:space="preserve">Mr. </w:t>
      </w:r>
      <w:proofErr w:type="spellStart"/>
      <w:r w:rsidRPr="00821E33">
        <w:rPr>
          <w:rFonts w:ascii="Times New Roman" w:hAnsi="Times New Roman"/>
          <w:lang w:val="en-GB"/>
        </w:rPr>
        <w:t>Morimichi</w:t>
      </w:r>
      <w:proofErr w:type="spellEnd"/>
      <w:r w:rsidRPr="00821E33">
        <w:rPr>
          <w:rFonts w:ascii="Times New Roman" w:hAnsi="Times New Roman"/>
          <w:lang w:val="en-GB"/>
        </w:rPr>
        <w:t xml:space="preserve"> Shimizu, JASIC, Japan</w:t>
      </w:r>
    </w:p>
    <w:p w:rsidR="00821E33" w:rsidRPr="00821E33" w:rsidRDefault="00821E33" w:rsidP="006C3F60">
      <w:pPr>
        <w:spacing w:after="0" w:line="240" w:lineRule="auto"/>
        <w:jc w:val="both"/>
        <w:rPr>
          <w:rFonts w:ascii="Times New Roman" w:hAnsi="Times New Roman"/>
          <w:lang w:val="en-GB"/>
        </w:rPr>
      </w:pPr>
      <w:r w:rsidRPr="00821E33">
        <w:rPr>
          <w:rFonts w:ascii="Times New Roman" w:hAnsi="Times New Roman"/>
          <w:lang w:val="en-GB"/>
        </w:rPr>
        <w:t xml:space="preserve">Mr. </w:t>
      </w:r>
      <w:proofErr w:type="spellStart"/>
      <w:r w:rsidRPr="00821E33">
        <w:rPr>
          <w:rFonts w:ascii="Times New Roman" w:hAnsi="Times New Roman"/>
          <w:lang w:val="en-GB"/>
        </w:rPr>
        <w:t>Teemu</w:t>
      </w:r>
      <w:proofErr w:type="spellEnd"/>
      <w:r w:rsidRPr="00821E33">
        <w:rPr>
          <w:rFonts w:ascii="Times New Roman" w:hAnsi="Times New Roman"/>
          <w:lang w:val="en-GB"/>
        </w:rPr>
        <w:t xml:space="preserve"> </w:t>
      </w:r>
      <w:proofErr w:type="spellStart"/>
      <w:r w:rsidRPr="00821E33">
        <w:rPr>
          <w:rFonts w:ascii="Times New Roman" w:hAnsi="Times New Roman"/>
          <w:lang w:val="en-GB"/>
        </w:rPr>
        <w:t>Toivanen</w:t>
      </w:r>
      <w:proofErr w:type="spellEnd"/>
      <w:r w:rsidRPr="00821E33">
        <w:rPr>
          <w:rFonts w:ascii="Times New Roman" w:hAnsi="Times New Roman"/>
          <w:lang w:val="en-GB"/>
        </w:rPr>
        <w:t>, TRAFI, Finland</w:t>
      </w:r>
    </w:p>
    <w:p w:rsidR="00821E33" w:rsidRPr="00821E33" w:rsidRDefault="00821E33" w:rsidP="006C3F60">
      <w:pPr>
        <w:spacing w:after="0" w:line="240" w:lineRule="auto"/>
        <w:jc w:val="both"/>
        <w:rPr>
          <w:rFonts w:ascii="Times New Roman" w:hAnsi="Times New Roman"/>
          <w:lang w:val="en-GB"/>
        </w:rPr>
      </w:pPr>
      <w:r w:rsidRPr="00821E33">
        <w:rPr>
          <w:rFonts w:ascii="Times New Roman" w:hAnsi="Times New Roman"/>
          <w:lang w:val="en-GB"/>
        </w:rPr>
        <w:t xml:space="preserve">Mr. Armand </w:t>
      </w:r>
      <w:proofErr w:type="spellStart"/>
      <w:r w:rsidRPr="00821E33">
        <w:rPr>
          <w:rFonts w:ascii="Times New Roman" w:hAnsi="Times New Roman"/>
          <w:lang w:val="en-GB"/>
        </w:rPr>
        <w:t>Schijen</w:t>
      </w:r>
      <w:proofErr w:type="spellEnd"/>
      <w:r w:rsidRPr="00821E33">
        <w:rPr>
          <w:rFonts w:ascii="Times New Roman" w:hAnsi="Times New Roman"/>
          <w:lang w:val="en-GB"/>
        </w:rPr>
        <w:t>, VOLVO CARS</w:t>
      </w:r>
    </w:p>
    <w:p w:rsidR="00BF7AE9" w:rsidRPr="00821E33" w:rsidRDefault="00BF7AE9" w:rsidP="006C3F60">
      <w:pPr>
        <w:spacing w:after="0" w:line="240" w:lineRule="auto"/>
        <w:jc w:val="both"/>
        <w:rPr>
          <w:rFonts w:ascii="Times New Roman" w:hAnsi="Times New Roman"/>
          <w:lang w:val="en-GB"/>
        </w:rPr>
      </w:pPr>
      <w:r w:rsidRPr="00821E33">
        <w:rPr>
          <w:rFonts w:ascii="Times New Roman" w:hAnsi="Times New Roman"/>
          <w:lang w:val="en-GB"/>
        </w:rPr>
        <w:t xml:space="preserve">Mr. Ralph </w:t>
      </w:r>
      <w:proofErr w:type="spellStart"/>
      <w:r w:rsidRPr="00821E33">
        <w:rPr>
          <w:rFonts w:ascii="Times New Roman" w:hAnsi="Times New Roman"/>
          <w:lang w:val="en-GB"/>
        </w:rPr>
        <w:t>Scröder</w:t>
      </w:r>
      <w:proofErr w:type="spellEnd"/>
      <w:r w:rsidRPr="00821E33">
        <w:rPr>
          <w:rFonts w:ascii="Times New Roman" w:hAnsi="Times New Roman"/>
          <w:lang w:val="en-GB"/>
        </w:rPr>
        <w:t>, FSD, NGO</w:t>
      </w:r>
    </w:p>
    <w:p w:rsidR="00821E33" w:rsidRPr="0029097B" w:rsidRDefault="00821E33" w:rsidP="006C3F60">
      <w:pPr>
        <w:spacing w:after="0" w:line="240" w:lineRule="auto"/>
        <w:jc w:val="both"/>
        <w:rPr>
          <w:rFonts w:ascii="Times New Roman" w:hAnsi="Times New Roman"/>
          <w:lang w:val="es-ES"/>
        </w:rPr>
      </w:pPr>
      <w:r w:rsidRPr="0029097B">
        <w:rPr>
          <w:rFonts w:ascii="Times New Roman" w:hAnsi="Times New Roman"/>
          <w:lang w:val="es-ES"/>
        </w:rPr>
        <w:t xml:space="preserve">Mr. Yves Van </w:t>
      </w:r>
      <w:proofErr w:type="spellStart"/>
      <w:r w:rsidRPr="0029097B">
        <w:rPr>
          <w:rFonts w:ascii="Times New Roman" w:hAnsi="Times New Roman"/>
          <w:lang w:val="es-ES"/>
        </w:rPr>
        <w:t>Der</w:t>
      </w:r>
      <w:proofErr w:type="spellEnd"/>
      <w:r w:rsidRPr="0029097B">
        <w:rPr>
          <w:rFonts w:ascii="Times New Roman" w:hAnsi="Times New Roman"/>
          <w:lang w:val="es-ES"/>
        </w:rPr>
        <w:t xml:space="preserve"> </w:t>
      </w:r>
      <w:proofErr w:type="spellStart"/>
      <w:r w:rsidRPr="0029097B">
        <w:rPr>
          <w:rFonts w:ascii="Times New Roman" w:hAnsi="Times New Roman"/>
          <w:lang w:val="es-ES"/>
        </w:rPr>
        <w:t>Straaten</w:t>
      </w:r>
      <w:proofErr w:type="spellEnd"/>
      <w:r w:rsidRPr="0029097B">
        <w:rPr>
          <w:rFonts w:ascii="Times New Roman" w:hAnsi="Times New Roman"/>
          <w:lang w:val="es-ES"/>
        </w:rPr>
        <w:t>, OICA, NGO</w:t>
      </w:r>
    </w:p>
    <w:p w:rsidR="00ED73B9" w:rsidRPr="00821E33" w:rsidRDefault="00ED73B9" w:rsidP="006C3F60">
      <w:pPr>
        <w:spacing w:after="0" w:line="240" w:lineRule="auto"/>
        <w:jc w:val="both"/>
        <w:rPr>
          <w:rFonts w:ascii="Times New Roman" w:hAnsi="Times New Roman"/>
          <w:lang w:val="en-GB"/>
        </w:rPr>
      </w:pPr>
      <w:r w:rsidRPr="00821E33">
        <w:rPr>
          <w:rFonts w:ascii="Times New Roman" w:hAnsi="Times New Roman"/>
          <w:lang w:val="en-GB"/>
        </w:rPr>
        <w:t>Mr. Eduard Fernández, CITA, NGO</w:t>
      </w:r>
      <w:r w:rsidR="000E37C5" w:rsidRPr="00821E33">
        <w:rPr>
          <w:rFonts w:ascii="Times New Roman" w:hAnsi="Times New Roman"/>
          <w:lang w:val="en-GB"/>
        </w:rPr>
        <w:t>, secretary</w:t>
      </w:r>
    </w:p>
    <w:p w:rsidR="00ED73B9" w:rsidRPr="00821E33" w:rsidRDefault="00ED73B9" w:rsidP="006C3F60">
      <w:pPr>
        <w:pStyle w:val="HChG"/>
        <w:keepNext w:val="0"/>
        <w:keepLines w:val="0"/>
        <w:numPr>
          <w:ilvl w:val="0"/>
          <w:numId w:val="26"/>
        </w:numPr>
        <w:tabs>
          <w:tab w:val="clear" w:pos="851"/>
          <w:tab w:val="right" w:pos="709"/>
        </w:tabs>
        <w:suppressAutoHyphens w:val="0"/>
        <w:ind w:right="4"/>
        <w:jc w:val="both"/>
        <w:rPr>
          <w:sz w:val="22"/>
          <w:szCs w:val="22"/>
        </w:rPr>
      </w:pPr>
      <w:r w:rsidRPr="00821E33">
        <w:rPr>
          <w:sz w:val="22"/>
          <w:szCs w:val="22"/>
        </w:rPr>
        <w:t>Welcome</w:t>
      </w:r>
    </w:p>
    <w:p w:rsidR="00ED73B9" w:rsidRPr="00821E33" w:rsidRDefault="00ED73B9" w:rsidP="006C3F60">
      <w:pPr>
        <w:pStyle w:val="SingleTxtG"/>
        <w:tabs>
          <w:tab w:val="right" w:pos="709"/>
        </w:tabs>
        <w:suppressAutoHyphens w:val="0"/>
        <w:ind w:left="0" w:right="4"/>
        <w:rPr>
          <w:sz w:val="22"/>
          <w:szCs w:val="22"/>
          <w:lang w:val="en-GB"/>
        </w:rPr>
      </w:pPr>
      <w:r w:rsidRPr="00821E33">
        <w:rPr>
          <w:sz w:val="22"/>
          <w:szCs w:val="22"/>
          <w:lang w:val="en-GB"/>
        </w:rPr>
        <w:t xml:space="preserve">Mr. </w:t>
      </w:r>
      <w:proofErr w:type="spellStart"/>
      <w:r w:rsidRPr="00821E33">
        <w:rPr>
          <w:sz w:val="22"/>
          <w:szCs w:val="22"/>
          <w:lang w:val="en-GB"/>
        </w:rPr>
        <w:t>Komarov</w:t>
      </w:r>
      <w:proofErr w:type="spellEnd"/>
      <w:r w:rsidRPr="00821E33">
        <w:rPr>
          <w:sz w:val="22"/>
          <w:szCs w:val="22"/>
          <w:lang w:val="en-GB"/>
        </w:rPr>
        <w:t xml:space="preserve"> welcome</w:t>
      </w:r>
      <w:r w:rsidR="003C0519" w:rsidRPr="00821E33">
        <w:rPr>
          <w:sz w:val="22"/>
          <w:szCs w:val="22"/>
          <w:lang w:val="en-GB"/>
        </w:rPr>
        <w:t>d</w:t>
      </w:r>
      <w:r w:rsidR="00BC0E68" w:rsidRPr="00821E33">
        <w:rPr>
          <w:sz w:val="22"/>
          <w:szCs w:val="22"/>
          <w:lang w:val="en-GB"/>
        </w:rPr>
        <w:t xml:space="preserve"> all attendees to the meeting</w:t>
      </w:r>
      <w:r w:rsidR="00656333" w:rsidRPr="00821E33">
        <w:rPr>
          <w:sz w:val="22"/>
          <w:szCs w:val="22"/>
          <w:lang w:val="en-GB"/>
        </w:rPr>
        <w:t>.</w:t>
      </w:r>
    </w:p>
    <w:p w:rsidR="00ED73B9" w:rsidRPr="00821E33" w:rsidRDefault="00ED73B9" w:rsidP="006C3F60">
      <w:pPr>
        <w:pStyle w:val="HChG"/>
        <w:keepNext w:val="0"/>
        <w:keepLines w:val="0"/>
        <w:numPr>
          <w:ilvl w:val="0"/>
          <w:numId w:val="17"/>
        </w:numPr>
        <w:tabs>
          <w:tab w:val="clear" w:pos="851"/>
          <w:tab w:val="right" w:pos="709"/>
        </w:tabs>
        <w:suppressAutoHyphens w:val="0"/>
        <w:ind w:left="0" w:right="4" w:firstLine="0"/>
        <w:jc w:val="both"/>
        <w:rPr>
          <w:sz w:val="22"/>
          <w:szCs w:val="22"/>
        </w:rPr>
      </w:pPr>
      <w:r w:rsidRPr="00821E33">
        <w:rPr>
          <w:sz w:val="22"/>
          <w:szCs w:val="22"/>
        </w:rPr>
        <w:t xml:space="preserve">Adoption of the agenda </w:t>
      </w:r>
    </w:p>
    <w:p w:rsidR="00BB272E" w:rsidRPr="00E41E9B" w:rsidRDefault="00C52663" w:rsidP="006C3F60">
      <w:pPr>
        <w:pStyle w:val="SingleTxtG"/>
        <w:tabs>
          <w:tab w:val="right" w:pos="709"/>
        </w:tabs>
        <w:suppressAutoHyphens w:val="0"/>
        <w:ind w:left="0" w:right="4"/>
        <w:rPr>
          <w:sz w:val="22"/>
          <w:szCs w:val="22"/>
          <w:lang w:val="en-GB"/>
        </w:rPr>
      </w:pPr>
      <w:r w:rsidRPr="00E41E9B">
        <w:rPr>
          <w:sz w:val="22"/>
          <w:szCs w:val="22"/>
          <w:lang w:val="en-GB"/>
        </w:rPr>
        <w:t>Documentation:</w:t>
      </w:r>
      <w:r w:rsidR="00E91F97" w:rsidRPr="00E41E9B">
        <w:rPr>
          <w:sz w:val="22"/>
          <w:szCs w:val="22"/>
          <w:lang w:val="en-GB"/>
        </w:rPr>
        <w:t xml:space="preserve"> </w:t>
      </w:r>
      <w:r w:rsidRPr="00E41E9B">
        <w:rPr>
          <w:sz w:val="22"/>
          <w:szCs w:val="22"/>
          <w:lang w:val="en-GB"/>
        </w:rPr>
        <w:t>PTI-</w:t>
      </w:r>
      <w:r w:rsidR="00BF7AE9" w:rsidRPr="00E41E9B">
        <w:rPr>
          <w:sz w:val="22"/>
          <w:szCs w:val="22"/>
          <w:lang w:val="en-GB"/>
        </w:rPr>
        <w:t>1</w:t>
      </w:r>
      <w:r w:rsidR="00821E33" w:rsidRPr="00E41E9B">
        <w:rPr>
          <w:sz w:val="22"/>
          <w:szCs w:val="22"/>
          <w:lang w:val="en-GB"/>
        </w:rPr>
        <w:t>1</w:t>
      </w:r>
      <w:r w:rsidR="00BF7AE9" w:rsidRPr="00E41E9B">
        <w:rPr>
          <w:sz w:val="22"/>
          <w:szCs w:val="22"/>
          <w:lang w:val="en-GB"/>
        </w:rPr>
        <w:t>-01</w:t>
      </w:r>
    </w:p>
    <w:p w:rsidR="008150C3" w:rsidRPr="00821E33" w:rsidRDefault="00BF7AE9" w:rsidP="006C3F60">
      <w:pPr>
        <w:pStyle w:val="SingleTxtG"/>
        <w:tabs>
          <w:tab w:val="right" w:pos="709"/>
        </w:tabs>
        <w:suppressAutoHyphens w:val="0"/>
        <w:ind w:left="0" w:right="4"/>
        <w:rPr>
          <w:sz w:val="22"/>
          <w:szCs w:val="22"/>
          <w:lang w:val="en-GB"/>
        </w:rPr>
      </w:pPr>
      <w:r w:rsidRPr="00821E33">
        <w:rPr>
          <w:sz w:val="22"/>
          <w:szCs w:val="22"/>
          <w:lang w:val="en-GB"/>
        </w:rPr>
        <w:t>The agenda was unanimously approved.</w:t>
      </w:r>
    </w:p>
    <w:p w:rsidR="00ED73B9" w:rsidRPr="00821E33" w:rsidRDefault="00ED73B9" w:rsidP="006C3F60">
      <w:pPr>
        <w:pStyle w:val="HChG"/>
        <w:keepNext w:val="0"/>
        <w:keepLines w:val="0"/>
        <w:numPr>
          <w:ilvl w:val="0"/>
          <w:numId w:val="17"/>
        </w:numPr>
        <w:tabs>
          <w:tab w:val="clear" w:pos="851"/>
          <w:tab w:val="right" w:pos="709"/>
        </w:tabs>
        <w:suppressAutoHyphens w:val="0"/>
        <w:ind w:left="0" w:right="4" w:firstLine="0"/>
        <w:jc w:val="both"/>
        <w:rPr>
          <w:sz w:val="22"/>
          <w:szCs w:val="22"/>
        </w:rPr>
      </w:pPr>
      <w:r w:rsidRPr="00821E33">
        <w:rPr>
          <w:sz w:val="22"/>
          <w:szCs w:val="22"/>
        </w:rPr>
        <w:t>Approval of the minutes of the previous meeting</w:t>
      </w:r>
    </w:p>
    <w:p w:rsidR="00ED73B9" w:rsidRPr="00E41E9B" w:rsidRDefault="00ED73B9" w:rsidP="006C3F60">
      <w:pPr>
        <w:pStyle w:val="SingleTxtG"/>
        <w:tabs>
          <w:tab w:val="right" w:pos="709"/>
        </w:tabs>
        <w:suppressAutoHyphens w:val="0"/>
        <w:ind w:left="0" w:right="4"/>
        <w:rPr>
          <w:sz w:val="22"/>
          <w:szCs w:val="22"/>
          <w:lang w:val="en-GB"/>
        </w:rPr>
      </w:pPr>
      <w:r w:rsidRPr="00E41E9B">
        <w:rPr>
          <w:sz w:val="22"/>
          <w:szCs w:val="22"/>
          <w:lang w:val="en-GB"/>
        </w:rPr>
        <w:t>Documentation:</w:t>
      </w:r>
      <w:r w:rsidR="00E91F97" w:rsidRPr="00E41E9B">
        <w:rPr>
          <w:sz w:val="22"/>
          <w:szCs w:val="22"/>
          <w:lang w:val="en-GB"/>
        </w:rPr>
        <w:t xml:space="preserve"> </w:t>
      </w:r>
      <w:r w:rsidRPr="00E41E9B">
        <w:rPr>
          <w:sz w:val="22"/>
          <w:szCs w:val="22"/>
          <w:lang w:val="en-GB"/>
        </w:rPr>
        <w:t>PTI-</w:t>
      </w:r>
      <w:r w:rsidR="00821E33" w:rsidRPr="00E41E9B">
        <w:rPr>
          <w:sz w:val="22"/>
          <w:szCs w:val="22"/>
          <w:lang w:val="en-GB"/>
        </w:rPr>
        <w:t>10</w:t>
      </w:r>
      <w:r w:rsidRPr="00E41E9B">
        <w:rPr>
          <w:sz w:val="22"/>
          <w:szCs w:val="22"/>
          <w:lang w:val="en-GB"/>
        </w:rPr>
        <w:t>-</w:t>
      </w:r>
      <w:r w:rsidR="00F523B4" w:rsidRPr="00E41E9B">
        <w:rPr>
          <w:sz w:val="22"/>
          <w:szCs w:val="22"/>
          <w:lang w:val="en-GB"/>
        </w:rPr>
        <w:t>0</w:t>
      </w:r>
      <w:r w:rsidR="00821E33" w:rsidRPr="00E41E9B">
        <w:rPr>
          <w:sz w:val="22"/>
          <w:szCs w:val="22"/>
          <w:lang w:val="en-GB"/>
        </w:rPr>
        <w:t>5</w:t>
      </w:r>
    </w:p>
    <w:p w:rsidR="00E41E9B" w:rsidRDefault="00E41E9B" w:rsidP="006C3F60">
      <w:pPr>
        <w:pStyle w:val="SingleTxtG"/>
        <w:tabs>
          <w:tab w:val="right" w:pos="709"/>
        </w:tabs>
        <w:spacing w:after="0"/>
        <w:ind w:left="0" w:right="4"/>
        <w:rPr>
          <w:sz w:val="22"/>
          <w:szCs w:val="22"/>
          <w:lang w:val="en-GB"/>
        </w:rPr>
      </w:pPr>
    </w:p>
    <w:p w:rsidR="004E6EDC" w:rsidRPr="00821E33" w:rsidRDefault="00BC0E68" w:rsidP="006C3F60">
      <w:pPr>
        <w:pStyle w:val="SingleTxtG"/>
        <w:tabs>
          <w:tab w:val="right" w:pos="709"/>
        </w:tabs>
        <w:spacing w:after="0"/>
        <w:ind w:left="0" w:right="4"/>
        <w:rPr>
          <w:sz w:val="22"/>
          <w:szCs w:val="22"/>
          <w:lang w:val="en-GB"/>
        </w:rPr>
      </w:pPr>
      <w:r w:rsidRPr="00821E33">
        <w:rPr>
          <w:sz w:val="22"/>
          <w:szCs w:val="22"/>
          <w:lang w:val="en-GB"/>
        </w:rPr>
        <w:t>The previous meeting mi</w:t>
      </w:r>
      <w:r w:rsidR="00AF5AB1" w:rsidRPr="00821E33">
        <w:rPr>
          <w:sz w:val="22"/>
          <w:szCs w:val="22"/>
          <w:lang w:val="en-GB"/>
        </w:rPr>
        <w:t>n</w:t>
      </w:r>
      <w:r w:rsidR="00BF7AE9" w:rsidRPr="00821E33">
        <w:rPr>
          <w:sz w:val="22"/>
          <w:szCs w:val="22"/>
          <w:lang w:val="en-GB"/>
        </w:rPr>
        <w:t>utes were unanimously adopted</w:t>
      </w:r>
      <w:r w:rsidR="00BF7AE9" w:rsidRPr="00821E33">
        <w:rPr>
          <w:lang w:val="en-GB"/>
        </w:rPr>
        <w:t>.</w:t>
      </w:r>
    </w:p>
    <w:p w:rsidR="00C23710" w:rsidRPr="00821E33" w:rsidRDefault="00DF5364" w:rsidP="006C3F60">
      <w:pPr>
        <w:pStyle w:val="HChG"/>
        <w:keepNext w:val="0"/>
        <w:keepLines w:val="0"/>
        <w:numPr>
          <w:ilvl w:val="0"/>
          <w:numId w:val="17"/>
        </w:numPr>
        <w:tabs>
          <w:tab w:val="clear" w:pos="851"/>
          <w:tab w:val="right" w:pos="709"/>
        </w:tabs>
        <w:suppressAutoHyphens w:val="0"/>
        <w:ind w:left="0" w:right="4" w:firstLine="0"/>
        <w:jc w:val="both"/>
        <w:rPr>
          <w:sz w:val="22"/>
          <w:szCs w:val="22"/>
        </w:rPr>
      </w:pPr>
      <w:r w:rsidRPr="00821E33">
        <w:rPr>
          <w:sz w:val="22"/>
          <w:szCs w:val="22"/>
        </w:rPr>
        <w:t>Terms of Reference for 2018/2019</w:t>
      </w:r>
    </w:p>
    <w:p w:rsidR="00DF5364" w:rsidRPr="00821E33" w:rsidRDefault="00DF5364" w:rsidP="006C3F60">
      <w:pPr>
        <w:pStyle w:val="SingleTxtG"/>
        <w:tabs>
          <w:tab w:val="left" w:pos="709"/>
        </w:tabs>
        <w:spacing w:after="0"/>
        <w:ind w:left="0" w:right="4"/>
        <w:rPr>
          <w:sz w:val="22"/>
          <w:szCs w:val="22"/>
          <w:lang w:val="en-GB"/>
        </w:rPr>
      </w:pPr>
      <w:r w:rsidRPr="00821E33">
        <w:rPr>
          <w:sz w:val="22"/>
          <w:szCs w:val="22"/>
          <w:lang w:val="en-GB"/>
        </w:rPr>
        <w:t>Documentation:</w:t>
      </w:r>
      <w:r w:rsidRPr="00821E33">
        <w:rPr>
          <w:sz w:val="22"/>
          <w:szCs w:val="22"/>
          <w:lang w:val="en-GB"/>
        </w:rPr>
        <w:tab/>
      </w:r>
      <w:r w:rsidRPr="00821E33">
        <w:rPr>
          <w:sz w:val="22"/>
          <w:szCs w:val="22"/>
          <w:lang w:val="en-GB"/>
        </w:rPr>
        <w:tab/>
      </w:r>
      <w:r w:rsidR="0092509D" w:rsidRPr="00821E33">
        <w:rPr>
          <w:sz w:val="22"/>
          <w:szCs w:val="22"/>
          <w:lang w:val="en-GB"/>
        </w:rPr>
        <w:t>PTI-10-02</w:t>
      </w:r>
    </w:p>
    <w:p w:rsidR="0092509D" w:rsidRPr="00821E33" w:rsidRDefault="0092509D" w:rsidP="006C3F60">
      <w:pPr>
        <w:pStyle w:val="SingleTxtG"/>
        <w:tabs>
          <w:tab w:val="left" w:pos="709"/>
        </w:tabs>
        <w:spacing w:after="0"/>
        <w:ind w:left="0" w:right="4"/>
        <w:rPr>
          <w:sz w:val="22"/>
          <w:szCs w:val="22"/>
          <w:lang w:val="en-GB"/>
        </w:rPr>
      </w:pPr>
      <w:r w:rsidRPr="00821E33">
        <w:rPr>
          <w:sz w:val="22"/>
          <w:szCs w:val="22"/>
          <w:lang w:val="en-GB"/>
        </w:rPr>
        <w:tab/>
      </w:r>
      <w:r w:rsidRPr="00821E33">
        <w:rPr>
          <w:sz w:val="22"/>
          <w:szCs w:val="22"/>
          <w:lang w:val="en-GB"/>
        </w:rPr>
        <w:tab/>
      </w:r>
      <w:r w:rsidRPr="00821E33">
        <w:rPr>
          <w:sz w:val="22"/>
          <w:szCs w:val="22"/>
          <w:lang w:val="en-GB"/>
        </w:rPr>
        <w:tab/>
      </w:r>
      <w:r w:rsidRPr="00821E33">
        <w:rPr>
          <w:sz w:val="22"/>
          <w:szCs w:val="22"/>
          <w:lang w:val="en-GB"/>
        </w:rPr>
        <w:tab/>
      </w:r>
      <w:r w:rsidR="00821E33" w:rsidRPr="00821E33">
        <w:rPr>
          <w:sz w:val="22"/>
          <w:szCs w:val="22"/>
          <w:lang w:val="en-GB"/>
        </w:rPr>
        <w:t>WP.29-174-07</w:t>
      </w:r>
    </w:p>
    <w:p w:rsidR="00821E33" w:rsidRDefault="00821E33" w:rsidP="00821E33">
      <w:pPr>
        <w:pStyle w:val="SingleTxtG"/>
        <w:spacing w:after="0"/>
        <w:ind w:left="2127" w:right="4" w:hanging="850"/>
        <w:rPr>
          <w:sz w:val="22"/>
          <w:szCs w:val="22"/>
          <w:lang w:val="en-GB"/>
        </w:rPr>
      </w:pPr>
      <w:r w:rsidRPr="00821E33">
        <w:rPr>
          <w:sz w:val="22"/>
          <w:szCs w:val="22"/>
          <w:lang w:val="en-GB"/>
        </w:rPr>
        <w:lastRenderedPageBreak/>
        <w:tab/>
        <w:t>OICA comments to informal document WP.29-174-07 (2018-03-27 and 2018-06-04)</w:t>
      </w:r>
    </w:p>
    <w:p w:rsidR="00E41E9B" w:rsidRPr="00821E33" w:rsidRDefault="00E41E9B" w:rsidP="00E41E9B">
      <w:pPr>
        <w:pStyle w:val="SingleTxtG"/>
        <w:spacing w:after="0"/>
        <w:ind w:left="2127" w:right="4"/>
        <w:rPr>
          <w:sz w:val="22"/>
          <w:szCs w:val="22"/>
          <w:lang w:val="en-GB"/>
        </w:rPr>
      </w:pPr>
      <w:r w:rsidRPr="00E41E9B">
        <w:rPr>
          <w:sz w:val="22"/>
          <w:szCs w:val="22"/>
          <w:lang w:val="en-GB"/>
        </w:rPr>
        <w:t>Japan comments to informal document WP.29-174-07</w:t>
      </w:r>
    </w:p>
    <w:p w:rsidR="0009638A" w:rsidRPr="00821E33" w:rsidRDefault="0009638A" w:rsidP="00A72B97">
      <w:pPr>
        <w:pStyle w:val="SingleTxtG"/>
        <w:tabs>
          <w:tab w:val="left" w:pos="709"/>
        </w:tabs>
        <w:spacing w:after="0"/>
        <w:ind w:left="0" w:right="4"/>
        <w:rPr>
          <w:sz w:val="22"/>
          <w:szCs w:val="22"/>
          <w:lang w:val="en-GB"/>
        </w:rPr>
      </w:pPr>
    </w:p>
    <w:p w:rsidR="00A72B97" w:rsidRPr="00821E33" w:rsidRDefault="00821E33" w:rsidP="00A72B97">
      <w:pPr>
        <w:pStyle w:val="SingleTxtG"/>
        <w:spacing w:after="0" w:line="240" w:lineRule="auto"/>
        <w:ind w:left="0" w:right="0"/>
        <w:rPr>
          <w:sz w:val="22"/>
          <w:szCs w:val="22"/>
          <w:lang w:val="en-GB"/>
        </w:rPr>
      </w:pPr>
      <w:r w:rsidRPr="00821E33">
        <w:rPr>
          <w:sz w:val="22"/>
          <w:szCs w:val="22"/>
          <w:lang w:val="en-GB"/>
        </w:rPr>
        <w:t xml:space="preserve">The group reviewed the document WP.29-174-07 with the comments made by OICA in the document of June 4th, 2016. The conclusions are in the document </w:t>
      </w:r>
      <w:r w:rsidR="00E41E9B">
        <w:rPr>
          <w:sz w:val="22"/>
          <w:szCs w:val="22"/>
          <w:lang w:val="en-GB"/>
        </w:rPr>
        <w:t>PTI-11-03.</w:t>
      </w:r>
    </w:p>
    <w:p w:rsidR="00821E33" w:rsidRPr="00821E33" w:rsidRDefault="00821E33" w:rsidP="00A72B97">
      <w:pPr>
        <w:pStyle w:val="SingleTxtG"/>
        <w:spacing w:after="0" w:line="240" w:lineRule="auto"/>
        <w:ind w:left="0" w:right="0"/>
        <w:rPr>
          <w:sz w:val="22"/>
          <w:szCs w:val="22"/>
          <w:lang w:val="en-GB"/>
        </w:rPr>
      </w:pPr>
    </w:p>
    <w:p w:rsidR="00821E33" w:rsidRDefault="00821E33" w:rsidP="00A72B97">
      <w:pPr>
        <w:pStyle w:val="SingleTxtG"/>
        <w:spacing w:after="0" w:line="240" w:lineRule="auto"/>
        <w:ind w:left="0" w:right="0"/>
        <w:rPr>
          <w:sz w:val="22"/>
          <w:szCs w:val="22"/>
          <w:lang w:val="en-GB"/>
        </w:rPr>
      </w:pPr>
      <w:r w:rsidRPr="00821E33">
        <w:rPr>
          <w:sz w:val="22"/>
          <w:szCs w:val="22"/>
          <w:lang w:val="en-GB"/>
        </w:rPr>
        <w:t>This document will be submitted to the approval of the WP.29 in their next session. The tex</w:t>
      </w:r>
      <w:r w:rsidR="009869DC">
        <w:rPr>
          <w:sz w:val="22"/>
          <w:szCs w:val="22"/>
          <w:lang w:val="en-GB"/>
        </w:rPr>
        <w:t>t</w:t>
      </w:r>
      <w:r w:rsidR="00E41E9B">
        <w:rPr>
          <w:sz w:val="22"/>
          <w:szCs w:val="22"/>
          <w:lang w:val="en-GB"/>
        </w:rPr>
        <w:t xml:space="preserve"> in the chapter I. 6</w:t>
      </w:r>
      <w:r w:rsidR="00E41E9B" w:rsidRPr="00E41E9B">
        <w:rPr>
          <w:sz w:val="22"/>
          <w:szCs w:val="22"/>
          <w:vertAlign w:val="superscript"/>
          <w:lang w:val="en-GB"/>
        </w:rPr>
        <w:t>th</w:t>
      </w:r>
      <w:r w:rsidR="00E41E9B">
        <w:rPr>
          <w:sz w:val="22"/>
          <w:szCs w:val="22"/>
          <w:lang w:val="en-GB"/>
        </w:rPr>
        <w:t xml:space="preserve"> bullet point, 5</w:t>
      </w:r>
      <w:r w:rsidR="00E41E9B" w:rsidRPr="00E41E9B">
        <w:rPr>
          <w:sz w:val="22"/>
          <w:szCs w:val="22"/>
          <w:vertAlign w:val="superscript"/>
          <w:lang w:val="en-GB"/>
        </w:rPr>
        <w:t>th</w:t>
      </w:r>
      <w:r w:rsidR="00E41E9B">
        <w:rPr>
          <w:sz w:val="22"/>
          <w:szCs w:val="22"/>
          <w:lang w:val="en-GB"/>
        </w:rPr>
        <w:t xml:space="preserve"> sub-bullet point</w:t>
      </w:r>
      <w:r w:rsidRPr="00821E33">
        <w:rPr>
          <w:sz w:val="22"/>
          <w:szCs w:val="22"/>
          <w:lang w:val="en-GB"/>
        </w:rPr>
        <w:t xml:space="preserve"> is in [] since the group couldn’t reach an agreement. This </w:t>
      </w:r>
      <w:r w:rsidR="009869DC">
        <w:rPr>
          <w:sz w:val="22"/>
          <w:szCs w:val="22"/>
          <w:lang w:val="en-GB"/>
        </w:rPr>
        <w:t>is</w:t>
      </w:r>
      <w:r w:rsidRPr="00821E33">
        <w:rPr>
          <w:sz w:val="22"/>
          <w:szCs w:val="22"/>
          <w:lang w:val="en-GB"/>
        </w:rPr>
        <w:t xml:space="preserve"> to be decided as well by the WP.29.</w:t>
      </w:r>
    </w:p>
    <w:p w:rsidR="00E41E9B" w:rsidRDefault="00E41E9B" w:rsidP="00A72B97">
      <w:pPr>
        <w:pStyle w:val="SingleTxtG"/>
        <w:spacing w:after="0" w:line="240" w:lineRule="auto"/>
        <w:ind w:left="0" w:right="0"/>
        <w:rPr>
          <w:sz w:val="22"/>
          <w:szCs w:val="22"/>
          <w:lang w:val="en-GB"/>
        </w:rPr>
      </w:pPr>
    </w:p>
    <w:p w:rsidR="00E41E9B" w:rsidRPr="00821E33" w:rsidRDefault="00E41E9B" w:rsidP="00A72B97">
      <w:pPr>
        <w:pStyle w:val="SingleTxtG"/>
        <w:spacing w:after="0" w:line="240" w:lineRule="auto"/>
        <w:ind w:left="0" w:right="0"/>
        <w:rPr>
          <w:sz w:val="22"/>
          <w:szCs w:val="22"/>
          <w:lang w:val="en-GB"/>
        </w:rPr>
      </w:pPr>
      <w:r>
        <w:rPr>
          <w:sz w:val="22"/>
          <w:szCs w:val="22"/>
          <w:lang w:val="en-GB"/>
        </w:rPr>
        <w:t xml:space="preserve">The group agreed to keep the chapters III – Timeline and IV – Rules of procedure as drafted in the document WP.29-174-07, changing the timeline consistently with the presentation of the draft </w:t>
      </w:r>
      <w:proofErr w:type="spellStart"/>
      <w:r>
        <w:rPr>
          <w:sz w:val="22"/>
          <w:szCs w:val="22"/>
          <w:lang w:val="en-GB"/>
        </w:rPr>
        <w:t>ToR</w:t>
      </w:r>
      <w:proofErr w:type="spellEnd"/>
      <w:r>
        <w:rPr>
          <w:sz w:val="22"/>
          <w:szCs w:val="22"/>
          <w:lang w:val="en-GB"/>
        </w:rPr>
        <w:t xml:space="preserve"> to the WP.29 meeting in June 2018.</w:t>
      </w:r>
    </w:p>
    <w:p w:rsidR="00DF5364" w:rsidRPr="00821E33" w:rsidRDefault="00DF5364" w:rsidP="006C3F60">
      <w:pPr>
        <w:pStyle w:val="HChG"/>
        <w:keepNext w:val="0"/>
        <w:keepLines w:val="0"/>
        <w:numPr>
          <w:ilvl w:val="0"/>
          <w:numId w:val="17"/>
        </w:numPr>
        <w:tabs>
          <w:tab w:val="clear" w:pos="851"/>
          <w:tab w:val="right" w:pos="709"/>
        </w:tabs>
        <w:suppressAutoHyphens w:val="0"/>
        <w:ind w:left="709" w:right="4" w:hanging="709"/>
        <w:jc w:val="both"/>
        <w:rPr>
          <w:sz w:val="22"/>
          <w:szCs w:val="22"/>
        </w:rPr>
      </w:pPr>
      <w:r w:rsidRPr="00821E33">
        <w:rPr>
          <w:sz w:val="22"/>
          <w:szCs w:val="22"/>
        </w:rPr>
        <w:t>Consistency between the 1958 Geneva Agreement and the 1997 Vienna Agreement, including the performance of equipment and systems in conditions other than tested in the regulated test procedures</w:t>
      </w:r>
    </w:p>
    <w:p w:rsidR="00DF5364" w:rsidRPr="00821E33" w:rsidRDefault="00DF5364" w:rsidP="006C3F60">
      <w:pPr>
        <w:pStyle w:val="SingleTxtG"/>
        <w:tabs>
          <w:tab w:val="left" w:pos="709"/>
        </w:tabs>
        <w:spacing w:after="0"/>
        <w:ind w:left="0" w:right="4"/>
        <w:rPr>
          <w:sz w:val="22"/>
          <w:szCs w:val="22"/>
          <w:lang w:val="en-GB"/>
        </w:rPr>
      </w:pPr>
      <w:r w:rsidRPr="00821E33">
        <w:rPr>
          <w:sz w:val="22"/>
          <w:szCs w:val="22"/>
          <w:lang w:val="en-GB"/>
        </w:rPr>
        <w:t>Documentation:</w:t>
      </w:r>
      <w:r w:rsidRPr="00821E33">
        <w:rPr>
          <w:sz w:val="22"/>
          <w:szCs w:val="22"/>
          <w:lang w:val="en-GB"/>
        </w:rPr>
        <w:tab/>
      </w:r>
      <w:r w:rsidRPr="00821E33">
        <w:rPr>
          <w:sz w:val="22"/>
          <w:szCs w:val="22"/>
          <w:lang w:val="en-GB"/>
        </w:rPr>
        <w:tab/>
        <w:t xml:space="preserve">WP29-147-11 </w:t>
      </w:r>
    </w:p>
    <w:p w:rsidR="00DF5364" w:rsidRPr="00821E33" w:rsidRDefault="00DF5364" w:rsidP="006C3F60">
      <w:pPr>
        <w:pStyle w:val="SingleTxtG"/>
        <w:tabs>
          <w:tab w:val="left" w:pos="709"/>
        </w:tabs>
        <w:spacing w:after="0"/>
        <w:ind w:left="0" w:right="4"/>
        <w:rPr>
          <w:sz w:val="22"/>
          <w:szCs w:val="22"/>
          <w:lang w:val="en-GB"/>
        </w:rPr>
      </w:pPr>
      <w:r w:rsidRPr="00821E33">
        <w:rPr>
          <w:sz w:val="22"/>
          <w:szCs w:val="22"/>
          <w:lang w:val="en-GB"/>
        </w:rPr>
        <w:tab/>
      </w:r>
      <w:r w:rsidRPr="00821E33">
        <w:rPr>
          <w:sz w:val="22"/>
          <w:szCs w:val="22"/>
          <w:lang w:val="en-GB"/>
        </w:rPr>
        <w:tab/>
      </w:r>
      <w:r w:rsidRPr="00821E33">
        <w:rPr>
          <w:sz w:val="22"/>
          <w:szCs w:val="22"/>
          <w:lang w:val="en-GB"/>
        </w:rPr>
        <w:tab/>
      </w:r>
      <w:r w:rsidRPr="00821E33">
        <w:rPr>
          <w:sz w:val="22"/>
          <w:szCs w:val="22"/>
          <w:lang w:val="en-GB"/>
        </w:rPr>
        <w:tab/>
        <w:t>WP29-165-07</w:t>
      </w:r>
    </w:p>
    <w:p w:rsidR="006C3F60" w:rsidRPr="00821E33" w:rsidRDefault="001A64C2" w:rsidP="001A64C2">
      <w:pPr>
        <w:pStyle w:val="SingleTxtG"/>
        <w:tabs>
          <w:tab w:val="left" w:pos="709"/>
        </w:tabs>
        <w:spacing w:after="0"/>
        <w:ind w:left="0" w:right="4"/>
        <w:rPr>
          <w:sz w:val="22"/>
          <w:szCs w:val="22"/>
          <w:lang w:val="en-GB"/>
        </w:rPr>
      </w:pPr>
      <w:r w:rsidRPr="00821E33">
        <w:rPr>
          <w:sz w:val="22"/>
          <w:szCs w:val="22"/>
          <w:lang w:val="en-GB"/>
        </w:rPr>
        <w:tab/>
      </w:r>
      <w:r w:rsidRPr="00821E33">
        <w:rPr>
          <w:sz w:val="22"/>
          <w:szCs w:val="22"/>
          <w:lang w:val="en-GB"/>
        </w:rPr>
        <w:tab/>
      </w:r>
      <w:r w:rsidRPr="00821E33">
        <w:rPr>
          <w:sz w:val="22"/>
          <w:szCs w:val="22"/>
          <w:lang w:val="en-GB"/>
        </w:rPr>
        <w:tab/>
      </w:r>
      <w:r w:rsidRPr="00821E33">
        <w:rPr>
          <w:sz w:val="22"/>
          <w:szCs w:val="22"/>
          <w:lang w:val="en-GB"/>
        </w:rPr>
        <w:tab/>
        <w:t xml:space="preserve">PTI-10-03 </w:t>
      </w:r>
    </w:p>
    <w:p w:rsidR="009B73FA" w:rsidRPr="00821E33" w:rsidRDefault="009B73FA" w:rsidP="009B73FA">
      <w:pPr>
        <w:pStyle w:val="SingleTxtG"/>
        <w:tabs>
          <w:tab w:val="right" w:pos="709"/>
        </w:tabs>
        <w:spacing w:after="0"/>
        <w:ind w:left="0" w:right="4"/>
        <w:rPr>
          <w:sz w:val="22"/>
          <w:szCs w:val="22"/>
          <w:lang w:val="en-GB"/>
        </w:rPr>
      </w:pPr>
    </w:p>
    <w:p w:rsidR="001A64C2" w:rsidRPr="00821E33" w:rsidRDefault="00821E33" w:rsidP="0009638A">
      <w:pPr>
        <w:pStyle w:val="SingleTxtG"/>
        <w:tabs>
          <w:tab w:val="right" w:pos="709"/>
        </w:tabs>
        <w:spacing w:after="0"/>
        <w:ind w:left="0" w:right="4"/>
        <w:rPr>
          <w:sz w:val="22"/>
          <w:szCs w:val="22"/>
          <w:lang w:val="en-GB"/>
        </w:rPr>
      </w:pPr>
      <w:r w:rsidRPr="00821E33">
        <w:rPr>
          <w:sz w:val="22"/>
          <w:szCs w:val="22"/>
          <w:lang w:val="en-GB"/>
        </w:rPr>
        <w:t>This subject has been discussed in item 5.</w:t>
      </w:r>
    </w:p>
    <w:p w:rsidR="00182AF2" w:rsidRPr="00821E33" w:rsidRDefault="00182AF2" w:rsidP="001A64C2">
      <w:pPr>
        <w:pStyle w:val="SingleTxtG"/>
        <w:tabs>
          <w:tab w:val="right" w:pos="709"/>
        </w:tabs>
        <w:spacing w:after="0"/>
        <w:ind w:left="720" w:right="4"/>
        <w:rPr>
          <w:sz w:val="22"/>
          <w:szCs w:val="22"/>
          <w:lang w:val="en-GB"/>
        </w:rPr>
      </w:pPr>
    </w:p>
    <w:p w:rsidR="001A64C2" w:rsidRPr="00821E33" w:rsidRDefault="00584229" w:rsidP="00584229">
      <w:pPr>
        <w:pStyle w:val="SingleTxtG"/>
        <w:tabs>
          <w:tab w:val="right" w:pos="709"/>
        </w:tabs>
        <w:spacing w:after="0"/>
        <w:ind w:left="0" w:right="4"/>
        <w:rPr>
          <w:b/>
          <w:sz w:val="22"/>
          <w:szCs w:val="22"/>
          <w:lang w:val="en-GB"/>
        </w:rPr>
      </w:pPr>
      <w:r w:rsidRPr="00821E33">
        <w:rPr>
          <w:b/>
          <w:sz w:val="22"/>
          <w:szCs w:val="22"/>
          <w:lang w:val="en-GB"/>
        </w:rPr>
        <w:t xml:space="preserve">6. </w:t>
      </w:r>
      <w:r w:rsidR="001A64C2" w:rsidRPr="00821E33">
        <w:rPr>
          <w:b/>
          <w:sz w:val="22"/>
          <w:szCs w:val="22"/>
          <w:lang w:val="en-GB"/>
        </w:rPr>
        <w:t>Development of inspection techniques against tampering practices</w:t>
      </w:r>
    </w:p>
    <w:p w:rsidR="00E41E9B" w:rsidRDefault="00E41E9B" w:rsidP="00584229">
      <w:pPr>
        <w:pStyle w:val="SingleTxtG"/>
        <w:tabs>
          <w:tab w:val="left" w:pos="709"/>
        </w:tabs>
        <w:spacing w:after="0"/>
        <w:ind w:left="0" w:right="4"/>
        <w:rPr>
          <w:sz w:val="22"/>
          <w:szCs w:val="22"/>
          <w:lang w:val="en-GB"/>
        </w:rPr>
      </w:pPr>
    </w:p>
    <w:p w:rsidR="00584229" w:rsidRPr="00E61AB3" w:rsidRDefault="00584229" w:rsidP="00584229">
      <w:pPr>
        <w:pStyle w:val="SingleTxtG"/>
        <w:tabs>
          <w:tab w:val="left" w:pos="709"/>
        </w:tabs>
        <w:spacing w:after="0"/>
        <w:ind w:left="0" w:right="4"/>
        <w:rPr>
          <w:sz w:val="22"/>
          <w:szCs w:val="22"/>
          <w:lang w:val="fr-FR"/>
        </w:rPr>
      </w:pPr>
      <w:proofErr w:type="gramStart"/>
      <w:r w:rsidRPr="00E61AB3">
        <w:rPr>
          <w:sz w:val="22"/>
          <w:szCs w:val="22"/>
          <w:lang w:val="fr-FR"/>
        </w:rPr>
        <w:t>Documentation:</w:t>
      </w:r>
      <w:proofErr w:type="gramEnd"/>
      <w:r w:rsidRPr="00E61AB3">
        <w:rPr>
          <w:sz w:val="22"/>
          <w:szCs w:val="22"/>
          <w:lang w:val="fr-FR"/>
        </w:rPr>
        <w:tab/>
      </w:r>
      <w:r w:rsidRPr="00E61AB3">
        <w:rPr>
          <w:sz w:val="22"/>
          <w:szCs w:val="22"/>
          <w:lang w:val="fr-FR"/>
        </w:rPr>
        <w:tab/>
        <w:t>WP.29-172-24</w:t>
      </w:r>
    </w:p>
    <w:p w:rsidR="00584229" w:rsidRPr="00E61AB3" w:rsidRDefault="00584229" w:rsidP="00584229">
      <w:pPr>
        <w:pStyle w:val="SingleTxtG"/>
        <w:tabs>
          <w:tab w:val="left" w:pos="709"/>
        </w:tabs>
        <w:spacing w:after="0"/>
        <w:ind w:left="0" w:right="4"/>
        <w:rPr>
          <w:sz w:val="22"/>
          <w:szCs w:val="22"/>
          <w:lang w:val="fr-FR"/>
        </w:rPr>
      </w:pPr>
      <w:r w:rsidRPr="00E61AB3">
        <w:rPr>
          <w:sz w:val="22"/>
          <w:szCs w:val="22"/>
          <w:lang w:val="fr-FR"/>
        </w:rPr>
        <w:tab/>
      </w:r>
      <w:r w:rsidRPr="00E61AB3">
        <w:rPr>
          <w:sz w:val="22"/>
          <w:szCs w:val="22"/>
          <w:lang w:val="fr-FR"/>
        </w:rPr>
        <w:tab/>
      </w:r>
      <w:r w:rsidRPr="00E61AB3">
        <w:rPr>
          <w:sz w:val="22"/>
          <w:szCs w:val="22"/>
          <w:lang w:val="fr-FR"/>
        </w:rPr>
        <w:tab/>
      </w:r>
      <w:r w:rsidRPr="00E61AB3">
        <w:rPr>
          <w:sz w:val="22"/>
          <w:szCs w:val="22"/>
          <w:lang w:val="fr-FR"/>
        </w:rPr>
        <w:tab/>
        <w:t>WP.29-172-25</w:t>
      </w:r>
    </w:p>
    <w:p w:rsidR="00584229" w:rsidRPr="00E61AB3" w:rsidRDefault="00584229" w:rsidP="00584229">
      <w:pPr>
        <w:pStyle w:val="SingleTxtG"/>
        <w:tabs>
          <w:tab w:val="left" w:pos="709"/>
        </w:tabs>
        <w:spacing w:after="0"/>
        <w:ind w:left="0" w:right="4"/>
        <w:rPr>
          <w:sz w:val="22"/>
          <w:szCs w:val="22"/>
          <w:lang w:val="fr-FR"/>
        </w:rPr>
      </w:pPr>
      <w:r w:rsidRPr="00E61AB3">
        <w:rPr>
          <w:sz w:val="22"/>
          <w:szCs w:val="22"/>
          <w:lang w:val="fr-FR"/>
        </w:rPr>
        <w:tab/>
      </w:r>
      <w:r w:rsidRPr="00E61AB3">
        <w:rPr>
          <w:sz w:val="22"/>
          <w:szCs w:val="22"/>
          <w:lang w:val="fr-FR"/>
        </w:rPr>
        <w:tab/>
      </w:r>
      <w:r w:rsidRPr="00E61AB3">
        <w:rPr>
          <w:sz w:val="22"/>
          <w:szCs w:val="22"/>
          <w:lang w:val="fr-FR"/>
        </w:rPr>
        <w:tab/>
      </w:r>
      <w:r w:rsidRPr="00E61AB3">
        <w:rPr>
          <w:sz w:val="22"/>
          <w:szCs w:val="22"/>
          <w:lang w:val="fr-FR"/>
        </w:rPr>
        <w:tab/>
        <w:t>WP.29-172-26</w:t>
      </w:r>
    </w:p>
    <w:p w:rsidR="00584229" w:rsidRPr="00E61AB3" w:rsidRDefault="00584229" w:rsidP="00584229">
      <w:pPr>
        <w:pStyle w:val="SingleTxtG"/>
        <w:tabs>
          <w:tab w:val="left" w:pos="709"/>
        </w:tabs>
        <w:spacing w:after="0"/>
        <w:ind w:left="0" w:right="4"/>
        <w:rPr>
          <w:sz w:val="22"/>
          <w:szCs w:val="22"/>
          <w:lang w:val="fr-FR"/>
        </w:rPr>
      </w:pPr>
      <w:r w:rsidRPr="00E61AB3">
        <w:rPr>
          <w:sz w:val="22"/>
          <w:szCs w:val="22"/>
          <w:lang w:val="fr-FR"/>
        </w:rPr>
        <w:tab/>
      </w:r>
      <w:r w:rsidRPr="00E61AB3">
        <w:rPr>
          <w:sz w:val="22"/>
          <w:szCs w:val="22"/>
          <w:lang w:val="fr-FR"/>
        </w:rPr>
        <w:tab/>
      </w:r>
      <w:r w:rsidRPr="00E61AB3">
        <w:rPr>
          <w:sz w:val="22"/>
          <w:szCs w:val="22"/>
          <w:lang w:val="fr-FR"/>
        </w:rPr>
        <w:tab/>
      </w:r>
      <w:r w:rsidRPr="00E61AB3">
        <w:rPr>
          <w:sz w:val="22"/>
          <w:szCs w:val="22"/>
          <w:lang w:val="fr-FR"/>
        </w:rPr>
        <w:tab/>
        <w:t>WP.29-172-28</w:t>
      </w:r>
    </w:p>
    <w:p w:rsidR="00584229" w:rsidRDefault="00584229" w:rsidP="00584229">
      <w:pPr>
        <w:pStyle w:val="SingleTxtG"/>
        <w:tabs>
          <w:tab w:val="left" w:pos="709"/>
        </w:tabs>
        <w:spacing w:after="0"/>
        <w:ind w:left="0" w:right="4"/>
        <w:rPr>
          <w:sz w:val="22"/>
          <w:szCs w:val="22"/>
          <w:lang w:val="en-GB"/>
        </w:rPr>
      </w:pPr>
      <w:r w:rsidRPr="00E61AB3">
        <w:rPr>
          <w:sz w:val="22"/>
          <w:szCs w:val="22"/>
          <w:lang w:val="fr-FR"/>
        </w:rPr>
        <w:tab/>
      </w:r>
      <w:r w:rsidRPr="00E61AB3">
        <w:rPr>
          <w:sz w:val="22"/>
          <w:szCs w:val="22"/>
          <w:lang w:val="fr-FR"/>
        </w:rPr>
        <w:tab/>
      </w:r>
      <w:r w:rsidRPr="00E61AB3">
        <w:rPr>
          <w:sz w:val="22"/>
          <w:szCs w:val="22"/>
          <w:lang w:val="fr-FR"/>
        </w:rPr>
        <w:tab/>
      </w:r>
      <w:r w:rsidRPr="00E61AB3">
        <w:rPr>
          <w:sz w:val="22"/>
          <w:szCs w:val="22"/>
          <w:lang w:val="fr-FR"/>
        </w:rPr>
        <w:tab/>
      </w:r>
      <w:r w:rsidRPr="00821E33">
        <w:rPr>
          <w:sz w:val="22"/>
          <w:szCs w:val="22"/>
          <w:lang w:val="en-GB"/>
        </w:rPr>
        <w:t>PTI-08-03</w:t>
      </w:r>
    </w:p>
    <w:p w:rsidR="009869DC" w:rsidRPr="00821E33" w:rsidRDefault="009869DC" w:rsidP="00584229">
      <w:pPr>
        <w:pStyle w:val="SingleTxtG"/>
        <w:tabs>
          <w:tab w:val="left" w:pos="709"/>
        </w:tabs>
        <w:spacing w:after="0"/>
        <w:ind w:left="0" w:right="4"/>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t>Emissions Tampering.pptx</w:t>
      </w:r>
    </w:p>
    <w:p w:rsidR="00584229" w:rsidRPr="00821E33" w:rsidRDefault="00584229" w:rsidP="00584229">
      <w:pPr>
        <w:pStyle w:val="SingleTxtG"/>
        <w:tabs>
          <w:tab w:val="left" w:pos="709"/>
        </w:tabs>
        <w:spacing w:after="0"/>
        <w:ind w:left="0" w:right="4"/>
        <w:rPr>
          <w:sz w:val="22"/>
          <w:szCs w:val="22"/>
          <w:lang w:val="en-GB"/>
        </w:rPr>
      </w:pPr>
    </w:p>
    <w:p w:rsidR="001A64C2" w:rsidRDefault="009869DC" w:rsidP="00A72B97">
      <w:pPr>
        <w:pStyle w:val="SingleTxtG"/>
        <w:tabs>
          <w:tab w:val="left" w:pos="709"/>
        </w:tabs>
        <w:spacing w:after="0"/>
        <w:ind w:left="0" w:right="4"/>
        <w:rPr>
          <w:sz w:val="22"/>
          <w:szCs w:val="22"/>
          <w:lang w:val="en-GB"/>
        </w:rPr>
      </w:pPr>
      <w:r>
        <w:rPr>
          <w:sz w:val="22"/>
          <w:szCs w:val="22"/>
          <w:lang w:val="en-GB"/>
        </w:rPr>
        <w:t>Mr. Stephenson explained the proposal prepared by CITA and CORTE regarding how to fight against emissions tampering. The proposition is split in two parts, the first one identifying the solutions to be taken in the short-term to improve the inspection techniques to identify tampering, and the activities to undertake in the mid- and long-term to modify the design of vehicles to make them more tampering proof and to facilitate the detection of tampering if occurs.</w:t>
      </w:r>
    </w:p>
    <w:p w:rsidR="009869DC" w:rsidRDefault="009869DC" w:rsidP="00A72B97">
      <w:pPr>
        <w:pStyle w:val="SingleTxtG"/>
        <w:tabs>
          <w:tab w:val="left" w:pos="709"/>
        </w:tabs>
        <w:spacing w:after="0"/>
        <w:ind w:left="0" w:right="4"/>
        <w:rPr>
          <w:sz w:val="22"/>
          <w:szCs w:val="22"/>
          <w:lang w:val="en-GB"/>
        </w:rPr>
      </w:pPr>
    </w:p>
    <w:p w:rsidR="009869DC" w:rsidRDefault="009869DC" w:rsidP="00A72B97">
      <w:pPr>
        <w:pStyle w:val="SingleTxtG"/>
        <w:tabs>
          <w:tab w:val="left" w:pos="709"/>
        </w:tabs>
        <w:spacing w:after="0"/>
        <w:ind w:left="0" w:right="4"/>
        <w:rPr>
          <w:sz w:val="22"/>
          <w:szCs w:val="22"/>
          <w:lang w:val="en-GB"/>
        </w:rPr>
      </w:pPr>
      <w:r>
        <w:rPr>
          <w:sz w:val="22"/>
          <w:szCs w:val="22"/>
          <w:lang w:val="en-GB"/>
        </w:rPr>
        <w:t>The group decided to bring the presentation “Emissions Tampering.pptx” to the next WP.29 meeting.</w:t>
      </w:r>
    </w:p>
    <w:p w:rsidR="00DF5364" w:rsidRDefault="00182AF2" w:rsidP="00182AF2">
      <w:pPr>
        <w:pStyle w:val="HChG"/>
        <w:keepNext w:val="0"/>
        <w:keepLines w:val="0"/>
        <w:tabs>
          <w:tab w:val="clear" w:pos="851"/>
          <w:tab w:val="right" w:pos="709"/>
        </w:tabs>
        <w:suppressAutoHyphens w:val="0"/>
        <w:ind w:right="4"/>
        <w:jc w:val="both"/>
        <w:rPr>
          <w:sz w:val="22"/>
          <w:szCs w:val="22"/>
        </w:rPr>
      </w:pPr>
      <w:r w:rsidRPr="00821E33">
        <w:rPr>
          <w:sz w:val="22"/>
          <w:szCs w:val="22"/>
        </w:rPr>
        <w:t xml:space="preserve">7. </w:t>
      </w:r>
      <w:r w:rsidR="00DF5364" w:rsidRPr="00821E33">
        <w:rPr>
          <w:sz w:val="22"/>
          <w:szCs w:val="22"/>
        </w:rPr>
        <w:t>Coordination between the provisions of the 1968 Vienna Convention and 1997 Vienna Agreement</w:t>
      </w:r>
    </w:p>
    <w:p w:rsidR="00E41E9B" w:rsidRDefault="00E41E9B" w:rsidP="00E41E9B">
      <w:pPr>
        <w:pStyle w:val="SingleTxtG"/>
        <w:tabs>
          <w:tab w:val="left" w:pos="709"/>
        </w:tabs>
        <w:spacing w:after="0"/>
        <w:ind w:left="0" w:right="4"/>
        <w:rPr>
          <w:sz w:val="22"/>
          <w:szCs w:val="22"/>
          <w:lang w:val="en-GB"/>
        </w:rPr>
      </w:pPr>
      <w:r w:rsidRPr="00821E33">
        <w:rPr>
          <w:sz w:val="22"/>
          <w:szCs w:val="22"/>
          <w:lang w:val="en-GB"/>
        </w:rPr>
        <w:t>Documentation:</w:t>
      </w:r>
      <w:r w:rsidRPr="00821E33">
        <w:rPr>
          <w:sz w:val="22"/>
          <w:szCs w:val="22"/>
          <w:lang w:val="en-GB"/>
        </w:rPr>
        <w:tab/>
      </w:r>
      <w:r w:rsidRPr="00821E33">
        <w:rPr>
          <w:sz w:val="22"/>
          <w:szCs w:val="22"/>
          <w:lang w:val="en-GB"/>
        </w:rPr>
        <w:tab/>
      </w:r>
      <w:r>
        <w:rPr>
          <w:sz w:val="22"/>
          <w:szCs w:val="22"/>
          <w:lang w:val="en-GB"/>
        </w:rPr>
        <w:t>Consolidated Resolution on Road Traffic R.E.1</w:t>
      </w:r>
      <w:r>
        <w:rPr>
          <w:rStyle w:val="FootnoteReference"/>
          <w:sz w:val="22"/>
          <w:szCs w:val="22"/>
          <w:lang w:val="en-GB"/>
        </w:rPr>
        <w:footnoteReference w:id="1"/>
      </w:r>
    </w:p>
    <w:p w:rsidR="00E41E9B" w:rsidRDefault="00E41E9B" w:rsidP="00E41E9B">
      <w:pPr>
        <w:pStyle w:val="SingleTxtG"/>
        <w:tabs>
          <w:tab w:val="left" w:pos="709"/>
        </w:tabs>
        <w:spacing w:after="0"/>
        <w:ind w:left="0" w:right="4"/>
        <w:rPr>
          <w:sz w:val="22"/>
          <w:szCs w:val="22"/>
          <w:lang w:val="en-GB"/>
        </w:rPr>
      </w:pPr>
    </w:p>
    <w:p w:rsidR="00E41E9B" w:rsidRPr="00821E33" w:rsidRDefault="00E41E9B" w:rsidP="00E41E9B">
      <w:pPr>
        <w:pStyle w:val="SingleTxtG"/>
        <w:tabs>
          <w:tab w:val="left" w:pos="709"/>
        </w:tabs>
        <w:spacing w:after="0"/>
        <w:ind w:left="0" w:right="4"/>
        <w:rPr>
          <w:sz w:val="22"/>
          <w:szCs w:val="22"/>
          <w:lang w:val="en-GB"/>
        </w:rPr>
      </w:pPr>
      <w:r>
        <w:rPr>
          <w:sz w:val="22"/>
          <w:szCs w:val="22"/>
          <w:lang w:val="en-GB"/>
        </w:rPr>
        <w:t xml:space="preserve">Mr. </w:t>
      </w:r>
      <w:proofErr w:type="spellStart"/>
      <w:r>
        <w:rPr>
          <w:sz w:val="22"/>
          <w:szCs w:val="22"/>
          <w:lang w:val="en-GB"/>
        </w:rPr>
        <w:t>Komarov</w:t>
      </w:r>
      <w:proofErr w:type="spellEnd"/>
      <w:r>
        <w:rPr>
          <w:sz w:val="22"/>
          <w:szCs w:val="22"/>
          <w:lang w:val="en-GB"/>
        </w:rPr>
        <w:t xml:space="preserve"> drawn the attention to the item 5.1 of the Consolidated Resolution, which is about the “Technical Inspection of Vehicles” and kindly requires the members of the group to be prepared to express their views, during the next meeting of the IWG on PTI, on whether it is necessary to modify this item and how. </w:t>
      </w:r>
    </w:p>
    <w:p w:rsidR="00F523B4" w:rsidRPr="00821E33" w:rsidRDefault="00182AF2" w:rsidP="00182AF2">
      <w:pPr>
        <w:pStyle w:val="HChG"/>
        <w:keepNext w:val="0"/>
        <w:keepLines w:val="0"/>
        <w:tabs>
          <w:tab w:val="clear" w:pos="851"/>
          <w:tab w:val="right" w:pos="709"/>
        </w:tabs>
        <w:suppressAutoHyphens w:val="0"/>
        <w:ind w:left="0" w:right="4" w:firstLine="0"/>
        <w:jc w:val="both"/>
        <w:rPr>
          <w:sz w:val="22"/>
          <w:szCs w:val="22"/>
        </w:rPr>
      </w:pPr>
      <w:r w:rsidRPr="00821E33">
        <w:rPr>
          <w:sz w:val="22"/>
          <w:szCs w:val="22"/>
        </w:rPr>
        <w:t xml:space="preserve">8. </w:t>
      </w:r>
      <w:r w:rsidR="00F523B4" w:rsidRPr="00821E33">
        <w:rPr>
          <w:sz w:val="22"/>
          <w:szCs w:val="22"/>
        </w:rPr>
        <w:t>Any Other Business</w:t>
      </w:r>
    </w:p>
    <w:p w:rsidR="003B4583" w:rsidRDefault="009869DC" w:rsidP="006C3F60">
      <w:pPr>
        <w:tabs>
          <w:tab w:val="right" w:pos="709"/>
        </w:tabs>
        <w:ind w:right="4"/>
        <w:jc w:val="both"/>
        <w:rPr>
          <w:rFonts w:ascii="Times New Roman" w:hAnsi="Times New Roman"/>
          <w:lang w:val="en-GB" w:eastAsia="x-none"/>
        </w:rPr>
      </w:pPr>
      <w:r>
        <w:rPr>
          <w:rFonts w:ascii="Times New Roman" w:hAnsi="Times New Roman"/>
          <w:lang w:val="en-GB" w:eastAsia="x-none"/>
        </w:rPr>
        <w:t xml:space="preserve">Mr. Van Der </w:t>
      </w:r>
      <w:proofErr w:type="spellStart"/>
      <w:r>
        <w:rPr>
          <w:rFonts w:ascii="Times New Roman" w:hAnsi="Times New Roman"/>
          <w:lang w:val="en-GB" w:eastAsia="x-none"/>
        </w:rPr>
        <w:t>Straaten</w:t>
      </w:r>
      <w:proofErr w:type="spellEnd"/>
      <w:r>
        <w:rPr>
          <w:rFonts w:ascii="Times New Roman" w:hAnsi="Times New Roman"/>
          <w:lang w:val="en-GB" w:eastAsia="x-none"/>
        </w:rPr>
        <w:t xml:space="preserve"> asked again for the list of members of the Group. Mr. Fernández, as Secretary of the group, explained that the </w:t>
      </w:r>
      <w:r w:rsidR="00E41E9B">
        <w:rPr>
          <w:rFonts w:ascii="Times New Roman" w:hAnsi="Times New Roman"/>
          <w:lang w:val="en-GB" w:eastAsia="x-none"/>
        </w:rPr>
        <w:t xml:space="preserve">personal </w:t>
      </w:r>
      <w:r>
        <w:rPr>
          <w:rFonts w:ascii="Times New Roman" w:hAnsi="Times New Roman"/>
          <w:lang w:val="en-GB" w:eastAsia="x-none"/>
        </w:rPr>
        <w:t xml:space="preserve">data protection regulation </w:t>
      </w:r>
      <w:r w:rsidR="00E41E9B">
        <w:rPr>
          <w:rFonts w:ascii="Times New Roman" w:hAnsi="Times New Roman"/>
          <w:lang w:val="en-GB" w:eastAsia="x-none"/>
        </w:rPr>
        <w:t xml:space="preserve">limits the distribution of </w:t>
      </w:r>
      <w:r>
        <w:rPr>
          <w:rFonts w:ascii="Times New Roman" w:hAnsi="Times New Roman"/>
          <w:lang w:val="en-GB" w:eastAsia="x-none"/>
        </w:rPr>
        <w:t xml:space="preserve">data </w:t>
      </w:r>
      <w:r w:rsidR="00E41E9B">
        <w:rPr>
          <w:rFonts w:ascii="Times New Roman" w:hAnsi="Times New Roman"/>
          <w:lang w:val="en-GB" w:eastAsia="x-none"/>
        </w:rPr>
        <w:t xml:space="preserve">only if there is an </w:t>
      </w:r>
      <w:r>
        <w:rPr>
          <w:rFonts w:ascii="Times New Roman" w:hAnsi="Times New Roman"/>
          <w:lang w:val="en-GB" w:eastAsia="x-none"/>
        </w:rPr>
        <w:t xml:space="preserve">explicit </w:t>
      </w:r>
      <w:r w:rsidR="00E41E9B">
        <w:rPr>
          <w:rFonts w:ascii="Times New Roman" w:hAnsi="Times New Roman"/>
          <w:lang w:val="en-GB" w:eastAsia="x-none"/>
        </w:rPr>
        <w:t xml:space="preserve">previous </w:t>
      </w:r>
      <w:r>
        <w:rPr>
          <w:rFonts w:ascii="Times New Roman" w:hAnsi="Times New Roman"/>
          <w:lang w:val="en-GB" w:eastAsia="x-none"/>
        </w:rPr>
        <w:t>consent of each person. The Secretariat has already taken the initiative to ask who agrees to the disclosure of the data and a list with the positive answers will be distributed in short.</w:t>
      </w:r>
    </w:p>
    <w:p w:rsidR="009869DC" w:rsidRPr="00821E33" w:rsidRDefault="009869DC" w:rsidP="006C3F60">
      <w:pPr>
        <w:tabs>
          <w:tab w:val="right" w:pos="709"/>
        </w:tabs>
        <w:ind w:right="4"/>
        <w:jc w:val="both"/>
        <w:rPr>
          <w:rFonts w:ascii="Times New Roman" w:hAnsi="Times New Roman"/>
          <w:lang w:val="en-GB" w:eastAsia="x-none"/>
        </w:rPr>
      </w:pPr>
      <w:r>
        <w:rPr>
          <w:rFonts w:ascii="Times New Roman" w:hAnsi="Times New Roman"/>
          <w:lang w:val="en-GB" w:eastAsia="x-none"/>
        </w:rPr>
        <w:t xml:space="preserve">Mr. Van Der </w:t>
      </w:r>
      <w:proofErr w:type="spellStart"/>
      <w:r>
        <w:rPr>
          <w:rFonts w:ascii="Times New Roman" w:hAnsi="Times New Roman"/>
          <w:lang w:val="en-GB" w:eastAsia="x-none"/>
        </w:rPr>
        <w:t>Straaten</w:t>
      </w:r>
      <w:proofErr w:type="spellEnd"/>
      <w:r>
        <w:rPr>
          <w:rFonts w:ascii="Times New Roman" w:hAnsi="Times New Roman"/>
          <w:lang w:val="en-GB" w:eastAsia="x-none"/>
        </w:rPr>
        <w:t xml:space="preserve"> also asked for the document PTI-10-04. The Secretariat explained that the document became the WP.29-174-07. In any case, the requested document has been forwarded.</w:t>
      </w:r>
    </w:p>
    <w:p w:rsidR="00A750B8" w:rsidRPr="00821E33" w:rsidRDefault="00D63B55" w:rsidP="006C3F60">
      <w:pPr>
        <w:tabs>
          <w:tab w:val="right" w:pos="709"/>
        </w:tabs>
        <w:ind w:right="4"/>
        <w:jc w:val="both"/>
        <w:rPr>
          <w:rFonts w:ascii="Times New Roman" w:hAnsi="Times New Roman"/>
          <w:lang w:val="en-GB" w:eastAsia="x-none"/>
        </w:rPr>
      </w:pPr>
      <w:r w:rsidRPr="00821E33">
        <w:rPr>
          <w:rFonts w:ascii="Times New Roman" w:hAnsi="Times New Roman"/>
          <w:lang w:val="en-GB" w:eastAsia="x-none"/>
        </w:rPr>
        <w:t>The Co-Chairm</w:t>
      </w:r>
      <w:r w:rsidR="00E41E9B">
        <w:rPr>
          <w:rFonts w:ascii="Times New Roman" w:hAnsi="Times New Roman"/>
          <w:lang w:val="en-GB" w:eastAsia="x-none"/>
        </w:rPr>
        <w:t>e</w:t>
      </w:r>
      <w:r w:rsidRPr="00821E33">
        <w:rPr>
          <w:rFonts w:ascii="Times New Roman" w:hAnsi="Times New Roman"/>
          <w:lang w:val="en-GB" w:eastAsia="x-none"/>
        </w:rPr>
        <w:t xml:space="preserve">n, Mr. </w:t>
      </w:r>
      <w:proofErr w:type="spellStart"/>
      <w:r w:rsidRPr="00821E33">
        <w:rPr>
          <w:rFonts w:ascii="Times New Roman" w:hAnsi="Times New Roman"/>
          <w:lang w:val="en-GB" w:eastAsia="x-none"/>
        </w:rPr>
        <w:t>Komarov</w:t>
      </w:r>
      <w:proofErr w:type="spellEnd"/>
      <w:r w:rsidR="00E41E9B">
        <w:rPr>
          <w:rFonts w:ascii="Times New Roman" w:hAnsi="Times New Roman"/>
          <w:lang w:val="en-GB" w:eastAsia="x-none"/>
        </w:rPr>
        <w:t xml:space="preserve"> and Mr. </w:t>
      </w:r>
      <w:proofErr w:type="spellStart"/>
      <w:r w:rsidR="00E41E9B">
        <w:rPr>
          <w:rFonts w:ascii="Times New Roman" w:hAnsi="Times New Roman"/>
          <w:lang w:val="en-GB" w:eastAsia="x-none"/>
        </w:rPr>
        <w:t>Peeters-Weem</w:t>
      </w:r>
      <w:proofErr w:type="spellEnd"/>
      <w:r w:rsidRPr="00821E33">
        <w:rPr>
          <w:rFonts w:ascii="Times New Roman" w:hAnsi="Times New Roman"/>
          <w:lang w:val="en-GB" w:eastAsia="x-none"/>
        </w:rPr>
        <w:t xml:space="preserve">, thanked all the attendees for the fruitful meeting and </w:t>
      </w:r>
      <w:r w:rsidR="009869DC">
        <w:rPr>
          <w:rFonts w:ascii="Times New Roman" w:hAnsi="Times New Roman"/>
          <w:lang w:val="en-GB" w:eastAsia="x-none"/>
        </w:rPr>
        <w:t>OICA</w:t>
      </w:r>
      <w:r w:rsidRPr="00821E33">
        <w:rPr>
          <w:rFonts w:ascii="Times New Roman" w:hAnsi="Times New Roman"/>
          <w:lang w:val="en-GB" w:eastAsia="x-none"/>
        </w:rPr>
        <w:t xml:space="preserve"> for hosting it.</w:t>
      </w:r>
    </w:p>
    <w:p w:rsidR="00410167" w:rsidRPr="00821E33" w:rsidRDefault="00410167" w:rsidP="00410167">
      <w:pPr>
        <w:tabs>
          <w:tab w:val="right" w:pos="709"/>
        </w:tabs>
        <w:ind w:right="4"/>
        <w:jc w:val="center"/>
        <w:rPr>
          <w:rFonts w:ascii="Times New Roman" w:hAnsi="Times New Roman"/>
          <w:lang w:val="en-GB"/>
        </w:rPr>
      </w:pPr>
      <w:r w:rsidRPr="00821E33">
        <w:rPr>
          <w:rFonts w:ascii="Times New Roman" w:hAnsi="Times New Roman"/>
          <w:lang w:val="en-GB" w:eastAsia="x-none"/>
        </w:rPr>
        <w:t>_____</w:t>
      </w:r>
      <w:r w:rsidR="00E41E9B">
        <w:rPr>
          <w:rFonts w:ascii="Times New Roman" w:hAnsi="Times New Roman"/>
          <w:lang w:val="en-GB" w:eastAsia="x-none"/>
        </w:rPr>
        <w:t>_____</w:t>
      </w:r>
    </w:p>
    <w:sectPr w:rsidR="00410167" w:rsidRPr="00821E33" w:rsidSect="004A64F5">
      <w:footerReference w:type="default" r:id="rId8"/>
      <w:headerReference w:type="first" r:id="rId9"/>
      <w:footerReference w:type="first" r:id="rId10"/>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E71" w:rsidRDefault="00527E71" w:rsidP="00F03B82">
      <w:pPr>
        <w:spacing w:after="0" w:line="240" w:lineRule="auto"/>
      </w:pPr>
      <w:r>
        <w:separator/>
      </w:r>
    </w:p>
  </w:endnote>
  <w:endnote w:type="continuationSeparator" w:id="0">
    <w:p w:rsidR="00527E71" w:rsidRDefault="00527E71" w:rsidP="00F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Default="00D90D59" w:rsidP="00EB0CF9">
    <w:pPr>
      <w:pStyle w:val="Footer"/>
      <w:jc w:val="center"/>
    </w:pPr>
    <w:r>
      <w:rPr>
        <w:noProof/>
      </w:rPr>
      <w:fldChar w:fldCharType="begin"/>
    </w:r>
    <w:r>
      <w:rPr>
        <w:noProof/>
      </w:rPr>
      <w:instrText xml:space="preserve"> PAGE   \* MERGEFORMAT </w:instrText>
    </w:r>
    <w:r>
      <w:rPr>
        <w:noProof/>
      </w:rPr>
      <w:fldChar w:fldCharType="separate"/>
    </w:r>
    <w:r w:rsidR="0029097B">
      <w:rPr>
        <w:noProof/>
      </w:rPr>
      <w:t>2</w:t>
    </w:r>
    <w:r>
      <w:rPr>
        <w:noProof/>
      </w:rPr>
      <w:fldChar w:fldCharType="end"/>
    </w:r>
    <w:r>
      <w:rPr>
        <w:noProof/>
      </w:rPr>
      <w:t>/</w:t>
    </w:r>
    <w:r w:rsidR="00E57115">
      <w:rPr>
        <w:noProof/>
      </w:rPr>
      <w:fldChar w:fldCharType="begin"/>
    </w:r>
    <w:r w:rsidR="00E57115">
      <w:rPr>
        <w:noProof/>
      </w:rPr>
      <w:instrText xml:space="preserve"> NUMPAGES   \* MERGEFORMAT </w:instrText>
    </w:r>
    <w:r w:rsidR="00E57115">
      <w:rPr>
        <w:noProof/>
      </w:rPr>
      <w:fldChar w:fldCharType="separate"/>
    </w:r>
    <w:r w:rsidR="0029097B">
      <w:rPr>
        <w:noProof/>
      </w:rPr>
      <w:t>3</w:t>
    </w:r>
    <w:r w:rsidR="00E5711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Default="00D90D59">
    <w:pPr>
      <w:pStyle w:val="Footer"/>
      <w:jc w:val="center"/>
      <w:rPr>
        <w:noProof/>
      </w:rPr>
    </w:pPr>
    <w:r>
      <w:rPr>
        <w:noProof/>
      </w:rPr>
      <w:fldChar w:fldCharType="begin"/>
    </w:r>
    <w:r>
      <w:rPr>
        <w:noProof/>
      </w:rPr>
      <w:instrText xml:space="preserve"> PAGE   \* MERGEFORMAT </w:instrText>
    </w:r>
    <w:r>
      <w:rPr>
        <w:noProof/>
      </w:rPr>
      <w:fldChar w:fldCharType="separate"/>
    </w:r>
    <w:r w:rsidR="0029097B">
      <w:rPr>
        <w:noProof/>
      </w:rPr>
      <w:t>1</w:t>
    </w:r>
    <w:r>
      <w:rPr>
        <w:noProof/>
      </w:rPr>
      <w:fldChar w:fldCharType="end"/>
    </w:r>
    <w:r w:rsidR="00877A07">
      <w:rPr>
        <w:noProof/>
      </w:rPr>
      <w:t>/</w:t>
    </w:r>
    <w:r w:rsidR="0004292A">
      <w:rPr>
        <w:noProof/>
      </w:rPr>
      <w:fldChar w:fldCharType="begin"/>
    </w:r>
    <w:r w:rsidR="0004292A">
      <w:rPr>
        <w:noProof/>
      </w:rPr>
      <w:instrText xml:space="preserve"> NUMPAGES   \* MERGEFORMAT </w:instrText>
    </w:r>
    <w:r w:rsidR="0004292A">
      <w:rPr>
        <w:noProof/>
      </w:rPr>
      <w:fldChar w:fldCharType="separate"/>
    </w:r>
    <w:r w:rsidR="0029097B">
      <w:rPr>
        <w:noProof/>
      </w:rPr>
      <w:t>3</w:t>
    </w:r>
    <w:r w:rsidR="0004292A">
      <w:rPr>
        <w:noProof/>
      </w:rPr>
      <w:fldChar w:fldCharType="end"/>
    </w:r>
  </w:p>
  <w:p w:rsidR="00D90D59" w:rsidRDefault="00D90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E71" w:rsidRDefault="00527E71" w:rsidP="00F03B82">
      <w:pPr>
        <w:spacing w:after="0" w:line="240" w:lineRule="auto"/>
      </w:pPr>
      <w:r>
        <w:separator/>
      </w:r>
    </w:p>
  </w:footnote>
  <w:footnote w:type="continuationSeparator" w:id="0">
    <w:p w:rsidR="00527E71" w:rsidRDefault="00527E71" w:rsidP="00F03B82">
      <w:pPr>
        <w:spacing w:after="0" w:line="240" w:lineRule="auto"/>
      </w:pPr>
      <w:r>
        <w:continuationSeparator/>
      </w:r>
    </w:p>
  </w:footnote>
  <w:footnote w:id="1">
    <w:p w:rsidR="00E41E9B" w:rsidRDefault="00E41E9B" w:rsidP="00E41E9B">
      <w:pPr>
        <w:pStyle w:val="FootnoteText"/>
        <w:spacing w:after="0" w:line="240" w:lineRule="auto"/>
      </w:pPr>
      <w:r>
        <w:rPr>
          <w:rStyle w:val="FootnoteReference"/>
        </w:rPr>
        <w:footnoteRef/>
      </w:r>
      <w:r>
        <w:t xml:space="preserve"> Document available in this link: </w:t>
      </w:r>
      <w:hyperlink r:id="rId1" w:history="1">
        <w:r w:rsidRPr="00720FCE">
          <w:rPr>
            <w:rStyle w:val="Hyperlink"/>
          </w:rPr>
          <w:t>http://www.unece.org/fileadmin/DAM/trans/roadsafe/publications/docs/Consolidated_Resolution_on%20Road_Traffic_RE1_e.pdf</w:t>
        </w:r>
      </w:hyperlink>
    </w:p>
    <w:p w:rsidR="00E41E9B" w:rsidRPr="00E41E9B" w:rsidRDefault="00E41E9B" w:rsidP="00E41E9B">
      <w:pPr>
        <w:pStyle w:val="FootnoteText"/>
        <w:spacing w:after="0" w:line="240" w:lineRule="auto"/>
      </w:pPr>
      <w:r>
        <w:t xml:space="preserve">Library where this document can be found: </w:t>
      </w:r>
      <w:hyperlink r:id="rId2" w:history="1">
        <w:r w:rsidRPr="00720FCE">
          <w:rPr>
            <w:rStyle w:val="Hyperlink"/>
          </w:rPr>
          <w:t>http://www.unece.org/trans/roadsafe/rsrec.html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962"/>
      <w:gridCol w:w="4394"/>
    </w:tblGrid>
    <w:tr w:rsidR="00E61AB3" w:rsidRPr="00067DA0" w:rsidTr="00E61AB3">
      <w:tc>
        <w:tcPr>
          <w:tcW w:w="4962" w:type="dxa"/>
          <w:vAlign w:val="center"/>
        </w:tcPr>
        <w:p w:rsidR="00E61AB3" w:rsidRPr="00CF3185" w:rsidRDefault="00E61AB3" w:rsidP="00E61AB3">
          <w:pPr>
            <w:pStyle w:val="Header"/>
            <w:adjustRightInd w:val="0"/>
            <w:snapToGrid w:val="0"/>
            <w:rPr>
              <w:lang w:val="en-TT"/>
            </w:rPr>
          </w:pPr>
          <w:r>
            <w:rPr>
              <w:rFonts w:eastAsiaTheme="minorEastAsia" w:hint="eastAsia"/>
              <w:lang w:val="en-TT" w:eastAsia="ko-KR"/>
            </w:rPr>
            <w:t>Submitted</w:t>
          </w:r>
          <w:r w:rsidRPr="00CF3185">
            <w:rPr>
              <w:lang w:val="en-TT"/>
            </w:rPr>
            <w:t xml:space="preserve"> by </w:t>
          </w:r>
          <w:r>
            <w:rPr>
              <w:lang w:val="en-TT"/>
            </w:rPr>
            <w:t xml:space="preserve">IWG </w:t>
          </w:r>
          <w:r>
            <w:rPr>
              <w:rFonts w:eastAsiaTheme="minorEastAsia" w:hint="eastAsia"/>
              <w:lang w:val="en-TT" w:eastAsia="ko-KR"/>
            </w:rPr>
            <w:t xml:space="preserve">on </w:t>
          </w:r>
          <w:r w:rsidR="0033327E">
            <w:rPr>
              <w:lang w:val="en-TT"/>
            </w:rPr>
            <w:t>PTI</w:t>
          </w:r>
        </w:p>
      </w:tc>
      <w:tc>
        <w:tcPr>
          <w:tcW w:w="4394" w:type="dxa"/>
        </w:tcPr>
        <w:p w:rsidR="00E61AB3" w:rsidRPr="00067DA0" w:rsidRDefault="00E61AB3" w:rsidP="00E61AB3">
          <w:pPr>
            <w:pStyle w:val="Header"/>
            <w:ind w:firstLineChars="16" w:firstLine="32"/>
            <w:rPr>
              <w:rFonts w:eastAsiaTheme="minorEastAsia"/>
              <w:lang w:eastAsia="ko-KR"/>
            </w:rPr>
          </w:pPr>
          <w:r w:rsidRPr="00B221BA">
            <w:rPr>
              <w:sz w:val="20"/>
              <w:szCs w:val="20"/>
              <w:u w:val="single"/>
            </w:rPr>
            <w:t>Informal document</w:t>
          </w:r>
          <w:r w:rsidRPr="002E314E">
            <w:rPr>
              <w:b/>
              <w:sz w:val="20"/>
              <w:szCs w:val="20"/>
            </w:rPr>
            <w:t xml:space="preserve"> WP.29-</w:t>
          </w:r>
          <w:r>
            <w:rPr>
              <w:b/>
              <w:sz w:val="20"/>
              <w:szCs w:val="20"/>
            </w:rPr>
            <w:t>175</w:t>
          </w:r>
          <w:r w:rsidRPr="002E314E">
            <w:rPr>
              <w:b/>
              <w:sz w:val="20"/>
              <w:szCs w:val="20"/>
            </w:rPr>
            <w:t>-</w:t>
          </w:r>
          <w:r>
            <w:rPr>
              <w:b/>
              <w:sz w:val="20"/>
              <w:szCs w:val="20"/>
            </w:rPr>
            <w:t>09</w:t>
          </w:r>
          <w:r>
            <w:rPr>
              <w:sz w:val="20"/>
              <w:szCs w:val="20"/>
            </w:rPr>
            <w:br/>
            <w:t>(175</w:t>
          </w:r>
          <w:r>
            <w:rPr>
              <w:sz w:val="20"/>
              <w:szCs w:val="20"/>
              <w:vertAlign w:val="superscript"/>
            </w:rPr>
            <w:t>th</w:t>
          </w:r>
          <w:r>
            <w:rPr>
              <w:sz w:val="20"/>
              <w:szCs w:val="20"/>
            </w:rPr>
            <w:t xml:space="preserve"> WP.29, 19-22 June 2018</w:t>
          </w:r>
          <w:r w:rsidRPr="002C26C9">
            <w:rPr>
              <w:sz w:val="20"/>
              <w:szCs w:val="20"/>
            </w:rPr>
            <w:t>,</w:t>
          </w:r>
          <w:r w:rsidRPr="002C26C9">
            <w:rPr>
              <w:sz w:val="20"/>
              <w:szCs w:val="20"/>
            </w:rPr>
            <w:br/>
          </w:r>
          <w:r>
            <w:rPr>
              <w:sz w:val="20"/>
              <w:szCs w:val="20"/>
            </w:rPr>
            <w:t>agenda item 7</w:t>
          </w:r>
          <w:r w:rsidR="00316EF5">
            <w:rPr>
              <w:sz w:val="20"/>
              <w:szCs w:val="20"/>
            </w:rPr>
            <w:t>.1</w:t>
          </w:r>
          <w:r w:rsidRPr="002C26C9">
            <w:rPr>
              <w:sz w:val="20"/>
              <w:szCs w:val="20"/>
            </w:rPr>
            <w:t>)</w:t>
          </w:r>
        </w:p>
      </w:tc>
    </w:tr>
  </w:tbl>
  <w:p w:rsidR="00E61AB3" w:rsidRPr="00E61AB3" w:rsidRDefault="00E61AB3" w:rsidP="00E61AB3">
    <w:pPr>
      <w:pStyle w:val="Header"/>
      <w:jc w:val="right"/>
      <w:rPr>
        <w:rFonts w:ascii="Times New Roman" w:hAnsi="Times New Roman"/>
        <w:b/>
        <w:lang w:val="en-GB"/>
      </w:rPr>
    </w:pPr>
    <w:r w:rsidRPr="002C26C9">
      <w:t>)</w:t>
    </w:r>
  </w:p>
  <w:p w:rsidR="00D90D59" w:rsidRPr="008B531D" w:rsidRDefault="00E61AB3" w:rsidP="00877A07">
    <w:pPr>
      <w:pStyle w:val="Header"/>
      <w:jc w:val="right"/>
      <w:rPr>
        <w:rFonts w:ascii="Times New Roman" w:hAnsi="Times New Roman"/>
        <w:lang w:val="en-GB"/>
      </w:rPr>
    </w:pPr>
    <w:r>
      <w:rPr>
        <w:rFonts w:ascii="Times New Roman" w:hAnsi="Times New Roman"/>
        <w:lang w:val="en-GB"/>
      </w:rPr>
      <w:tab/>
    </w:r>
    <w:r>
      <w:rPr>
        <w:rFonts w:ascii="Times New Roman" w:hAnsi="Times New Roman"/>
        <w:lang w:val="en-GB"/>
      </w:rPr>
      <w:tab/>
    </w:r>
  </w:p>
  <w:p w:rsidR="00D90D59" w:rsidRPr="008B531D" w:rsidRDefault="00D90D5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B94"/>
    <w:multiLevelType w:val="hybridMultilevel"/>
    <w:tmpl w:val="F46C6722"/>
    <w:lvl w:ilvl="0" w:tplc="7CB4A9AE">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0E84276"/>
    <w:multiLevelType w:val="hybridMultilevel"/>
    <w:tmpl w:val="E108A0CC"/>
    <w:lvl w:ilvl="0" w:tplc="8E50FEF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 w15:restartNumberingAfterBreak="0">
    <w:nsid w:val="143914FD"/>
    <w:multiLevelType w:val="hybridMultilevel"/>
    <w:tmpl w:val="B826191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1B9C68DD"/>
    <w:multiLevelType w:val="hybridMultilevel"/>
    <w:tmpl w:val="B54A889E"/>
    <w:lvl w:ilvl="0" w:tplc="095E9580">
      <w:start w:val="1"/>
      <w:numFmt w:val="upp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6" w15:restartNumberingAfterBreak="0">
    <w:nsid w:val="264A0BB8"/>
    <w:multiLevelType w:val="hybridMultilevel"/>
    <w:tmpl w:val="583C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72593"/>
    <w:multiLevelType w:val="multilevel"/>
    <w:tmpl w:val="4AA8A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14D80"/>
    <w:multiLevelType w:val="hybridMultilevel"/>
    <w:tmpl w:val="D002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53538"/>
    <w:multiLevelType w:val="hybridMultilevel"/>
    <w:tmpl w:val="92C403D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DA36F16"/>
    <w:multiLevelType w:val="hybridMultilevel"/>
    <w:tmpl w:val="DE1C7092"/>
    <w:lvl w:ilvl="0" w:tplc="7924E3C0">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F6C7765"/>
    <w:multiLevelType w:val="hybridMultilevel"/>
    <w:tmpl w:val="9D80DD9E"/>
    <w:lvl w:ilvl="0" w:tplc="7F0C68CA">
      <w:start w:val="1"/>
      <w:numFmt w:val="decimal"/>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1D3066"/>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15:restartNumberingAfterBreak="0">
    <w:nsid w:val="3E620190"/>
    <w:multiLevelType w:val="hybridMultilevel"/>
    <w:tmpl w:val="1EB0B8BE"/>
    <w:lvl w:ilvl="0" w:tplc="0BD0AC50">
      <w:start w:val="1"/>
      <w:numFmt w:val="upperRoman"/>
      <w:lvlText w:val="%1."/>
      <w:lvlJc w:val="left"/>
      <w:pPr>
        <w:ind w:left="1395"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FCF3999"/>
    <w:multiLevelType w:val="hybridMultilevel"/>
    <w:tmpl w:val="86D4D864"/>
    <w:lvl w:ilvl="0" w:tplc="F16C61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39F7973"/>
    <w:multiLevelType w:val="multilevel"/>
    <w:tmpl w:val="0E041434"/>
    <w:lvl w:ilvl="0">
      <w:start w:val="5"/>
      <w:numFmt w:val="decimal"/>
      <w:lvlText w:val="%1."/>
      <w:lvlJc w:val="left"/>
      <w:pPr>
        <w:ind w:left="408" w:hanging="408"/>
      </w:pPr>
      <w:rPr>
        <w:rFonts w:hint="default"/>
        <w:color w:val="4C4845"/>
      </w:rPr>
    </w:lvl>
    <w:lvl w:ilvl="1">
      <w:start w:val="1"/>
      <w:numFmt w:val="decimal"/>
      <w:lvlText w:val="%1.%2."/>
      <w:lvlJc w:val="left"/>
      <w:pPr>
        <w:ind w:left="1854" w:hanging="720"/>
      </w:pPr>
      <w:rPr>
        <w:rFonts w:hint="default"/>
        <w:color w:val="4C4845"/>
      </w:rPr>
    </w:lvl>
    <w:lvl w:ilvl="2">
      <w:start w:val="1"/>
      <w:numFmt w:val="decimal"/>
      <w:lvlText w:val="%1.%2.%3."/>
      <w:lvlJc w:val="left"/>
      <w:pPr>
        <w:ind w:left="2988" w:hanging="720"/>
      </w:pPr>
      <w:rPr>
        <w:rFonts w:hint="default"/>
        <w:color w:val="4C4845"/>
      </w:rPr>
    </w:lvl>
    <w:lvl w:ilvl="3">
      <w:start w:val="1"/>
      <w:numFmt w:val="decimal"/>
      <w:lvlText w:val="%1.%2.%3.%4."/>
      <w:lvlJc w:val="left"/>
      <w:pPr>
        <w:ind w:left="4482" w:hanging="1080"/>
      </w:pPr>
      <w:rPr>
        <w:rFonts w:hint="default"/>
        <w:color w:val="4C4845"/>
      </w:rPr>
    </w:lvl>
    <w:lvl w:ilvl="4">
      <w:start w:val="1"/>
      <w:numFmt w:val="decimal"/>
      <w:lvlText w:val="%1.%2.%3.%4.%5."/>
      <w:lvlJc w:val="left"/>
      <w:pPr>
        <w:ind w:left="5616" w:hanging="1080"/>
      </w:pPr>
      <w:rPr>
        <w:rFonts w:hint="default"/>
        <w:color w:val="4C4845"/>
      </w:rPr>
    </w:lvl>
    <w:lvl w:ilvl="5">
      <w:start w:val="1"/>
      <w:numFmt w:val="decimal"/>
      <w:lvlText w:val="%1.%2.%3.%4.%5.%6."/>
      <w:lvlJc w:val="left"/>
      <w:pPr>
        <w:ind w:left="7110" w:hanging="1440"/>
      </w:pPr>
      <w:rPr>
        <w:rFonts w:hint="default"/>
        <w:color w:val="4C4845"/>
      </w:rPr>
    </w:lvl>
    <w:lvl w:ilvl="6">
      <w:start w:val="1"/>
      <w:numFmt w:val="decimal"/>
      <w:lvlText w:val="%1.%2.%3.%4.%5.%6.%7."/>
      <w:lvlJc w:val="left"/>
      <w:pPr>
        <w:ind w:left="8604" w:hanging="1800"/>
      </w:pPr>
      <w:rPr>
        <w:rFonts w:hint="default"/>
        <w:color w:val="4C4845"/>
      </w:rPr>
    </w:lvl>
    <w:lvl w:ilvl="7">
      <w:start w:val="1"/>
      <w:numFmt w:val="decimal"/>
      <w:lvlText w:val="%1.%2.%3.%4.%5.%6.%7.%8."/>
      <w:lvlJc w:val="left"/>
      <w:pPr>
        <w:ind w:left="9738" w:hanging="1800"/>
      </w:pPr>
      <w:rPr>
        <w:rFonts w:hint="default"/>
        <w:color w:val="4C4845"/>
      </w:rPr>
    </w:lvl>
    <w:lvl w:ilvl="8">
      <w:start w:val="1"/>
      <w:numFmt w:val="decimal"/>
      <w:lvlText w:val="%1.%2.%3.%4.%5.%6.%7.%8.%9."/>
      <w:lvlJc w:val="left"/>
      <w:pPr>
        <w:ind w:left="11232" w:hanging="2160"/>
      </w:pPr>
      <w:rPr>
        <w:rFonts w:hint="default"/>
        <w:color w:val="4C4845"/>
      </w:rPr>
    </w:lvl>
  </w:abstractNum>
  <w:abstractNum w:abstractNumId="17" w15:restartNumberingAfterBreak="0">
    <w:nsid w:val="46090DC0"/>
    <w:multiLevelType w:val="hybridMultilevel"/>
    <w:tmpl w:val="1FA8B4FE"/>
    <w:lvl w:ilvl="0" w:tplc="0418000F">
      <w:start w:val="1"/>
      <w:numFmt w:val="decimal"/>
      <w:lvlText w:val="%1."/>
      <w:lvlJc w:val="left"/>
      <w:pPr>
        <w:tabs>
          <w:tab w:val="num" w:pos="720"/>
        </w:tabs>
        <w:ind w:left="720" w:hanging="360"/>
      </w:pPr>
      <w:rPr>
        <w:rFonts w:hint="default"/>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B58B1"/>
    <w:multiLevelType w:val="hybridMultilevel"/>
    <w:tmpl w:val="4866DCB0"/>
    <w:lvl w:ilvl="0" w:tplc="DFE270DC">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0" w15:restartNumberingAfterBreak="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6D3F55"/>
    <w:multiLevelType w:val="hybridMultilevel"/>
    <w:tmpl w:val="6CCA00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D4C09D8"/>
    <w:multiLevelType w:val="hybridMultilevel"/>
    <w:tmpl w:val="A1BAD5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5F6C793E"/>
    <w:multiLevelType w:val="multilevel"/>
    <w:tmpl w:val="2B3AA5D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A632519"/>
    <w:multiLevelType w:val="hybridMultilevel"/>
    <w:tmpl w:val="132CC09C"/>
    <w:lvl w:ilvl="0" w:tplc="3D04507C">
      <w:start w:val="7"/>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CAF3CA7"/>
    <w:multiLevelType w:val="multilevel"/>
    <w:tmpl w:val="CFF2F036"/>
    <w:lvl w:ilvl="0">
      <w:start w:val="2"/>
      <w:numFmt w:val="decimal"/>
      <w:lvlText w:val="%1."/>
      <w:lvlJc w:val="left"/>
      <w:pPr>
        <w:ind w:left="1800" w:hanging="360"/>
      </w:pPr>
      <w:rPr>
        <w:rFonts w:hint="default"/>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6E7F41DB"/>
    <w:multiLevelType w:val="hybridMultilevel"/>
    <w:tmpl w:val="0764F548"/>
    <w:lvl w:ilvl="0" w:tplc="6DD855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4281D"/>
    <w:multiLevelType w:val="hybridMultilevel"/>
    <w:tmpl w:val="CC5450DA"/>
    <w:lvl w:ilvl="0" w:tplc="5FE2D17A">
      <w:start w:val="1"/>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7A0B5B66"/>
    <w:multiLevelType w:val="hybridMultilevel"/>
    <w:tmpl w:val="C5BC7A8E"/>
    <w:lvl w:ilvl="0" w:tplc="BBD09D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B165290"/>
    <w:multiLevelType w:val="hybridMultilevel"/>
    <w:tmpl w:val="31863CA0"/>
    <w:lvl w:ilvl="0" w:tplc="0BD0AC50">
      <w:start w:val="1"/>
      <w:numFmt w:val="upperRoman"/>
      <w:lvlText w:val="%1."/>
      <w:lvlJc w:val="left"/>
      <w:pPr>
        <w:ind w:left="1395"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19"/>
  </w:num>
  <w:num w:numId="5">
    <w:abstractNumId w:val="30"/>
  </w:num>
  <w:num w:numId="6">
    <w:abstractNumId w:val="14"/>
  </w:num>
  <w:num w:numId="7">
    <w:abstractNumId w:val="0"/>
  </w:num>
  <w:num w:numId="8">
    <w:abstractNumId w:val="24"/>
  </w:num>
  <w:num w:numId="9">
    <w:abstractNumId w:val="10"/>
  </w:num>
  <w:num w:numId="10">
    <w:abstractNumId w:val="17"/>
  </w:num>
  <w:num w:numId="11">
    <w:abstractNumId w:val="28"/>
  </w:num>
  <w:num w:numId="12">
    <w:abstractNumId w:val="2"/>
  </w:num>
  <w:num w:numId="13">
    <w:abstractNumId w:val="5"/>
  </w:num>
  <w:num w:numId="14">
    <w:abstractNumId w:val="27"/>
  </w:num>
  <w:num w:numId="15">
    <w:abstractNumId w:val="12"/>
  </w:num>
  <w:num w:numId="16">
    <w:abstractNumId w:val="22"/>
  </w:num>
  <w:num w:numId="17">
    <w:abstractNumId w:val="26"/>
  </w:num>
  <w:num w:numId="18">
    <w:abstractNumId w:val="21"/>
  </w:num>
  <w:num w:numId="19">
    <w:abstractNumId w:val="1"/>
  </w:num>
  <w:num w:numId="20">
    <w:abstractNumId w:val="13"/>
  </w:num>
  <w:num w:numId="21">
    <w:abstractNumId w:val="15"/>
  </w:num>
  <w:num w:numId="22">
    <w:abstractNumId w:val="25"/>
  </w:num>
  <w:num w:numId="23">
    <w:abstractNumId w:val="16"/>
  </w:num>
  <w:num w:numId="24">
    <w:abstractNumId w:val="7"/>
  </w:num>
  <w:num w:numId="25">
    <w:abstractNumId w:val="9"/>
  </w:num>
  <w:num w:numId="26">
    <w:abstractNumId w:val="11"/>
  </w:num>
  <w:num w:numId="27">
    <w:abstractNumId w:val="29"/>
  </w:num>
  <w:num w:numId="28">
    <w:abstractNumId w:val="18"/>
  </w:num>
  <w:num w:numId="29">
    <w:abstractNumId w:val="6"/>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DC"/>
    <w:rsid w:val="00001B7B"/>
    <w:rsid w:val="0001072A"/>
    <w:rsid w:val="000239D2"/>
    <w:rsid w:val="000329AF"/>
    <w:rsid w:val="000348E8"/>
    <w:rsid w:val="0004292A"/>
    <w:rsid w:val="0004726C"/>
    <w:rsid w:val="00050F71"/>
    <w:rsid w:val="0005585A"/>
    <w:rsid w:val="00057149"/>
    <w:rsid w:val="00077634"/>
    <w:rsid w:val="000803B4"/>
    <w:rsid w:val="0008165C"/>
    <w:rsid w:val="000828BA"/>
    <w:rsid w:val="00086B44"/>
    <w:rsid w:val="000911D0"/>
    <w:rsid w:val="0009167C"/>
    <w:rsid w:val="0009638A"/>
    <w:rsid w:val="000B30B4"/>
    <w:rsid w:val="000C6FA8"/>
    <w:rsid w:val="000D2D0C"/>
    <w:rsid w:val="000D5331"/>
    <w:rsid w:val="000E002A"/>
    <w:rsid w:val="000E132D"/>
    <w:rsid w:val="000E37C5"/>
    <w:rsid w:val="000E3D6C"/>
    <w:rsid w:val="000E57D9"/>
    <w:rsid w:val="001243AD"/>
    <w:rsid w:val="0013641B"/>
    <w:rsid w:val="001426AA"/>
    <w:rsid w:val="00147B99"/>
    <w:rsid w:val="001520D3"/>
    <w:rsid w:val="001571C9"/>
    <w:rsid w:val="001663C7"/>
    <w:rsid w:val="00176754"/>
    <w:rsid w:val="0018001D"/>
    <w:rsid w:val="00180BE3"/>
    <w:rsid w:val="00182AF2"/>
    <w:rsid w:val="00190FE5"/>
    <w:rsid w:val="001A134B"/>
    <w:rsid w:val="001A64C2"/>
    <w:rsid w:val="001C16F4"/>
    <w:rsid w:val="001D7B05"/>
    <w:rsid w:val="001E0077"/>
    <w:rsid w:val="001F226B"/>
    <w:rsid w:val="00204E2F"/>
    <w:rsid w:val="00244DDF"/>
    <w:rsid w:val="0025160C"/>
    <w:rsid w:val="00252E6D"/>
    <w:rsid w:val="00254D39"/>
    <w:rsid w:val="00275512"/>
    <w:rsid w:val="0028063A"/>
    <w:rsid w:val="0029097B"/>
    <w:rsid w:val="002930A4"/>
    <w:rsid w:val="002A1A77"/>
    <w:rsid w:val="002A465D"/>
    <w:rsid w:val="002A77F5"/>
    <w:rsid w:val="002A7D07"/>
    <w:rsid w:val="002F23E9"/>
    <w:rsid w:val="0030415A"/>
    <w:rsid w:val="00316EF5"/>
    <w:rsid w:val="003210BA"/>
    <w:rsid w:val="003302A3"/>
    <w:rsid w:val="0033327E"/>
    <w:rsid w:val="003429C8"/>
    <w:rsid w:val="00344A47"/>
    <w:rsid w:val="00357870"/>
    <w:rsid w:val="00361267"/>
    <w:rsid w:val="00371B28"/>
    <w:rsid w:val="00377A31"/>
    <w:rsid w:val="00391725"/>
    <w:rsid w:val="0039368A"/>
    <w:rsid w:val="003B1BF7"/>
    <w:rsid w:val="003B4583"/>
    <w:rsid w:val="003C0519"/>
    <w:rsid w:val="003F703E"/>
    <w:rsid w:val="00402B0A"/>
    <w:rsid w:val="004052CB"/>
    <w:rsid w:val="00410167"/>
    <w:rsid w:val="00426B34"/>
    <w:rsid w:val="00431D0F"/>
    <w:rsid w:val="00442BD8"/>
    <w:rsid w:val="004450BA"/>
    <w:rsid w:val="004831F2"/>
    <w:rsid w:val="00485D7D"/>
    <w:rsid w:val="00486174"/>
    <w:rsid w:val="004975E3"/>
    <w:rsid w:val="00497669"/>
    <w:rsid w:val="004A08C3"/>
    <w:rsid w:val="004A64F5"/>
    <w:rsid w:val="004B33A9"/>
    <w:rsid w:val="004C7E5A"/>
    <w:rsid w:val="004D7CB7"/>
    <w:rsid w:val="004E6EDC"/>
    <w:rsid w:val="004F1EB9"/>
    <w:rsid w:val="004F37DA"/>
    <w:rsid w:val="00500ECE"/>
    <w:rsid w:val="00520A77"/>
    <w:rsid w:val="00527E71"/>
    <w:rsid w:val="00532CE0"/>
    <w:rsid w:val="00533B5E"/>
    <w:rsid w:val="0054408D"/>
    <w:rsid w:val="00561CF4"/>
    <w:rsid w:val="00563A06"/>
    <w:rsid w:val="00572840"/>
    <w:rsid w:val="00572967"/>
    <w:rsid w:val="00584229"/>
    <w:rsid w:val="005964FB"/>
    <w:rsid w:val="005A2C50"/>
    <w:rsid w:val="005C53C4"/>
    <w:rsid w:val="005D35BC"/>
    <w:rsid w:val="005D52C6"/>
    <w:rsid w:val="005E202F"/>
    <w:rsid w:val="005E374F"/>
    <w:rsid w:val="005E4728"/>
    <w:rsid w:val="005F49E5"/>
    <w:rsid w:val="006177B8"/>
    <w:rsid w:val="0062260E"/>
    <w:rsid w:val="006272D9"/>
    <w:rsid w:val="00640F9B"/>
    <w:rsid w:val="00644CC0"/>
    <w:rsid w:val="006508EC"/>
    <w:rsid w:val="0065224D"/>
    <w:rsid w:val="00656333"/>
    <w:rsid w:val="006576C4"/>
    <w:rsid w:val="00662ECF"/>
    <w:rsid w:val="00670557"/>
    <w:rsid w:val="0068531D"/>
    <w:rsid w:val="00693223"/>
    <w:rsid w:val="006A6CCF"/>
    <w:rsid w:val="006B6F91"/>
    <w:rsid w:val="006C2573"/>
    <w:rsid w:val="006C36C2"/>
    <w:rsid w:val="006C3F60"/>
    <w:rsid w:val="006C6008"/>
    <w:rsid w:val="006C68FB"/>
    <w:rsid w:val="006C6CBA"/>
    <w:rsid w:val="006C794E"/>
    <w:rsid w:val="006D543E"/>
    <w:rsid w:val="006D5A7B"/>
    <w:rsid w:val="006F0DAA"/>
    <w:rsid w:val="006F0FD4"/>
    <w:rsid w:val="006F7F2A"/>
    <w:rsid w:val="00704097"/>
    <w:rsid w:val="007125DE"/>
    <w:rsid w:val="00717380"/>
    <w:rsid w:val="00734C6D"/>
    <w:rsid w:val="007449DC"/>
    <w:rsid w:val="00754BF7"/>
    <w:rsid w:val="0075701F"/>
    <w:rsid w:val="007613A2"/>
    <w:rsid w:val="007702DB"/>
    <w:rsid w:val="00790EBE"/>
    <w:rsid w:val="00792E8F"/>
    <w:rsid w:val="007A76F9"/>
    <w:rsid w:val="007B1749"/>
    <w:rsid w:val="007B632C"/>
    <w:rsid w:val="007B63F1"/>
    <w:rsid w:val="007C498D"/>
    <w:rsid w:val="007C7C64"/>
    <w:rsid w:val="007D2072"/>
    <w:rsid w:val="007D7B6A"/>
    <w:rsid w:val="007E536A"/>
    <w:rsid w:val="007F31BF"/>
    <w:rsid w:val="007F49FA"/>
    <w:rsid w:val="007F5846"/>
    <w:rsid w:val="00804644"/>
    <w:rsid w:val="00811859"/>
    <w:rsid w:val="008150C3"/>
    <w:rsid w:val="008168CD"/>
    <w:rsid w:val="00821E33"/>
    <w:rsid w:val="00825823"/>
    <w:rsid w:val="00827C92"/>
    <w:rsid w:val="00840262"/>
    <w:rsid w:val="00854547"/>
    <w:rsid w:val="00872F5F"/>
    <w:rsid w:val="00873081"/>
    <w:rsid w:val="00877A07"/>
    <w:rsid w:val="008838E9"/>
    <w:rsid w:val="00883F25"/>
    <w:rsid w:val="00885F0D"/>
    <w:rsid w:val="00887DEE"/>
    <w:rsid w:val="00895576"/>
    <w:rsid w:val="008A1686"/>
    <w:rsid w:val="008A5D9C"/>
    <w:rsid w:val="008A6535"/>
    <w:rsid w:val="008B531D"/>
    <w:rsid w:val="008B5798"/>
    <w:rsid w:val="008B735C"/>
    <w:rsid w:val="008C04F1"/>
    <w:rsid w:val="008D68BB"/>
    <w:rsid w:val="008E1B9E"/>
    <w:rsid w:val="00902269"/>
    <w:rsid w:val="009117F2"/>
    <w:rsid w:val="0091361E"/>
    <w:rsid w:val="00913783"/>
    <w:rsid w:val="0091684C"/>
    <w:rsid w:val="009168B7"/>
    <w:rsid w:val="00921C1E"/>
    <w:rsid w:val="0092509D"/>
    <w:rsid w:val="009321FD"/>
    <w:rsid w:val="009329B3"/>
    <w:rsid w:val="00946B23"/>
    <w:rsid w:val="00965181"/>
    <w:rsid w:val="00977B45"/>
    <w:rsid w:val="00977CBD"/>
    <w:rsid w:val="0098119B"/>
    <w:rsid w:val="009869DC"/>
    <w:rsid w:val="0099430D"/>
    <w:rsid w:val="00997363"/>
    <w:rsid w:val="009A147D"/>
    <w:rsid w:val="009B1059"/>
    <w:rsid w:val="009B22F8"/>
    <w:rsid w:val="009B336F"/>
    <w:rsid w:val="009B4B79"/>
    <w:rsid w:val="009B73FA"/>
    <w:rsid w:val="009C77A7"/>
    <w:rsid w:val="009D1C52"/>
    <w:rsid w:val="009D27FB"/>
    <w:rsid w:val="009E0DA1"/>
    <w:rsid w:val="009E1611"/>
    <w:rsid w:val="009F1270"/>
    <w:rsid w:val="009F3130"/>
    <w:rsid w:val="00A03948"/>
    <w:rsid w:val="00A10B46"/>
    <w:rsid w:val="00A11D72"/>
    <w:rsid w:val="00A17E0A"/>
    <w:rsid w:val="00A23824"/>
    <w:rsid w:val="00A46362"/>
    <w:rsid w:val="00A56996"/>
    <w:rsid w:val="00A57383"/>
    <w:rsid w:val="00A60474"/>
    <w:rsid w:val="00A63AA2"/>
    <w:rsid w:val="00A65407"/>
    <w:rsid w:val="00A66168"/>
    <w:rsid w:val="00A677DC"/>
    <w:rsid w:val="00A72268"/>
    <w:rsid w:val="00A72B97"/>
    <w:rsid w:val="00A750B8"/>
    <w:rsid w:val="00A771F2"/>
    <w:rsid w:val="00A97797"/>
    <w:rsid w:val="00AD0BF7"/>
    <w:rsid w:val="00AD5219"/>
    <w:rsid w:val="00AD61B7"/>
    <w:rsid w:val="00AF5AB1"/>
    <w:rsid w:val="00B06256"/>
    <w:rsid w:val="00B16254"/>
    <w:rsid w:val="00B25CB2"/>
    <w:rsid w:val="00B30C46"/>
    <w:rsid w:val="00B3180D"/>
    <w:rsid w:val="00B31B5B"/>
    <w:rsid w:val="00B32D4B"/>
    <w:rsid w:val="00B44CE6"/>
    <w:rsid w:val="00B47529"/>
    <w:rsid w:val="00B4761C"/>
    <w:rsid w:val="00B47A62"/>
    <w:rsid w:val="00B528EC"/>
    <w:rsid w:val="00B7040D"/>
    <w:rsid w:val="00B779ED"/>
    <w:rsid w:val="00B77C4F"/>
    <w:rsid w:val="00B80E38"/>
    <w:rsid w:val="00B83A8C"/>
    <w:rsid w:val="00B87C88"/>
    <w:rsid w:val="00B90F15"/>
    <w:rsid w:val="00B92171"/>
    <w:rsid w:val="00B96F30"/>
    <w:rsid w:val="00BB1D20"/>
    <w:rsid w:val="00BB272E"/>
    <w:rsid w:val="00BB5804"/>
    <w:rsid w:val="00BB63B2"/>
    <w:rsid w:val="00BC09E2"/>
    <w:rsid w:val="00BC0E68"/>
    <w:rsid w:val="00BD51F5"/>
    <w:rsid w:val="00BE2BF4"/>
    <w:rsid w:val="00BF3BDF"/>
    <w:rsid w:val="00BF7AE9"/>
    <w:rsid w:val="00C035A4"/>
    <w:rsid w:val="00C15044"/>
    <w:rsid w:val="00C21EE7"/>
    <w:rsid w:val="00C23710"/>
    <w:rsid w:val="00C309A8"/>
    <w:rsid w:val="00C32AC2"/>
    <w:rsid w:val="00C4324B"/>
    <w:rsid w:val="00C52663"/>
    <w:rsid w:val="00C62F6F"/>
    <w:rsid w:val="00C723D3"/>
    <w:rsid w:val="00C807E7"/>
    <w:rsid w:val="00CA0474"/>
    <w:rsid w:val="00CA0A28"/>
    <w:rsid w:val="00CA7AF6"/>
    <w:rsid w:val="00CE6628"/>
    <w:rsid w:val="00CF38AE"/>
    <w:rsid w:val="00CF6EE4"/>
    <w:rsid w:val="00D03C43"/>
    <w:rsid w:val="00D06DA5"/>
    <w:rsid w:val="00D25C8A"/>
    <w:rsid w:val="00D27F56"/>
    <w:rsid w:val="00D44DED"/>
    <w:rsid w:val="00D45B4A"/>
    <w:rsid w:val="00D62459"/>
    <w:rsid w:val="00D62D25"/>
    <w:rsid w:val="00D63B55"/>
    <w:rsid w:val="00D752EF"/>
    <w:rsid w:val="00D90D59"/>
    <w:rsid w:val="00DC551C"/>
    <w:rsid w:val="00DE09A3"/>
    <w:rsid w:val="00DE0C66"/>
    <w:rsid w:val="00DF1BB3"/>
    <w:rsid w:val="00DF2455"/>
    <w:rsid w:val="00DF5364"/>
    <w:rsid w:val="00E01D0E"/>
    <w:rsid w:val="00E01D5E"/>
    <w:rsid w:val="00E021A8"/>
    <w:rsid w:val="00E06261"/>
    <w:rsid w:val="00E07895"/>
    <w:rsid w:val="00E1042F"/>
    <w:rsid w:val="00E21D14"/>
    <w:rsid w:val="00E25118"/>
    <w:rsid w:val="00E41E9B"/>
    <w:rsid w:val="00E46249"/>
    <w:rsid w:val="00E5024D"/>
    <w:rsid w:val="00E50BAA"/>
    <w:rsid w:val="00E57115"/>
    <w:rsid w:val="00E61AB3"/>
    <w:rsid w:val="00E91F97"/>
    <w:rsid w:val="00E95A72"/>
    <w:rsid w:val="00E9673F"/>
    <w:rsid w:val="00EA692F"/>
    <w:rsid w:val="00EB0CF9"/>
    <w:rsid w:val="00EB0E06"/>
    <w:rsid w:val="00EB1734"/>
    <w:rsid w:val="00EB3FA7"/>
    <w:rsid w:val="00EB4B3A"/>
    <w:rsid w:val="00ED73B9"/>
    <w:rsid w:val="00EE126E"/>
    <w:rsid w:val="00EE1DBE"/>
    <w:rsid w:val="00EF3944"/>
    <w:rsid w:val="00EF719F"/>
    <w:rsid w:val="00F02B04"/>
    <w:rsid w:val="00F030BC"/>
    <w:rsid w:val="00F03B82"/>
    <w:rsid w:val="00F0549D"/>
    <w:rsid w:val="00F10E0A"/>
    <w:rsid w:val="00F17835"/>
    <w:rsid w:val="00F20CC4"/>
    <w:rsid w:val="00F23065"/>
    <w:rsid w:val="00F2418E"/>
    <w:rsid w:val="00F249F5"/>
    <w:rsid w:val="00F2556E"/>
    <w:rsid w:val="00F27B05"/>
    <w:rsid w:val="00F36AEF"/>
    <w:rsid w:val="00F419AB"/>
    <w:rsid w:val="00F523B4"/>
    <w:rsid w:val="00F64BE8"/>
    <w:rsid w:val="00F65391"/>
    <w:rsid w:val="00F73B56"/>
    <w:rsid w:val="00F95A13"/>
    <w:rsid w:val="00FA0996"/>
    <w:rsid w:val="00FB67CF"/>
    <w:rsid w:val="00FC085D"/>
    <w:rsid w:val="00FC45E4"/>
    <w:rsid w:val="00FD0D66"/>
    <w:rsid w:val="00FD30D8"/>
    <w:rsid w:val="00FE24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245CC4F"/>
  <w15:docId w15:val="{4D3768BA-746D-4C25-8576-5B5DCCD5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3F25"/>
    <w:pPr>
      <w:keepNext/>
      <w:spacing w:after="0" w:line="240" w:lineRule="auto"/>
      <w:jc w:val="center"/>
      <w:outlineLvl w:val="0"/>
    </w:pPr>
    <w:rPr>
      <w:rFonts w:ascii="Times New Roman" w:eastAsia="Times New Roman" w:hAnsi="Times New Roman"/>
      <w:b/>
      <w:bCs/>
      <w:szCs w:val="24"/>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spacing w:after="120" w:line="240" w:lineRule="atLeast"/>
      <w:ind w:left="1134" w:right="1134"/>
      <w:jc w:val="both"/>
    </w:pPr>
    <w:rPr>
      <w:rFonts w:ascii="Times New Roman" w:eastAsia="Times New Roman" w:hAnsi="Times New Roman"/>
      <w:sz w:val="20"/>
      <w:szCs w:val="20"/>
      <w:lang w:val="x-none" w:eastAsia="x-none"/>
    </w:rPr>
  </w:style>
  <w:style w:type="paragraph" w:customStyle="1" w:styleId="H23G">
    <w:name w:val="_ H_2/3_G"/>
    <w:basedOn w:val="Normal"/>
    <w:next w:val="Normal"/>
    <w:rsid w:val="00A677D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A677D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eastAsia="x-none"/>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paragraph" w:styleId="ListParagraph">
    <w:name w:val="List Paragraph"/>
    <w:basedOn w:val="Normal"/>
    <w:uiPriority w:val="34"/>
    <w:qFormat/>
    <w:rsid w:val="00913783"/>
    <w:pPr>
      <w:ind w:left="720"/>
      <w:contextualSpacing/>
    </w:pPr>
  </w:style>
  <w:style w:type="paragraph" w:styleId="BalloonText">
    <w:name w:val="Balloon Text"/>
    <w:basedOn w:val="Normal"/>
    <w:link w:val="BalloonTextChar"/>
    <w:uiPriority w:val="99"/>
    <w:semiHidden/>
    <w:unhideWhenUsed/>
    <w:rsid w:val="00DC551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C551C"/>
    <w:rPr>
      <w:rFonts w:ascii="Segoe UI" w:hAnsi="Segoe UI" w:cs="Segoe UI"/>
      <w:sz w:val="18"/>
      <w:szCs w:val="18"/>
    </w:rPr>
  </w:style>
  <w:style w:type="paragraph" w:customStyle="1" w:styleId="aikapaikka">
    <w:name w:val="aikapaikka"/>
    <w:basedOn w:val="Normal"/>
    <w:rsid w:val="00E07895"/>
    <w:pPr>
      <w:tabs>
        <w:tab w:val="left" w:pos="1134"/>
        <w:tab w:val="left" w:pos="2041"/>
        <w:tab w:val="left" w:pos="4082"/>
      </w:tabs>
      <w:spacing w:after="120" w:line="240" w:lineRule="exact"/>
      <w:ind w:left="964" w:hanging="964"/>
    </w:pPr>
    <w:rPr>
      <w:rFonts w:ascii="Verdana" w:eastAsia="Times New Roman" w:hAnsi="Verdana"/>
      <w:sz w:val="20"/>
      <w:szCs w:val="20"/>
      <w:lang w:val="en-GB" w:eastAsia="en-GB"/>
    </w:rPr>
  </w:style>
  <w:style w:type="character" w:customStyle="1" w:styleId="Heading1Char">
    <w:name w:val="Heading 1 Char"/>
    <w:link w:val="Heading1"/>
    <w:rsid w:val="00883F25"/>
    <w:rPr>
      <w:rFonts w:ascii="Times New Roman" w:eastAsia="Times New Roman" w:hAnsi="Times New Roman"/>
      <w:b/>
      <w:bCs/>
      <w:sz w:val="22"/>
      <w:szCs w:val="24"/>
      <w:lang w:val="en-GB" w:eastAsia="ro-RO"/>
    </w:rPr>
  </w:style>
  <w:style w:type="character" w:customStyle="1" w:styleId="translation-chunk">
    <w:name w:val="translation-chunk"/>
    <w:rsid w:val="00CA0A28"/>
  </w:style>
  <w:style w:type="character" w:customStyle="1" w:styleId="w">
    <w:name w:val="w"/>
    <w:rsid w:val="00825823"/>
  </w:style>
  <w:style w:type="character" w:customStyle="1" w:styleId="diccolor">
    <w:name w:val="dic_color"/>
    <w:rsid w:val="00825823"/>
  </w:style>
  <w:style w:type="paragraph" w:customStyle="1" w:styleId="Default">
    <w:name w:val="Default"/>
    <w:rsid w:val="00D45B4A"/>
    <w:pPr>
      <w:autoSpaceDE w:val="0"/>
      <w:autoSpaceDN w:val="0"/>
      <w:adjustRightInd w:val="0"/>
    </w:pPr>
    <w:rPr>
      <w:rFonts w:ascii="Times New Roman" w:hAnsi="Times New Roman"/>
      <w:color w:val="000000"/>
      <w:sz w:val="24"/>
      <w:szCs w:val="24"/>
      <w:lang w:val="ru-RU" w:eastAsia="ru-RU"/>
    </w:rPr>
  </w:style>
  <w:style w:type="character" w:customStyle="1" w:styleId="h-block">
    <w:name w:val="h-block"/>
    <w:rsid w:val="00CA7AF6"/>
  </w:style>
  <w:style w:type="paragraph" w:styleId="FootnoteText">
    <w:name w:val="footnote text"/>
    <w:basedOn w:val="Normal"/>
    <w:link w:val="FootnoteTextChar"/>
    <w:uiPriority w:val="99"/>
    <w:semiHidden/>
    <w:unhideWhenUsed/>
    <w:rsid w:val="00C4324B"/>
    <w:rPr>
      <w:sz w:val="20"/>
      <w:szCs w:val="20"/>
    </w:rPr>
  </w:style>
  <w:style w:type="character" w:customStyle="1" w:styleId="FootnoteTextChar">
    <w:name w:val="Footnote Text Char"/>
    <w:link w:val="FootnoteText"/>
    <w:uiPriority w:val="99"/>
    <w:semiHidden/>
    <w:rsid w:val="00C4324B"/>
    <w:rPr>
      <w:lang w:val="en-US" w:eastAsia="en-US"/>
    </w:rPr>
  </w:style>
  <w:style w:type="character" w:styleId="FootnoteReference">
    <w:name w:val="footnote reference"/>
    <w:uiPriority w:val="99"/>
    <w:semiHidden/>
    <w:unhideWhenUsed/>
    <w:rsid w:val="00C43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5851">
      <w:bodyDiv w:val="1"/>
      <w:marLeft w:val="0"/>
      <w:marRight w:val="0"/>
      <w:marTop w:val="0"/>
      <w:marBottom w:val="0"/>
      <w:divBdr>
        <w:top w:val="none" w:sz="0" w:space="0" w:color="auto"/>
        <w:left w:val="none" w:sz="0" w:space="0" w:color="auto"/>
        <w:bottom w:val="none" w:sz="0" w:space="0" w:color="auto"/>
        <w:right w:val="none" w:sz="0" w:space="0" w:color="auto"/>
      </w:divBdr>
    </w:div>
    <w:div w:id="592473177">
      <w:bodyDiv w:val="1"/>
      <w:marLeft w:val="0"/>
      <w:marRight w:val="0"/>
      <w:marTop w:val="0"/>
      <w:marBottom w:val="0"/>
      <w:divBdr>
        <w:top w:val="none" w:sz="0" w:space="0" w:color="auto"/>
        <w:left w:val="none" w:sz="0" w:space="0" w:color="auto"/>
        <w:bottom w:val="none" w:sz="0" w:space="0" w:color="auto"/>
        <w:right w:val="none" w:sz="0" w:space="0" w:color="auto"/>
      </w:divBdr>
    </w:div>
    <w:div w:id="1283262894">
      <w:bodyDiv w:val="1"/>
      <w:marLeft w:val="0"/>
      <w:marRight w:val="0"/>
      <w:marTop w:val="0"/>
      <w:marBottom w:val="0"/>
      <w:divBdr>
        <w:top w:val="none" w:sz="0" w:space="0" w:color="auto"/>
        <w:left w:val="none" w:sz="0" w:space="0" w:color="auto"/>
        <w:bottom w:val="none" w:sz="0" w:space="0" w:color="auto"/>
        <w:right w:val="none" w:sz="0" w:space="0" w:color="auto"/>
      </w:divBdr>
    </w:div>
    <w:div w:id="1992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roadsafe/rsrec.html" TargetMode="External"/><Relationship Id="rId1" Type="http://schemas.openxmlformats.org/officeDocument/2006/relationships/hyperlink" Target="http://www.unece.org/fileadmin/DAM/trans/roadsafe/publications/docs/Consolidated_Resolution_on%20Road_Traffic_RE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62416-94BC-46CD-B50F-B997A594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3533</Characters>
  <Application>Microsoft Office Word</Application>
  <DocSecurity>0</DocSecurity>
  <Lines>29</Lines>
  <Paragraphs>8</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4144</CharactersWithSpaces>
  <SharedDoc>false</SharedDoc>
  <HLinks>
    <vt:vector size="12" baseType="variant">
      <vt:variant>
        <vt:i4>3735668</vt:i4>
      </vt:variant>
      <vt:variant>
        <vt:i4>3</vt:i4>
      </vt:variant>
      <vt:variant>
        <vt:i4>0</vt:i4>
      </vt:variant>
      <vt:variant>
        <vt:i4>5</vt:i4>
      </vt:variant>
      <vt:variant>
        <vt:lpwstr>http://www.unece.org/trans/roadsafe/rsrec.html</vt:lpwstr>
      </vt:variant>
      <vt:variant>
        <vt:lpwstr/>
      </vt:variant>
      <vt:variant>
        <vt:i4>2031734</vt:i4>
      </vt:variant>
      <vt:variant>
        <vt:i4>0</vt:i4>
      </vt:variant>
      <vt:variant>
        <vt:i4>0</vt:i4>
      </vt:variant>
      <vt:variant>
        <vt:i4>5</vt:i4>
      </vt:variant>
      <vt:variant>
        <vt:lpwstr>http://www.unece.org/fileadmin/DAM/trans/roadsafe/publications/docs/Consolidated_Resolution_on Road_Traffic_RE1_e.pdf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Olivia Braud</cp:lastModifiedBy>
  <cp:revision>5</cp:revision>
  <cp:lastPrinted>2018-03-26T13:53:00Z</cp:lastPrinted>
  <dcterms:created xsi:type="dcterms:W3CDTF">2018-06-14T10:49:00Z</dcterms:created>
  <dcterms:modified xsi:type="dcterms:W3CDTF">2018-06-14T11:05:00Z</dcterms:modified>
</cp:coreProperties>
</file>