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D0608C">
            <w:pPr>
              <w:jc w:val="right"/>
            </w:pPr>
            <w:r w:rsidRPr="005B73BF">
              <w:rPr>
                <w:sz w:val="40"/>
              </w:rPr>
              <w:t>ECE</w:t>
            </w:r>
            <w:r w:rsidR="006F4E45">
              <w:t>/TRANS/WP.29/2018/64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8121BC" w:rsidP="005B73BF">
            <w:pPr>
              <w:spacing w:line="240" w:lineRule="exact"/>
            </w:pPr>
            <w:r>
              <w:t xml:space="preserve">9 </w:t>
            </w:r>
            <w:r w:rsidR="005B73BF">
              <w:t>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6F4E45" w:rsidP="005B73BF">
      <w:r>
        <w:t>Item 4.10.1</w:t>
      </w:r>
      <w:r w:rsidR="005B73BF">
        <w:t xml:space="preserve"> of the provisional agenda</w:t>
      </w:r>
    </w:p>
    <w:p w:rsidR="005B73BF" w:rsidRDefault="005B73BF" w:rsidP="00AC1039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AC1039" w:rsidRPr="00AC1039">
        <w:rPr>
          <w:b/>
          <w:bCs/>
        </w:rPr>
        <w:t xml:space="preserve">Consideration of draft corrigenda to existing </w:t>
      </w:r>
      <w:r w:rsidR="00AC1039">
        <w:rPr>
          <w:b/>
          <w:bCs/>
        </w:rPr>
        <w:br/>
      </w:r>
      <w:r w:rsidR="00AC1039" w:rsidRPr="00AC1039">
        <w:rPr>
          <w:b/>
          <w:bCs/>
        </w:rPr>
        <w:t>UN Regulations submitted by GRs if any</w:t>
      </w:r>
    </w:p>
    <w:p w:rsidR="00AD038E" w:rsidRDefault="006F4E45" w:rsidP="00AD038E">
      <w:pPr>
        <w:pStyle w:val="HChG"/>
        <w:tabs>
          <w:tab w:val="left" w:pos="720"/>
        </w:tabs>
        <w:ind w:firstLine="0"/>
      </w:pPr>
      <w:r>
        <w:t xml:space="preserve">Proposal for </w:t>
      </w:r>
      <w:r w:rsidRPr="00D264F5">
        <w:t>Corrigendum 1 to Supplement 9 to the 06 series of amendments</w:t>
      </w:r>
      <w:r>
        <w:t xml:space="preserve"> to UN Regulation No. 16 (Safety-belts) </w:t>
      </w:r>
      <w:r w:rsidR="00AD038E">
        <w:t xml:space="preserve"> 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Passive Safety</w:t>
      </w:r>
      <w:r w:rsidRPr="00EA48F9">
        <w:rPr>
          <w:rStyle w:val="FootnoteReference"/>
          <w:sz w:val="24"/>
          <w:szCs w:val="24"/>
          <w:lang w:val="en-US"/>
        </w:rPr>
        <w:footnoteReference w:customMarkFollows="1" w:id="2"/>
        <w:t>*</w:t>
      </w:r>
    </w:p>
    <w:p w:rsidR="00AD038E" w:rsidRDefault="00EA48F9" w:rsidP="00AD038E">
      <w:pPr>
        <w:pStyle w:val="SingleTxtG"/>
        <w:rPr>
          <w:sz w:val="24"/>
          <w:szCs w:val="24"/>
          <w:lang w:eastAsia="zh-CN"/>
        </w:rPr>
      </w:pPr>
      <w:r>
        <w:tab/>
      </w:r>
      <w:r w:rsidR="00F35DAC">
        <w:tab/>
      </w:r>
      <w:r w:rsidR="00AD038E">
        <w:t>The text reproduced below was adopted by the Working Party on Passive Safety (GRSP) at its sixty-second session (</w:t>
      </w:r>
      <w:r w:rsidR="00224213">
        <w:rPr>
          <w:bCs/>
        </w:rPr>
        <w:t>ECE/TRANS/WP.29/GRSP/62</w:t>
      </w:r>
      <w:r w:rsidR="00224213" w:rsidRPr="00E5628A">
        <w:rPr>
          <w:bCs/>
        </w:rPr>
        <w:t xml:space="preserve">, para. </w:t>
      </w:r>
      <w:r w:rsidR="006F4E45">
        <w:rPr>
          <w:bCs/>
        </w:rPr>
        <w:t>14</w:t>
      </w:r>
      <w:r w:rsidR="00AD038E">
        <w:t xml:space="preserve">). It is based </w:t>
      </w:r>
      <w:r w:rsidR="00224213">
        <w:t xml:space="preserve">on </w:t>
      </w:r>
      <w:r w:rsidR="006F4E45">
        <w:t>ECE/TRANS/WP.</w:t>
      </w:r>
      <w:r w:rsidR="000B0ABE">
        <w:t>29/GRSP/2017/21 as amended by</w:t>
      </w:r>
      <w:r w:rsidR="006F4E45">
        <w:t xml:space="preserve"> Annex IV</w:t>
      </w:r>
      <w:r w:rsidR="007F39A9">
        <w:t xml:space="preserve"> to the report</w:t>
      </w:r>
      <w:r w:rsidR="00AD038E">
        <w:rPr>
          <w:bCs/>
        </w:rPr>
        <w:t xml:space="preserve">. </w:t>
      </w:r>
      <w:r w:rsidR="00AD038E">
        <w:t>It is submitted to the World Forum for Harmonization of Vehicle Regulations (WP.29) and to the Administrative Committee AC.1 for consideration at their June 2018 sessions.</w:t>
      </w:r>
      <w:r w:rsidR="00AD038E"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A85649">
      <w:pPr>
        <w:pStyle w:val="HChG"/>
        <w:spacing w:after="360"/>
      </w:pPr>
      <w:r>
        <w:lastRenderedPageBreak/>
        <w:tab/>
      </w:r>
      <w:r>
        <w:tab/>
      </w:r>
      <w:r w:rsidR="006F4E45" w:rsidRPr="00D264F5">
        <w:t>Corrigendum 1 to Supplement 9 to the 06 series of amendments</w:t>
      </w:r>
      <w:r w:rsidR="006F4E45">
        <w:t xml:space="preserve"> to UN Regulation No. 16 (Safety-belts)</w:t>
      </w:r>
    </w:p>
    <w:p w:rsidR="006F4E45" w:rsidRPr="008613F7" w:rsidRDefault="006F4E45" w:rsidP="006F4E45">
      <w:pPr>
        <w:pStyle w:val="SingleTxtG"/>
        <w:rPr>
          <w:lang w:val="en-US" w:eastAsia="en-GB"/>
        </w:rPr>
      </w:pPr>
      <w:r w:rsidRPr="008613F7">
        <w:rPr>
          <w:i/>
          <w:iCs/>
          <w:lang w:val="en-US" w:eastAsia="en-GB"/>
        </w:rPr>
        <w:t>Paragraph</w:t>
      </w:r>
      <w:r w:rsidRPr="008613F7">
        <w:rPr>
          <w:i/>
        </w:rPr>
        <w:t xml:space="preserve"> 6.4.1.4.1.1.</w:t>
      </w:r>
      <w:r w:rsidRPr="008613F7">
        <w:rPr>
          <w:lang w:val="en-US" w:eastAsia="en-GB"/>
        </w:rPr>
        <w:t xml:space="preserve">, correct to read: </w:t>
      </w:r>
    </w:p>
    <w:p w:rsidR="006F4E45" w:rsidRPr="008613F7" w:rsidRDefault="006F4E45" w:rsidP="006F4E45">
      <w:pPr>
        <w:pStyle w:val="SingleTxtG"/>
        <w:ind w:left="2268" w:hanging="1134"/>
      </w:pPr>
      <w:r w:rsidRPr="00EA48F9">
        <w:rPr>
          <w:iCs/>
        </w:rPr>
        <w:t>"6.4.1.4.1.1.</w:t>
      </w:r>
      <w:r w:rsidRPr="008613F7">
        <w:tab/>
        <w:t xml:space="preserve">In the case of the driver, contact of the chest with the steering assembly would be allowed, if the latter meets the requirements of </w:t>
      </w:r>
      <w:r w:rsidR="00EA48F9">
        <w:t xml:space="preserve">UN </w:t>
      </w:r>
      <w:r w:rsidRPr="008613F7">
        <w:t>Regulation No. 12 and provided contact does not occur at a speed higher than 24 km/h. For this assessment the se</w:t>
      </w:r>
      <w:r w:rsidR="001A3E60">
        <w:t>at shall be considered to be in</w:t>
      </w:r>
      <w:r w:rsidRPr="008613F7">
        <w:t xml:space="preserve"> the positions specified in paragraph 7.7.1.5. below."</w:t>
      </w:r>
    </w:p>
    <w:p w:rsidR="006F4E45" w:rsidRPr="008613F7" w:rsidRDefault="006F4E45" w:rsidP="006F4E45">
      <w:pPr>
        <w:pStyle w:val="SingleTxtG"/>
        <w:ind w:left="2268" w:hanging="1134"/>
      </w:pPr>
      <w:r w:rsidRPr="008613F7">
        <w:rPr>
          <w:i/>
        </w:rPr>
        <w:t>Paragraph 8</w:t>
      </w:r>
      <w:r w:rsidRPr="00EA48F9">
        <w:rPr>
          <w:i/>
        </w:rPr>
        <w:t>.3.6.</w:t>
      </w:r>
      <w:r w:rsidRPr="008613F7">
        <w:t>, correct to read:</w:t>
      </w:r>
    </w:p>
    <w:p w:rsidR="006F4E45" w:rsidRPr="00C9428D" w:rsidRDefault="006F4E45" w:rsidP="006F4E45">
      <w:pPr>
        <w:pStyle w:val="para"/>
        <w:rPr>
          <w:lang w:val="en-US"/>
        </w:rPr>
      </w:pPr>
      <w:r w:rsidRPr="00C9428D">
        <w:rPr>
          <w:lang w:val="en-US"/>
        </w:rPr>
        <w:t xml:space="preserve">"8.3.6. </w:t>
      </w:r>
      <w:r w:rsidRPr="00C9428D">
        <w:rPr>
          <w:lang w:val="en-US"/>
        </w:rPr>
        <w:tab/>
        <w:t>Any i-Size seating position shall allow the installation of the ISOFIX child restraint fixture "ISO/F2X", "ISO/R2", and the support leg installation assessment volume as defined in Appendix 2 of Annex 17, as well as the booster seat fixture "ISO/B2" as defined in Appendix 5 of Annex 17, without the ISOFIX attachments (see detail B). It shall be possible to occupy all adjacent i-Size seating positions simultaneously. This is deemed to be demonstrated when the vertical median planes of individual adjacent positions are at least 440 mm apart.</w:t>
      </w:r>
    </w:p>
    <w:p w:rsidR="006F4E45" w:rsidRPr="003C7FC4" w:rsidRDefault="006F4E45" w:rsidP="006F4E45">
      <w:pPr>
        <w:keepLines/>
        <w:spacing w:after="120"/>
        <w:ind w:left="2268" w:right="1134" w:hanging="1134"/>
        <w:jc w:val="both"/>
      </w:pPr>
      <w:r w:rsidRPr="008613F7">
        <w:tab/>
      </w:r>
      <w:r w:rsidRPr="008613F7">
        <w:rPr>
          <w:bCs/>
        </w:rPr>
        <w:t>…</w:t>
      </w:r>
      <w:r w:rsidRPr="008613F7">
        <w:t>"</w:t>
      </w:r>
    </w:p>
    <w:p w:rsidR="006F4E45" w:rsidRPr="00323FAB" w:rsidRDefault="006F4E45" w:rsidP="006F4E45">
      <w:pPr>
        <w:pStyle w:val="SingleTxtG"/>
        <w:rPr>
          <w:i/>
          <w:lang w:val="en-US"/>
        </w:rPr>
      </w:pPr>
      <w:r w:rsidRPr="00323FAB">
        <w:rPr>
          <w:i/>
          <w:lang w:val="en-US"/>
        </w:rPr>
        <w:t xml:space="preserve">Annex 17, </w:t>
      </w:r>
    </w:p>
    <w:p w:rsidR="006F4E45" w:rsidRPr="006252A4" w:rsidRDefault="006F4E45" w:rsidP="006F4E45">
      <w:pPr>
        <w:pStyle w:val="SingleTxtG"/>
        <w:rPr>
          <w:lang w:val="en-US"/>
        </w:rPr>
      </w:pPr>
      <w:r w:rsidRPr="00671518">
        <w:rPr>
          <w:i/>
          <w:iCs/>
          <w:lang w:val="en-US"/>
        </w:rPr>
        <w:t xml:space="preserve">Appendix 2, </w:t>
      </w:r>
      <w:r>
        <w:rPr>
          <w:i/>
          <w:iCs/>
          <w:lang w:val="en-US" w:eastAsia="en-GB"/>
        </w:rPr>
        <w:t>p</w:t>
      </w:r>
      <w:r w:rsidRPr="008613F7">
        <w:rPr>
          <w:i/>
          <w:iCs/>
          <w:lang w:val="en-US" w:eastAsia="en-GB"/>
        </w:rPr>
        <w:t>aragraph 3.1</w:t>
      </w:r>
      <w:r w:rsidRPr="006252A4">
        <w:rPr>
          <w:iCs/>
          <w:lang w:val="en-US" w:eastAsia="en-GB"/>
        </w:rPr>
        <w:t>.</w:t>
      </w:r>
      <w:r w:rsidRPr="006252A4">
        <w:rPr>
          <w:lang w:val="en-US" w:eastAsia="en-GB"/>
        </w:rPr>
        <w:t xml:space="preserve">, correct to read: </w:t>
      </w:r>
    </w:p>
    <w:p w:rsidR="006F4E45" w:rsidRDefault="006F4E45" w:rsidP="006F4E45">
      <w:pPr>
        <w:pStyle w:val="SingleTxtG"/>
        <w:ind w:left="2268" w:hanging="1134"/>
        <w:rPr>
          <w:lang w:val="en-US" w:eastAsia="en-GB"/>
        </w:rPr>
      </w:pPr>
      <w:r w:rsidRPr="006252A4">
        <w:rPr>
          <w:lang w:val="en-US" w:eastAsia="en-GB"/>
        </w:rPr>
        <w:t xml:space="preserve">"3.1. </w:t>
      </w:r>
      <w:r>
        <w:rPr>
          <w:lang w:val="en-US" w:eastAsia="en-GB"/>
        </w:rPr>
        <w:tab/>
      </w:r>
      <w:r w:rsidRPr="006252A4">
        <w:rPr>
          <w:lang w:val="en-US" w:eastAsia="en-GB"/>
        </w:rPr>
        <w:t xml:space="preserve">It has to be possible to accommodate the CRF(s), with or without i-Size support leg installation assessment volume, without interference with the vehicle interior. The CRF base shall have a pitch angle of 15° ± 10°, above the horizontal plane passing through the ISOFIX anchorages system. ISOFIX attachments, according to detail Y of figures 1 to </w:t>
      </w:r>
      <w:r w:rsidRPr="001A3E60">
        <w:rPr>
          <w:lang w:val="en-US" w:eastAsia="en-GB"/>
        </w:rPr>
        <w:t>8</w:t>
      </w:r>
      <w:r w:rsidRPr="008613F7">
        <w:rPr>
          <w:lang w:val="en-US" w:eastAsia="en-GB"/>
        </w:rPr>
        <w:t>,</w:t>
      </w:r>
      <w:r>
        <w:rPr>
          <w:lang w:val="en-US" w:eastAsia="en-GB"/>
        </w:rPr>
        <w:t>..."</w:t>
      </w:r>
    </w:p>
    <w:p w:rsidR="006F4E45" w:rsidRPr="00CA0EDF" w:rsidRDefault="006F4E45" w:rsidP="006F4E45">
      <w:pPr>
        <w:pStyle w:val="para"/>
        <w:rPr>
          <w:lang w:val="en-US"/>
        </w:rPr>
      </w:pPr>
      <w:r>
        <w:rPr>
          <w:rFonts w:eastAsia="Calibri"/>
          <w:i/>
          <w:lang w:val="hu-HU"/>
        </w:rPr>
        <w:t xml:space="preserve">Appendix 2, </w:t>
      </w:r>
      <w:r w:rsidR="00671518">
        <w:rPr>
          <w:rFonts w:eastAsia="Calibri"/>
          <w:i/>
          <w:lang w:val="hu-HU"/>
        </w:rPr>
        <w:t>p</w:t>
      </w:r>
      <w:r w:rsidRPr="0020286B">
        <w:rPr>
          <w:rFonts w:eastAsia="Calibri"/>
          <w:i/>
          <w:lang w:val="hu-HU"/>
        </w:rPr>
        <w:t>aragrah 3.3</w:t>
      </w:r>
      <w:r>
        <w:rPr>
          <w:rFonts w:eastAsia="Calibri"/>
          <w:lang w:val="hu-HU"/>
        </w:rPr>
        <w:t xml:space="preserve">., </w:t>
      </w:r>
      <w:r w:rsidR="00671518">
        <w:rPr>
          <w:rFonts w:eastAsia="Calibri"/>
          <w:lang w:val="hu-HU"/>
        </w:rPr>
        <w:t>correct</w:t>
      </w:r>
      <w:r>
        <w:rPr>
          <w:rFonts w:eastAsia="Calibri"/>
          <w:lang w:val="hu-HU"/>
        </w:rPr>
        <w:t xml:space="preserve"> to read:</w:t>
      </w:r>
    </w:p>
    <w:p w:rsidR="006F4E45" w:rsidRPr="00D116A2" w:rsidRDefault="006F4E45" w:rsidP="006F4E45">
      <w:pPr>
        <w:pStyle w:val="para"/>
        <w:rPr>
          <w:lang w:val="en-US"/>
        </w:rPr>
      </w:pPr>
      <w:r>
        <w:rPr>
          <w:lang w:val="en-US"/>
        </w:rPr>
        <w:t>"</w:t>
      </w:r>
      <w:r w:rsidRPr="006545BB">
        <w:rPr>
          <w:lang w:val="en-US"/>
        </w:rPr>
        <w:t>3.3</w:t>
      </w:r>
      <w:r>
        <w:rPr>
          <w:lang w:val="en-US"/>
        </w:rPr>
        <w:t>.</w:t>
      </w:r>
      <w:r w:rsidRPr="006545BB">
        <w:rPr>
          <w:lang w:val="en-US"/>
        </w:rPr>
        <w:t xml:space="preserve"> </w:t>
      </w:r>
      <w:r>
        <w:rPr>
          <w:lang w:val="en-US"/>
        </w:rPr>
        <w:tab/>
      </w:r>
      <w:r w:rsidRPr="00D116A2">
        <w:rPr>
          <w:lang w:val="en-US"/>
        </w:rPr>
        <w:t>Should the above requirements not be met …. These alternative positions shall be described in the vehicle handbook and with the additional information specified in Appendix 3 to this annex. …"</w:t>
      </w:r>
    </w:p>
    <w:p w:rsidR="006F4E45" w:rsidRPr="00671518" w:rsidRDefault="006F4E45" w:rsidP="006F4E45">
      <w:pPr>
        <w:pStyle w:val="SingleTxtG"/>
        <w:rPr>
          <w:iCs/>
          <w:lang w:val="en-US" w:eastAsia="en-GB"/>
        </w:rPr>
      </w:pPr>
    </w:p>
    <w:p w:rsidR="006F4E45" w:rsidRDefault="006F4E45" w:rsidP="006F4E45">
      <w:pPr>
        <w:suppressAutoHyphens w:val="0"/>
        <w:spacing w:line="240" w:lineRule="auto"/>
        <w:rPr>
          <w:i/>
          <w:lang w:val="en-US"/>
        </w:rPr>
      </w:pPr>
      <w:r>
        <w:rPr>
          <w:i/>
          <w:lang w:val="en-US"/>
        </w:rPr>
        <w:br w:type="page"/>
      </w:r>
    </w:p>
    <w:p w:rsidR="006F4E45" w:rsidRDefault="006F4E45" w:rsidP="006F4E45">
      <w:pPr>
        <w:pStyle w:val="SingleTxtG"/>
        <w:rPr>
          <w:lang w:val="en-US"/>
        </w:rPr>
      </w:pPr>
      <w:bookmarkStart w:id="0" w:name="_GoBack"/>
      <w:bookmarkEnd w:id="0"/>
      <w:r w:rsidRPr="00D81DC3">
        <w:rPr>
          <w:i/>
          <w:lang w:val="en-US"/>
        </w:rPr>
        <w:lastRenderedPageBreak/>
        <w:t>Appendix 3</w:t>
      </w:r>
      <w:r>
        <w:rPr>
          <w:lang w:val="en-US"/>
        </w:rPr>
        <w:t xml:space="preserve">, </w:t>
      </w:r>
      <w:r w:rsidRPr="00D81DC3">
        <w:rPr>
          <w:i/>
          <w:lang w:val="en-US"/>
        </w:rPr>
        <w:t>Table 1</w:t>
      </w:r>
      <w:r>
        <w:rPr>
          <w:lang w:val="en-US"/>
        </w:rPr>
        <w:t>, correct to read:</w:t>
      </w:r>
    </w:p>
    <w:p w:rsidR="006F4E45" w:rsidRDefault="006F4E45" w:rsidP="006F4E45">
      <w:pPr>
        <w:pStyle w:val="Heading1"/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71518">
        <w:rPr>
          <w:lang w:val="en-US"/>
        </w:rPr>
        <w:t>"</w:t>
      </w:r>
      <w:r>
        <w:rPr>
          <w:lang w:val="en-US"/>
        </w:rPr>
        <w:t>Table 1</w:t>
      </w:r>
    </w:p>
    <w:p w:rsidR="006F4E45" w:rsidRPr="00780CA3" w:rsidRDefault="006F4E45" w:rsidP="006F4E45">
      <w:pPr>
        <w:pStyle w:val="SingleTxtG"/>
        <w:rPr>
          <w:b/>
        </w:rPr>
      </w:pPr>
      <w:r>
        <w:rPr>
          <w:b/>
        </w:rPr>
        <w:t xml:space="preserve">This table gives technical information specifically intended e.g. for </w:t>
      </w:r>
      <w:r w:rsidRPr="001462EC">
        <w:rPr>
          <w:b/>
        </w:rPr>
        <w:t>child restraint system manufacturer and as such translation into national lang</w:t>
      </w:r>
      <w:r>
        <w:rPr>
          <w:b/>
        </w:rPr>
        <w:t>uages is not required.</w:t>
      </w:r>
    </w:p>
    <w:tbl>
      <w:tblPr>
        <w:tblW w:w="811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67"/>
        <w:gridCol w:w="567"/>
        <w:gridCol w:w="567"/>
        <w:gridCol w:w="567"/>
        <w:gridCol w:w="567"/>
        <w:gridCol w:w="567"/>
        <w:gridCol w:w="567"/>
        <w:gridCol w:w="567"/>
        <w:gridCol w:w="635"/>
      </w:tblGrid>
      <w:tr w:rsidR="006F4E45" w:rsidRPr="007E4F8E" w:rsidTr="00CA0EDF">
        <w:trPr>
          <w:cantSplit/>
          <w:trHeight w:val="338"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4E45" w:rsidRPr="003F4BA3" w:rsidRDefault="006F4E45" w:rsidP="00CA0EDF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24"/>
                <w:lang w:val="en-US" w:eastAsia="de-DE"/>
              </w:rPr>
            </w:pPr>
            <w:r w:rsidRPr="003F4BA3">
              <w:rPr>
                <w:i/>
                <w:sz w:val="16"/>
                <w:szCs w:val="24"/>
                <w:lang w:val="en-US" w:eastAsia="de-DE"/>
              </w:rPr>
              <w:t> </w:t>
            </w: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</w:tcPr>
          <w:p w:rsidR="006F4E45" w:rsidRPr="007E4F8E" w:rsidRDefault="006F4E45" w:rsidP="00CA0EDF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24"/>
                <w:lang w:eastAsia="de-DE"/>
              </w:rPr>
            </w:pPr>
            <w:r w:rsidRPr="007E4F8E">
              <w:rPr>
                <w:i/>
                <w:sz w:val="16"/>
                <w:szCs w:val="24"/>
                <w:lang w:eastAsia="de-DE"/>
              </w:rPr>
              <w:t>Seating position</w:t>
            </w:r>
          </w:p>
        </w:tc>
      </w:tr>
      <w:tr w:rsidR="006F4E45" w:rsidRPr="007E4F8E" w:rsidTr="00CA0EDF">
        <w:trPr>
          <w:trHeight w:val="393"/>
        </w:trPr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4E45" w:rsidRPr="007E4F8E" w:rsidRDefault="006F4E45" w:rsidP="00CA0EDF">
            <w:pPr>
              <w:suppressAutoHyphens w:val="0"/>
              <w:spacing w:before="40" w:after="120" w:line="220" w:lineRule="exact"/>
              <w:ind w:left="57" w:right="-175"/>
              <w:rPr>
                <w:szCs w:val="24"/>
                <w:lang w:eastAsia="de-DE"/>
              </w:rPr>
            </w:pPr>
            <w:r w:rsidRPr="007E4F8E">
              <w:rPr>
                <w:szCs w:val="24"/>
                <w:lang w:eastAsia="de-DE"/>
              </w:rPr>
              <w:t>Seat position number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F4E45" w:rsidRPr="007E4F8E" w:rsidRDefault="006F4E45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4E45" w:rsidRPr="007E4F8E" w:rsidRDefault="006F4E45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4E45" w:rsidRPr="007E4F8E" w:rsidRDefault="006F4E45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4E45" w:rsidRPr="007E4F8E" w:rsidRDefault="006F4E45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4E45" w:rsidRPr="007E4F8E" w:rsidRDefault="006F4E45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4E45" w:rsidRPr="007E4F8E" w:rsidRDefault="006F4E45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4E45" w:rsidRPr="007E4F8E" w:rsidRDefault="006F4E45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4E45" w:rsidRPr="007E4F8E" w:rsidRDefault="006F4E45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4E45" w:rsidRPr="007E4F8E" w:rsidRDefault="006F4E45" w:rsidP="00CA0EDF">
            <w:pPr>
              <w:suppressAutoHyphens w:val="0"/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9</w:t>
            </w:r>
          </w:p>
        </w:tc>
      </w:tr>
      <w:tr w:rsidR="006F4E45" w:rsidRPr="00D90217" w:rsidTr="00CA0EDF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Seating position suitable for universal belted (yes/ no)</w:t>
            </w:r>
          </w:p>
        </w:tc>
        <w:tc>
          <w:tcPr>
            <w:tcW w:w="567" w:type="dxa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6F4E45" w:rsidRPr="00D90217" w:rsidTr="00CA0EDF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i-Size seating position (yes/ no)</w:t>
            </w:r>
          </w:p>
        </w:tc>
        <w:tc>
          <w:tcPr>
            <w:tcW w:w="567" w:type="dxa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6F4E45" w:rsidRPr="00D90217" w:rsidTr="00CA0EDF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Seating position suitable for lateral fixture (L1/ L2)</w:t>
            </w:r>
          </w:p>
        </w:tc>
        <w:tc>
          <w:tcPr>
            <w:tcW w:w="567" w:type="dxa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6F4E45" w:rsidRPr="00D90217" w:rsidTr="00CA0EDF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3F4BA3">
              <w:rPr>
                <w:szCs w:val="24"/>
                <w:lang w:val="en-US" w:eastAsia="de-DE"/>
              </w:rPr>
              <w:t>Largest suitable rearward facing fixture (R1/ R2X/ R2/</w:t>
            </w:r>
            <w:r w:rsidRPr="003F4BA3" w:rsidDel="00A308BA">
              <w:rPr>
                <w:szCs w:val="24"/>
                <w:lang w:val="en-US" w:eastAsia="de-DE"/>
              </w:rPr>
              <w:t xml:space="preserve"> </w:t>
            </w:r>
            <w:r w:rsidRPr="003F4BA3">
              <w:rPr>
                <w:szCs w:val="24"/>
                <w:lang w:val="en-US" w:eastAsia="de-DE"/>
              </w:rPr>
              <w:t>R3)</w:t>
            </w:r>
          </w:p>
        </w:tc>
        <w:tc>
          <w:tcPr>
            <w:tcW w:w="567" w:type="dxa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6F4E45" w:rsidRPr="003F4BA3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6F4E45" w:rsidRPr="0025149A" w:rsidTr="00CA0EDF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val="en-US" w:eastAsia="de-DE"/>
              </w:rPr>
            </w:pPr>
            <w:r w:rsidRPr="0025149A">
              <w:rPr>
                <w:szCs w:val="24"/>
                <w:lang w:val="en-US" w:eastAsia="de-DE"/>
              </w:rPr>
              <w:t>Largest suitable forward facing fixture (F2X /F2/</w:t>
            </w:r>
            <w:r w:rsidRPr="0025149A" w:rsidDel="00A308BA">
              <w:rPr>
                <w:szCs w:val="24"/>
                <w:lang w:val="en-US" w:eastAsia="de-DE"/>
              </w:rPr>
              <w:t xml:space="preserve"> </w:t>
            </w:r>
            <w:r w:rsidRPr="0025149A">
              <w:rPr>
                <w:szCs w:val="24"/>
                <w:lang w:val="en-US" w:eastAsia="de-DE"/>
              </w:rPr>
              <w:t>F3)</w:t>
            </w:r>
          </w:p>
        </w:tc>
        <w:tc>
          <w:tcPr>
            <w:tcW w:w="567" w:type="dxa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val="en-US" w:eastAsia="de-DE"/>
              </w:rPr>
            </w:pPr>
          </w:p>
        </w:tc>
      </w:tr>
      <w:tr w:rsidR="006F4E45" w:rsidRPr="0025149A" w:rsidTr="00CA0EDF">
        <w:trPr>
          <w:cantSplit/>
          <w:trHeight w:val="338"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25149A">
              <w:rPr>
                <w:szCs w:val="24"/>
                <w:lang w:eastAsia="de-DE"/>
              </w:rPr>
              <w:t>Largest suitable booster fixture (B2/B3)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6F4E45" w:rsidRPr="0025149A" w:rsidRDefault="006F4E45" w:rsidP="00CA0EDF">
            <w:pPr>
              <w:suppressAutoHyphens w:val="0"/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</w:tbl>
    <w:p w:rsidR="006F4E45" w:rsidRPr="0025149A" w:rsidRDefault="006F4E45" w:rsidP="00671518">
      <w:pPr>
        <w:pStyle w:val="SingleTxtG"/>
        <w:ind w:left="1560" w:hanging="426"/>
        <w:jc w:val="right"/>
        <w:rPr>
          <w:bCs/>
          <w:sz w:val="24"/>
          <w:lang w:val="en-US"/>
        </w:rPr>
      </w:pPr>
      <w:r w:rsidRPr="0025149A">
        <w:rPr>
          <w:bCs/>
          <w:sz w:val="24"/>
          <w:lang w:val="en-US"/>
        </w:rPr>
        <w:t>"</w:t>
      </w:r>
    </w:p>
    <w:p w:rsidR="006F4E45" w:rsidRPr="0025149A" w:rsidRDefault="006F4E45" w:rsidP="006F4E45">
      <w:pPr>
        <w:pStyle w:val="SingleTxtG"/>
        <w:rPr>
          <w:lang w:val="en-US"/>
        </w:rPr>
      </w:pPr>
      <w:r w:rsidRPr="00AD75FD">
        <w:rPr>
          <w:i/>
          <w:lang w:val="en-US"/>
        </w:rPr>
        <w:t>Appendix 5</w:t>
      </w:r>
      <w:r w:rsidRPr="00671518">
        <w:rPr>
          <w:bCs/>
          <w:lang w:val="en-US"/>
        </w:rPr>
        <w:t>,</w:t>
      </w:r>
      <w:r w:rsidRPr="0025149A">
        <w:rPr>
          <w:lang w:val="en-US"/>
        </w:rPr>
        <w:t xml:space="preserve"> </w:t>
      </w:r>
      <w:r w:rsidRPr="0025149A">
        <w:rPr>
          <w:i/>
          <w:lang w:val="en-US"/>
        </w:rPr>
        <w:t>the title</w:t>
      </w:r>
      <w:r w:rsidRPr="0025149A">
        <w:rPr>
          <w:lang w:val="en-US"/>
        </w:rPr>
        <w:t>, correct to read:</w:t>
      </w:r>
    </w:p>
    <w:p w:rsidR="006F4E45" w:rsidRPr="0025149A" w:rsidRDefault="006F4E45" w:rsidP="006F4E45">
      <w:pPr>
        <w:pStyle w:val="HChG"/>
      </w:pPr>
      <w:r w:rsidRPr="0025149A">
        <w:rPr>
          <w:b w:val="0"/>
        </w:rPr>
        <w:tab/>
        <w:t>"</w:t>
      </w:r>
      <w:r w:rsidRPr="0025149A">
        <w:t>Annex 17 – Appendix 5</w:t>
      </w:r>
    </w:p>
    <w:p w:rsidR="006F4E45" w:rsidRDefault="006F4E45" w:rsidP="006F4E45">
      <w:pPr>
        <w:pStyle w:val="HChG"/>
        <w:rPr>
          <w:b w:val="0"/>
          <w:lang w:val="en-US"/>
        </w:rPr>
      </w:pPr>
      <w:r w:rsidRPr="0025149A">
        <w:rPr>
          <w:lang w:val="en-US"/>
        </w:rPr>
        <w:tab/>
      </w:r>
      <w:r w:rsidRPr="0025149A">
        <w:rPr>
          <w:lang w:val="en-US"/>
        </w:rPr>
        <w:tab/>
        <w:t xml:space="preserve">Provisions concerning the installation of forward-facing booster </w:t>
      </w:r>
      <w:r w:rsidR="001A3E60">
        <w:rPr>
          <w:lang w:val="en-US"/>
        </w:rPr>
        <w:t>seat child restraint systems of</w:t>
      </w:r>
      <w:r w:rsidRPr="0025149A">
        <w:rPr>
          <w:lang w:val="en-US"/>
        </w:rPr>
        <w:t xml:space="preserve"> i-Size and specific categories installed on vehicle seating positions or i-Size seating positions</w:t>
      </w:r>
      <w:r w:rsidRPr="0025149A">
        <w:rPr>
          <w:b w:val="0"/>
          <w:lang w:val="en-US"/>
        </w:rPr>
        <w:t>"</w:t>
      </w:r>
    </w:p>
    <w:p w:rsidR="006F4E45" w:rsidRDefault="006F4E45" w:rsidP="006F4E45">
      <w:pPr>
        <w:pStyle w:val="SingleTxtG"/>
        <w:rPr>
          <w:b/>
          <w:sz w:val="22"/>
        </w:rPr>
      </w:pPr>
      <w:r w:rsidRPr="00323FAB">
        <w:rPr>
          <w:i/>
          <w:lang w:val="en-US"/>
        </w:rPr>
        <w:t>Appendix 5</w:t>
      </w:r>
      <w:r w:rsidRPr="00323FAB">
        <w:rPr>
          <w:b/>
          <w:i/>
          <w:lang w:val="en-US"/>
        </w:rPr>
        <w:t>,</w:t>
      </w:r>
      <w:r w:rsidRPr="00323FAB">
        <w:rPr>
          <w:i/>
          <w:lang w:val="en-US"/>
        </w:rPr>
        <w:t xml:space="preserve"> paragraph 4</w:t>
      </w:r>
      <w:r w:rsidR="008121BC">
        <w:rPr>
          <w:i/>
          <w:lang w:val="en-US"/>
        </w:rPr>
        <w:t>.</w:t>
      </w:r>
      <w:r w:rsidRPr="0025149A">
        <w:rPr>
          <w:lang w:val="en-US"/>
        </w:rPr>
        <w:t>, correct to read:</w:t>
      </w:r>
    </w:p>
    <w:p w:rsidR="006F4E45" w:rsidRPr="006252A4" w:rsidRDefault="006F4E45" w:rsidP="006F4E45">
      <w:pPr>
        <w:pStyle w:val="SingleTxtG"/>
        <w:rPr>
          <w:b/>
        </w:rPr>
      </w:pPr>
      <w:r>
        <w:t>"</w:t>
      </w:r>
      <w:r w:rsidRPr="006252A4">
        <w:t xml:space="preserve">4. </w:t>
      </w:r>
      <w:r>
        <w:tab/>
      </w:r>
      <w:r w:rsidRPr="006252A4">
        <w:t xml:space="preserve">Booster seat child restraint system fixtures: </w:t>
      </w:r>
    </w:p>
    <w:p w:rsidR="006F4E45" w:rsidRPr="006252A4" w:rsidRDefault="006F4E45" w:rsidP="006F4E45">
      <w:pPr>
        <w:pStyle w:val="SingleTxtG"/>
        <w:rPr>
          <w:lang w:val="en-US" w:eastAsia="en-GB"/>
        </w:rPr>
      </w:pPr>
      <w:r>
        <w:rPr>
          <w:lang w:val="en-US" w:eastAsia="en-GB"/>
        </w:rPr>
        <w:t>…</w:t>
      </w:r>
    </w:p>
    <w:p w:rsidR="006F4E45" w:rsidRDefault="006F4E45" w:rsidP="006F4E45">
      <w:pPr>
        <w:pStyle w:val="SingleTxtG"/>
        <w:rPr>
          <w:lang w:val="en-US" w:eastAsia="en-GB"/>
        </w:rPr>
      </w:pPr>
      <w:r w:rsidRPr="006252A4">
        <w:rPr>
          <w:lang w:val="en-US" w:eastAsia="en-GB"/>
        </w:rPr>
        <w:t xml:space="preserve">The fixtures above shall be constructed with a mass of 7 kg </w:t>
      </w:r>
      <w:r w:rsidRPr="001A3E60">
        <w:rPr>
          <w:b/>
          <w:lang w:val="en-US" w:eastAsia="en-GB"/>
        </w:rPr>
        <w:t>+</w:t>
      </w:r>
      <w:r w:rsidR="001A3E60">
        <w:rPr>
          <w:b/>
          <w:lang w:val="en-US" w:eastAsia="en-GB"/>
        </w:rPr>
        <w:t>/</w:t>
      </w:r>
      <w:r w:rsidRPr="001A3E60">
        <w:rPr>
          <w:b/>
          <w:lang w:val="en-US" w:eastAsia="en-GB"/>
        </w:rPr>
        <w:t xml:space="preserve">- </w:t>
      </w:r>
      <w:r w:rsidRPr="001A3E60">
        <w:rPr>
          <w:lang w:val="en-US" w:eastAsia="en-GB"/>
        </w:rPr>
        <w:t>1</w:t>
      </w:r>
      <w:r w:rsidRPr="006252A4">
        <w:rPr>
          <w:lang w:val="en-US" w:eastAsia="en-GB"/>
        </w:rPr>
        <w:t xml:space="preserve"> kg and shall be of suitable durability and stiffness to satisfy the functional requirements.</w:t>
      </w:r>
      <w:r>
        <w:rPr>
          <w:lang w:val="en-US" w:eastAsia="en-GB"/>
        </w:rPr>
        <w:t>"</w:t>
      </w:r>
    </w:p>
    <w:p w:rsidR="006F4E45" w:rsidRDefault="006F4E45" w:rsidP="006F4E45">
      <w:pPr>
        <w:suppressAutoHyphens w:val="0"/>
        <w:spacing w:line="240" w:lineRule="auto"/>
        <w:rPr>
          <w:color w:val="000000"/>
          <w:lang w:val="en-US" w:eastAsia="en-GB"/>
        </w:rPr>
      </w:pPr>
      <w:r>
        <w:rPr>
          <w:color w:val="000000"/>
          <w:lang w:val="en-US" w:eastAsia="en-GB"/>
        </w:rPr>
        <w:br w:type="page"/>
      </w:r>
    </w:p>
    <w:p w:rsidR="006F4E45" w:rsidRDefault="006F4E45" w:rsidP="006F4E45">
      <w:pPr>
        <w:pStyle w:val="SingleTxtG"/>
        <w:rPr>
          <w:lang w:val="en-US" w:eastAsia="en-GB"/>
        </w:rPr>
      </w:pPr>
      <w:r w:rsidRPr="0024167C">
        <w:rPr>
          <w:i/>
          <w:lang w:val="en-US" w:eastAsia="en-GB"/>
        </w:rPr>
        <w:lastRenderedPageBreak/>
        <w:t>Appendix 5, figure 2 ISO B2,</w:t>
      </w:r>
      <w:r>
        <w:rPr>
          <w:lang w:val="en-US" w:eastAsia="en-GB"/>
        </w:rPr>
        <w:t xml:space="preserve"> </w:t>
      </w:r>
      <w:r w:rsidRPr="00323FAB">
        <w:rPr>
          <w:lang w:val="en-US" w:eastAsia="en-GB"/>
        </w:rPr>
        <w:t>to be replaced as follows:</w:t>
      </w:r>
    </w:p>
    <w:p w:rsidR="006F4E45" w:rsidRDefault="006F4E45" w:rsidP="006F4E45">
      <w:pPr>
        <w:pStyle w:val="SingleTxtG"/>
        <w:rPr>
          <w:lang w:val="en-US" w:eastAsia="en-GB"/>
        </w:rPr>
      </w:pPr>
      <w:r>
        <w:rPr>
          <w:lang w:val="en-US" w:eastAsia="en-GB"/>
        </w:rPr>
        <w:t>"Figure 2</w:t>
      </w:r>
    </w:p>
    <w:p w:rsidR="006F4E45" w:rsidRPr="00B7534F" w:rsidRDefault="006F4E45" w:rsidP="006F4E45">
      <w:pPr>
        <w:pStyle w:val="SingleTxtG"/>
        <w:rPr>
          <w:lang w:val="en-US" w:eastAsia="en-GB"/>
        </w:rPr>
      </w:pPr>
      <w:r>
        <w:rPr>
          <w:lang w:val="en-US" w:eastAsia="en-GB"/>
        </w:rPr>
        <w:t>…</w:t>
      </w:r>
    </w:p>
    <w:p w:rsidR="00254BC3" w:rsidRDefault="00FF21E3" w:rsidP="00EA48F9">
      <w:pPr>
        <w:jc w:val="center"/>
        <w:rPr>
          <w:lang w:val="en-US"/>
        </w:rPr>
      </w:pPr>
      <w:r>
        <w:rPr>
          <w:noProof/>
          <w:lang w:eastAsia="zh-CN"/>
        </w:rPr>
        <w:drawing>
          <wp:inline distT="0" distB="0" distL="0" distR="0">
            <wp:extent cx="4789058" cy="6781191"/>
            <wp:effectExtent l="0" t="0" r="0" b="635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74" cy="680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C3" w:rsidRDefault="00254BC3" w:rsidP="006F4E45">
      <w:pPr>
        <w:rPr>
          <w:lang w:val="en-US"/>
        </w:rPr>
      </w:pPr>
    </w:p>
    <w:p w:rsidR="006F4E45" w:rsidRDefault="006F4E45" w:rsidP="006F4E45">
      <w:pPr>
        <w:ind w:left="1134"/>
        <w:rPr>
          <w:lang w:val="en-US"/>
        </w:rPr>
      </w:pPr>
    </w:p>
    <w:p w:rsidR="006F4E45" w:rsidRPr="006F4E45" w:rsidRDefault="006F4E45" w:rsidP="006F4E45">
      <w:pPr>
        <w:pStyle w:val="para"/>
        <w:keepNext/>
        <w:keepLines/>
        <w:jc w:val="right"/>
        <w:rPr>
          <w:sz w:val="18"/>
          <w:szCs w:val="18"/>
        </w:rPr>
      </w:pPr>
      <w:r>
        <w:rPr>
          <w:sz w:val="18"/>
          <w:szCs w:val="18"/>
        </w:rPr>
        <w:t>(all dimensions in millimetres)</w:t>
      </w:r>
    </w:p>
    <w:p w:rsidR="006F4E45" w:rsidRDefault="006F4E45" w:rsidP="00671518">
      <w:pPr>
        <w:suppressAutoHyphens w:val="0"/>
        <w:spacing w:line="240" w:lineRule="auto"/>
        <w:ind w:right="1134"/>
        <w:jc w:val="right"/>
        <w:rPr>
          <w:lang w:val="en-US"/>
        </w:rPr>
      </w:pPr>
      <w:r>
        <w:rPr>
          <w:lang w:val="en-US"/>
        </w:rPr>
        <w:t>"</w:t>
      </w:r>
    </w:p>
    <w:p w:rsidR="006F4E45" w:rsidRDefault="006F4E45" w:rsidP="006F4E45">
      <w:pPr>
        <w:pStyle w:val="SingleTxtG"/>
        <w:rPr>
          <w:color w:val="000000"/>
          <w:lang w:val="en-US" w:eastAsia="en-GB"/>
        </w:rPr>
      </w:pPr>
      <w:r w:rsidRPr="0024167C">
        <w:rPr>
          <w:i/>
        </w:rPr>
        <w:lastRenderedPageBreak/>
        <w:t xml:space="preserve">Appendix 5, Figure 3 </w:t>
      </w:r>
      <w:r w:rsidRPr="0024167C">
        <w:rPr>
          <w:bCs/>
          <w:i/>
        </w:rPr>
        <w:t>ISO/B3</w:t>
      </w:r>
      <w:r w:rsidRPr="0024167C">
        <w:rPr>
          <w:bCs/>
        </w:rPr>
        <w:t>,</w:t>
      </w:r>
      <w:r>
        <w:rPr>
          <w:lang w:val="en-US"/>
        </w:rPr>
        <w:t xml:space="preserve"> </w:t>
      </w:r>
      <w:r w:rsidRPr="0024167C">
        <w:rPr>
          <w:color w:val="000000"/>
          <w:lang w:val="en-US" w:eastAsia="en-GB"/>
        </w:rPr>
        <w:t>to be replaced as follows:</w:t>
      </w:r>
    </w:p>
    <w:p w:rsidR="006F4E45" w:rsidRDefault="006F4E45" w:rsidP="006F4E45">
      <w:pPr>
        <w:pStyle w:val="SingleTxtG"/>
        <w:rPr>
          <w:lang w:val="en-US"/>
        </w:rPr>
      </w:pPr>
      <w:r>
        <w:rPr>
          <w:lang w:val="en-US"/>
        </w:rPr>
        <w:t>"Figure 3</w:t>
      </w:r>
    </w:p>
    <w:p w:rsidR="006F4E45" w:rsidRPr="0024167C" w:rsidRDefault="006F4E45" w:rsidP="006F4E45">
      <w:pPr>
        <w:pStyle w:val="SingleTxtG"/>
        <w:rPr>
          <w:lang w:val="en-US"/>
        </w:rPr>
      </w:pPr>
      <w:r>
        <w:rPr>
          <w:lang w:val="en-US"/>
        </w:rPr>
        <w:t>…</w:t>
      </w:r>
    </w:p>
    <w:p w:rsidR="00D60FAB" w:rsidRDefault="00D60FAB" w:rsidP="00EA48F9">
      <w:pPr>
        <w:jc w:val="center"/>
      </w:pPr>
      <w:r>
        <w:object w:dxaOrig="17880" w:dyaOrig="25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539.25pt" o:ole="">
            <v:imagedata r:id="rId10" o:title=""/>
          </v:shape>
          <o:OLEObject Type="Embed" ProgID="Acrobat.Document.DC" ShapeID="_x0000_i1025" DrawAspect="Content" ObjectID="_1584887900" r:id="rId11"/>
        </w:object>
      </w:r>
    </w:p>
    <w:p w:rsidR="006F4E45" w:rsidRDefault="00D60FAB" w:rsidP="00671518">
      <w:pPr>
        <w:ind w:right="1134"/>
        <w:jc w:val="right"/>
        <w:rPr>
          <w:b/>
          <w:snapToGrid w:val="0"/>
          <w:sz w:val="28"/>
          <w:lang w:eastAsia="ja-JP"/>
        </w:rPr>
      </w:pPr>
      <w:r>
        <w:rPr>
          <w:sz w:val="18"/>
          <w:szCs w:val="18"/>
        </w:rPr>
        <w:t xml:space="preserve"> (all dimensions in millimetres)</w:t>
      </w:r>
    </w:p>
    <w:p w:rsidR="00BE1198" w:rsidRPr="00254BC3" w:rsidRDefault="006F4E45" w:rsidP="00671518">
      <w:pPr>
        <w:pStyle w:val="SingleTxtG"/>
        <w:jc w:val="right"/>
        <w:rPr>
          <w:snapToGrid w:val="0"/>
          <w:lang w:eastAsia="ja-JP"/>
        </w:rPr>
      </w:pPr>
      <w:r>
        <w:rPr>
          <w:snapToGrid w:val="0"/>
          <w:lang w:eastAsia="ja-JP"/>
        </w:rPr>
        <w:t>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5B73BF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8A15B7">
      <w:rPr>
        <w:b/>
        <w:noProof/>
        <w:sz w:val="18"/>
      </w:rPr>
      <w:t>4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8A15B7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 w:rsidRPr="00EA48F9">
        <w:rPr>
          <w:rStyle w:val="FootnoteReference"/>
          <w:sz w:val="20"/>
          <w:vertAlign w:val="baseline"/>
        </w:rPr>
        <w:t>*</w:t>
      </w:r>
      <w:r>
        <w:tab/>
      </w:r>
      <w:r w:rsidR="005A1374" w:rsidRPr="006636B2">
        <w:rPr>
          <w:szCs w:val="18"/>
          <w:lang w:val="en-US"/>
        </w:rPr>
        <w:t xml:space="preserve">In accordance with the programme of work of the Inland Transport Committee for </w:t>
      </w:r>
      <w:r w:rsidR="005A1374" w:rsidRPr="00F3322A">
        <w:rPr>
          <w:szCs w:val="18"/>
          <w:lang w:val="en-US"/>
        </w:rPr>
        <w:t>201</w:t>
      </w:r>
      <w:r w:rsidR="005A1374">
        <w:rPr>
          <w:szCs w:val="18"/>
          <w:lang w:val="en-US"/>
        </w:rPr>
        <w:t>8</w:t>
      </w:r>
      <w:r w:rsidR="005A1374" w:rsidRPr="00F3322A">
        <w:rPr>
          <w:szCs w:val="18"/>
          <w:lang w:val="en-US"/>
        </w:rPr>
        <w:t>–201</w:t>
      </w:r>
      <w:r w:rsidR="005A1374">
        <w:rPr>
          <w:szCs w:val="18"/>
          <w:lang w:val="en-US"/>
        </w:rPr>
        <w:t>9</w:t>
      </w:r>
      <w:r w:rsidR="005A1374" w:rsidRPr="00F3322A">
        <w:rPr>
          <w:szCs w:val="18"/>
          <w:lang w:val="en-US"/>
        </w:rPr>
        <w:t xml:space="preserve"> (ECE/TRANS/2</w:t>
      </w:r>
      <w:r w:rsidR="005A1374">
        <w:rPr>
          <w:szCs w:val="18"/>
          <w:lang w:val="en-US"/>
        </w:rPr>
        <w:t>7</w:t>
      </w:r>
      <w:r w:rsidR="005A1374" w:rsidRPr="00F3322A">
        <w:rPr>
          <w:szCs w:val="18"/>
          <w:lang w:val="en-US"/>
        </w:rPr>
        <w:t xml:space="preserve">4, para. </w:t>
      </w:r>
      <w:r w:rsidR="005A1374">
        <w:rPr>
          <w:szCs w:val="18"/>
          <w:lang w:val="en-US"/>
        </w:rPr>
        <w:t>123</w:t>
      </w:r>
      <w:r w:rsidR="005A1374" w:rsidRPr="00F3322A">
        <w:rPr>
          <w:szCs w:val="18"/>
          <w:lang w:val="en-US"/>
        </w:rPr>
        <w:t xml:space="preserve"> and ECE/TRANS/201</w:t>
      </w:r>
      <w:r w:rsidR="005A1374">
        <w:rPr>
          <w:szCs w:val="18"/>
          <w:lang w:val="en-US"/>
        </w:rPr>
        <w:t>8</w:t>
      </w:r>
      <w:r w:rsidR="005A1374" w:rsidRPr="00F3322A">
        <w:rPr>
          <w:szCs w:val="18"/>
          <w:lang w:val="en-US"/>
        </w:rPr>
        <w:t>/2</w:t>
      </w:r>
      <w:r w:rsidR="005A1374">
        <w:rPr>
          <w:szCs w:val="18"/>
          <w:lang w:val="en-US"/>
        </w:rPr>
        <w:t>1</w:t>
      </w:r>
      <w:r w:rsidR="008121BC">
        <w:rPr>
          <w:szCs w:val="18"/>
          <w:lang w:val="en-US"/>
        </w:rPr>
        <w:t>/</w:t>
      </w:r>
      <w:r w:rsidR="005A1374" w:rsidRPr="00F3322A">
        <w:rPr>
          <w:szCs w:val="18"/>
          <w:lang w:val="en-US"/>
        </w:rPr>
        <w:t>Add.1, cluster 3.1),</w:t>
      </w:r>
      <w:r w:rsidR="005A1374" w:rsidRPr="006636B2">
        <w:rPr>
          <w:szCs w:val="18"/>
          <w:lang w:val="en-US"/>
        </w:rPr>
        <w:t xml:space="preserve"> the World Forum will develop, harmonize and update </w:t>
      </w:r>
      <w:r w:rsidR="005A1374" w:rsidRPr="00F3322A">
        <w:rPr>
          <w:szCs w:val="18"/>
          <w:lang w:val="en-US"/>
        </w:rPr>
        <w:t>UN</w:t>
      </w:r>
      <w:r w:rsidR="005A1374">
        <w:rPr>
          <w:szCs w:val="18"/>
          <w:lang w:val="en-US"/>
        </w:rPr>
        <w:t xml:space="preserve"> R</w:t>
      </w:r>
      <w:r w:rsidR="005A1374" w:rsidRPr="006636B2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1E5D47">
    <w:pPr>
      <w:pStyle w:val="Header"/>
    </w:pPr>
    <w:r>
      <w:t>ECE/TRANS/WP.29/2018/</w:t>
    </w:r>
    <w:r w:rsidR="006F4E45">
      <w:t>64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884526" w:rsidP="005B73BF">
    <w:pPr>
      <w:pStyle w:val="Header"/>
      <w:jc w:val="right"/>
    </w:pPr>
    <w:r>
      <w:t>ECE/TRANS/WP.29/2018/</w:t>
    </w:r>
    <w:r w:rsidR="00117AE4">
      <w:t>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F"/>
    <w:rsid w:val="00026927"/>
    <w:rsid w:val="00045C8F"/>
    <w:rsid w:val="00046B1F"/>
    <w:rsid w:val="00046F27"/>
    <w:rsid w:val="00050F6B"/>
    <w:rsid w:val="00052635"/>
    <w:rsid w:val="00057E97"/>
    <w:rsid w:val="000646F4"/>
    <w:rsid w:val="00072C8C"/>
    <w:rsid w:val="000733B5"/>
    <w:rsid w:val="000779C9"/>
    <w:rsid w:val="00081815"/>
    <w:rsid w:val="000931C0"/>
    <w:rsid w:val="000B0595"/>
    <w:rsid w:val="000B0ABE"/>
    <w:rsid w:val="000B175B"/>
    <w:rsid w:val="000B2F02"/>
    <w:rsid w:val="000B3A0F"/>
    <w:rsid w:val="000B4EF7"/>
    <w:rsid w:val="000C2C03"/>
    <w:rsid w:val="000C2D2E"/>
    <w:rsid w:val="000E0415"/>
    <w:rsid w:val="001103AA"/>
    <w:rsid w:val="001145DC"/>
    <w:rsid w:val="0011666B"/>
    <w:rsid w:val="00117AE4"/>
    <w:rsid w:val="00165F3A"/>
    <w:rsid w:val="00182290"/>
    <w:rsid w:val="001A3955"/>
    <w:rsid w:val="001A3E60"/>
    <w:rsid w:val="001A4056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24213"/>
    <w:rsid w:val="0024772E"/>
    <w:rsid w:val="00254BC3"/>
    <w:rsid w:val="00267F5F"/>
    <w:rsid w:val="00273ACA"/>
    <w:rsid w:val="00286B4D"/>
    <w:rsid w:val="002D4643"/>
    <w:rsid w:val="002F175C"/>
    <w:rsid w:val="002F7DE0"/>
    <w:rsid w:val="00302E18"/>
    <w:rsid w:val="00305B9E"/>
    <w:rsid w:val="003229D8"/>
    <w:rsid w:val="00352709"/>
    <w:rsid w:val="003619B5"/>
    <w:rsid w:val="00361AC3"/>
    <w:rsid w:val="00363E0C"/>
    <w:rsid w:val="00365763"/>
    <w:rsid w:val="00371178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A1374"/>
    <w:rsid w:val="005B320C"/>
    <w:rsid w:val="005B3DB3"/>
    <w:rsid w:val="005B4E13"/>
    <w:rsid w:val="005B73BF"/>
    <w:rsid w:val="005C342F"/>
    <w:rsid w:val="005C7D1E"/>
    <w:rsid w:val="005D4849"/>
    <w:rsid w:val="005F5A0D"/>
    <w:rsid w:val="005F7B75"/>
    <w:rsid w:val="006001EE"/>
    <w:rsid w:val="00605042"/>
    <w:rsid w:val="00611FC4"/>
    <w:rsid w:val="006176FB"/>
    <w:rsid w:val="00640B26"/>
    <w:rsid w:val="00652D0A"/>
    <w:rsid w:val="00662BB6"/>
    <w:rsid w:val="00671518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6F4E45"/>
    <w:rsid w:val="00703577"/>
    <w:rsid w:val="00705894"/>
    <w:rsid w:val="0072632A"/>
    <w:rsid w:val="0072728C"/>
    <w:rsid w:val="007327D5"/>
    <w:rsid w:val="007629C8"/>
    <w:rsid w:val="0077047D"/>
    <w:rsid w:val="007B6BA5"/>
    <w:rsid w:val="007C3390"/>
    <w:rsid w:val="007C4F4B"/>
    <w:rsid w:val="007E01E9"/>
    <w:rsid w:val="007E63F3"/>
    <w:rsid w:val="007F39A9"/>
    <w:rsid w:val="007F6611"/>
    <w:rsid w:val="00802F25"/>
    <w:rsid w:val="00811920"/>
    <w:rsid w:val="008121BC"/>
    <w:rsid w:val="00815AD0"/>
    <w:rsid w:val="00815EDB"/>
    <w:rsid w:val="008242D7"/>
    <w:rsid w:val="008257B1"/>
    <w:rsid w:val="00826C0E"/>
    <w:rsid w:val="00832334"/>
    <w:rsid w:val="00843191"/>
    <w:rsid w:val="00843767"/>
    <w:rsid w:val="008679D9"/>
    <w:rsid w:val="00876E46"/>
    <w:rsid w:val="00884526"/>
    <w:rsid w:val="008878DE"/>
    <w:rsid w:val="008979B1"/>
    <w:rsid w:val="008A15B7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48C3"/>
    <w:rsid w:val="00975724"/>
    <w:rsid w:val="009760F3"/>
    <w:rsid w:val="00976CFB"/>
    <w:rsid w:val="009A0830"/>
    <w:rsid w:val="009A0E8D"/>
    <w:rsid w:val="009B26E7"/>
    <w:rsid w:val="009B64BB"/>
    <w:rsid w:val="00A00697"/>
    <w:rsid w:val="00A00A3F"/>
    <w:rsid w:val="00A01489"/>
    <w:rsid w:val="00A16CE2"/>
    <w:rsid w:val="00A3026E"/>
    <w:rsid w:val="00A338F1"/>
    <w:rsid w:val="00A35BE0"/>
    <w:rsid w:val="00A46855"/>
    <w:rsid w:val="00A6129C"/>
    <w:rsid w:val="00A67ABB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C1039"/>
    <w:rsid w:val="00AD038E"/>
    <w:rsid w:val="00AD75FD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E1198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32489"/>
    <w:rsid w:val="00D43252"/>
    <w:rsid w:val="00D47EEA"/>
    <w:rsid w:val="00D60FAB"/>
    <w:rsid w:val="00D773DF"/>
    <w:rsid w:val="00D95303"/>
    <w:rsid w:val="00D978C6"/>
    <w:rsid w:val="00DA3C1C"/>
    <w:rsid w:val="00DC6D39"/>
    <w:rsid w:val="00DF3016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A48F9"/>
    <w:rsid w:val="00ED7A2A"/>
    <w:rsid w:val="00EF1D7F"/>
    <w:rsid w:val="00F31E5F"/>
    <w:rsid w:val="00F35DAC"/>
    <w:rsid w:val="00F6100A"/>
    <w:rsid w:val="00F93781"/>
    <w:rsid w:val="00FB613B"/>
    <w:rsid w:val="00FC68B7"/>
    <w:rsid w:val="00FD3F98"/>
    <w:rsid w:val="00FE106A"/>
    <w:rsid w:val="00FE7450"/>
    <w:rsid w:val="00FF145D"/>
    <w:rsid w:val="00FF21E3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5:docId w15:val="{00DEB6EA-489A-45D5-A030-F75F1F51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5EE3-1435-4D34-8302-A5090371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2018-03-26T14:20:00Z</cp:lastPrinted>
  <dcterms:created xsi:type="dcterms:W3CDTF">2018-04-10T15:52:00Z</dcterms:created>
  <dcterms:modified xsi:type="dcterms:W3CDTF">2018-04-10T15:52:00Z</dcterms:modified>
</cp:coreProperties>
</file>