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02BA8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802BA8" w:rsidRDefault="00F35BAF" w:rsidP="00B4712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802BA8" w:rsidRDefault="00F35BAF" w:rsidP="00C97039">
            <w:pPr>
              <w:spacing w:after="80" w:line="300" w:lineRule="exact"/>
              <w:rPr>
                <w:sz w:val="28"/>
              </w:rPr>
            </w:pPr>
            <w:r w:rsidRPr="00802BA8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02BA8" w:rsidRDefault="00B47127" w:rsidP="00B47127">
            <w:pPr>
              <w:jc w:val="right"/>
            </w:pPr>
            <w:r w:rsidRPr="00802BA8">
              <w:rPr>
                <w:sz w:val="40"/>
              </w:rPr>
              <w:t>ECE</w:t>
            </w:r>
            <w:r w:rsidRPr="00802BA8">
              <w:t>/TRANS/WP.29/2018/34</w:t>
            </w:r>
          </w:p>
        </w:tc>
      </w:tr>
      <w:tr w:rsidR="00F35BAF" w:rsidRPr="00802BA8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02BA8" w:rsidRDefault="00F35BAF" w:rsidP="00C97039">
            <w:pPr>
              <w:spacing w:before="120"/>
              <w:jc w:val="center"/>
            </w:pPr>
            <w:r w:rsidRPr="00802BA8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802BA8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02BA8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02BA8" w:rsidRDefault="00B47127" w:rsidP="00C97039">
            <w:pPr>
              <w:spacing w:before="240"/>
            </w:pPr>
            <w:r w:rsidRPr="00802BA8">
              <w:t>Distr. générale</w:t>
            </w:r>
          </w:p>
          <w:p w:rsidR="00B47127" w:rsidRPr="00802BA8" w:rsidRDefault="00B47127" w:rsidP="00B47127">
            <w:pPr>
              <w:spacing w:line="240" w:lineRule="exact"/>
            </w:pPr>
            <w:r w:rsidRPr="00802BA8">
              <w:t>4 janvier 2018</w:t>
            </w:r>
          </w:p>
          <w:p w:rsidR="00B47127" w:rsidRPr="00802BA8" w:rsidRDefault="00B47127" w:rsidP="00B47127">
            <w:pPr>
              <w:spacing w:line="240" w:lineRule="exact"/>
            </w:pPr>
            <w:r w:rsidRPr="00802BA8">
              <w:t>Français</w:t>
            </w:r>
          </w:p>
          <w:p w:rsidR="00B47127" w:rsidRPr="00802BA8" w:rsidRDefault="00B47127" w:rsidP="00B47127">
            <w:pPr>
              <w:spacing w:line="240" w:lineRule="exact"/>
            </w:pPr>
            <w:r w:rsidRPr="00802BA8">
              <w:t>Original</w:t>
            </w:r>
            <w:r w:rsidR="00802BA8" w:rsidRPr="00802BA8">
              <w:t> :</w:t>
            </w:r>
            <w:r w:rsidRPr="00802BA8">
              <w:t xml:space="preserve"> anglais</w:t>
            </w:r>
          </w:p>
        </w:tc>
      </w:tr>
    </w:tbl>
    <w:p w:rsidR="007F20FA" w:rsidRPr="00802BA8" w:rsidRDefault="007F20FA" w:rsidP="007F20FA">
      <w:pPr>
        <w:spacing w:before="120"/>
        <w:rPr>
          <w:b/>
          <w:sz w:val="28"/>
          <w:szCs w:val="28"/>
        </w:rPr>
      </w:pPr>
      <w:r w:rsidRPr="00802BA8">
        <w:rPr>
          <w:b/>
          <w:sz w:val="28"/>
          <w:szCs w:val="28"/>
        </w:rPr>
        <w:t>Commission économique pour l’Europe</w:t>
      </w:r>
    </w:p>
    <w:p w:rsidR="007F20FA" w:rsidRPr="00802BA8" w:rsidRDefault="007F20FA" w:rsidP="007F20FA">
      <w:pPr>
        <w:spacing w:before="120"/>
        <w:rPr>
          <w:sz w:val="28"/>
          <w:szCs w:val="28"/>
        </w:rPr>
      </w:pPr>
      <w:r w:rsidRPr="00802BA8">
        <w:rPr>
          <w:sz w:val="28"/>
          <w:szCs w:val="28"/>
        </w:rPr>
        <w:t>Comité des transports intérieurs</w:t>
      </w:r>
    </w:p>
    <w:p w:rsidR="00B47127" w:rsidRPr="00802BA8" w:rsidRDefault="00B47127" w:rsidP="00AF0CB5">
      <w:pPr>
        <w:spacing w:before="120"/>
        <w:rPr>
          <w:b/>
          <w:sz w:val="24"/>
          <w:szCs w:val="24"/>
        </w:rPr>
      </w:pPr>
      <w:r w:rsidRPr="00802BA8">
        <w:rPr>
          <w:b/>
          <w:sz w:val="24"/>
          <w:szCs w:val="24"/>
        </w:rPr>
        <w:t>Forum mondial de l’harmonisation</w:t>
      </w:r>
      <w:r w:rsidR="00802BA8" w:rsidRPr="00802BA8">
        <w:rPr>
          <w:b/>
          <w:sz w:val="24"/>
          <w:szCs w:val="24"/>
        </w:rPr>
        <w:t xml:space="preserve"> </w:t>
      </w:r>
      <w:r w:rsidRPr="00802BA8">
        <w:rPr>
          <w:b/>
          <w:sz w:val="24"/>
          <w:szCs w:val="24"/>
        </w:rPr>
        <w:br/>
        <w:t>des Règlements concernant les véhicules</w:t>
      </w:r>
    </w:p>
    <w:p w:rsidR="00B47127" w:rsidRPr="00802BA8" w:rsidRDefault="00B47127" w:rsidP="00AF0CB5">
      <w:pPr>
        <w:spacing w:before="120" w:line="240" w:lineRule="exact"/>
        <w:rPr>
          <w:b/>
        </w:rPr>
      </w:pPr>
      <w:r w:rsidRPr="00802BA8">
        <w:rPr>
          <w:b/>
        </w:rPr>
        <w:t>174</w:t>
      </w:r>
      <w:r w:rsidRPr="00802BA8">
        <w:rPr>
          <w:b/>
          <w:vertAlign w:val="superscript"/>
        </w:rPr>
        <w:t>e</w:t>
      </w:r>
      <w:r w:rsidRPr="00802BA8">
        <w:rPr>
          <w:b/>
        </w:rPr>
        <w:t> session</w:t>
      </w:r>
    </w:p>
    <w:p w:rsidR="001F5A25" w:rsidRPr="00802BA8" w:rsidRDefault="001F5A25" w:rsidP="00B47127">
      <w:r w:rsidRPr="00802BA8">
        <w:t>Genève, 13-16 mars 2018</w:t>
      </w:r>
    </w:p>
    <w:p w:rsidR="001F5A25" w:rsidRPr="00802BA8" w:rsidRDefault="001F5A25" w:rsidP="00B47127">
      <w:r w:rsidRPr="00802BA8">
        <w:t>Point 17 de l’ordre du jour provisoire</w:t>
      </w:r>
    </w:p>
    <w:p w:rsidR="001F5A25" w:rsidRPr="00802BA8" w:rsidRDefault="001F5A25" w:rsidP="00B47127">
      <w:pPr>
        <w:rPr>
          <w:b/>
        </w:rPr>
      </w:pPr>
      <w:r w:rsidRPr="00802BA8">
        <w:rPr>
          <w:b/>
        </w:rPr>
        <w:t xml:space="preserve">Échange d’informations sur les nouvelles priorités </w:t>
      </w:r>
      <w:r w:rsidR="00B47127" w:rsidRPr="00802BA8">
        <w:rPr>
          <w:b/>
        </w:rPr>
        <w:br/>
      </w:r>
      <w:r w:rsidRPr="00802BA8">
        <w:rPr>
          <w:b/>
        </w:rPr>
        <w:t xml:space="preserve">à inclure dans le programme de travail </w:t>
      </w:r>
    </w:p>
    <w:p w:rsidR="001F5A25" w:rsidRPr="00802BA8" w:rsidRDefault="001F5A25" w:rsidP="00B47127">
      <w:pPr>
        <w:pStyle w:val="HChG"/>
      </w:pPr>
      <w:r w:rsidRPr="00802BA8">
        <w:tab/>
      </w:r>
      <w:r w:rsidRPr="00802BA8">
        <w:tab/>
        <w:t>Projet de programme de travail au titre de l’Accord de 1998</w:t>
      </w:r>
    </w:p>
    <w:p w:rsidR="001F5A25" w:rsidRPr="00802BA8" w:rsidRDefault="00B47127" w:rsidP="00B47127">
      <w:pPr>
        <w:pStyle w:val="H1G"/>
      </w:pPr>
      <w:r w:rsidRPr="00802BA8">
        <w:tab/>
      </w:r>
      <w:r w:rsidRPr="00802BA8">
        <w:tab/>
      </w:r>
      <w:r w:rsidR="001F5A25" w:rsidRPr="00802BA8">
        <w:t>Note du secrétariat</w:t>
      </w:r>
      <w:r w:rsidRPr="00802BA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23326" w:rsidRPr="00337923" w:rsidRDefault="001F5A25" w:rsidP="00B47127">
      <w:pPr>
        <w:pStyle w:val="SingleTxtG"/>
        <w:ind w:firstLine="567"/>
      </w:pPr>
      <w:r w:rsidRPr="00337923">
        <w:t>Le présent document reprend les observations faites par les membres des groupes de</w:t>
      </w:r>
      <w:r w:rsidR="00337923">
        <w:t> </w:t>
      </w:r>
      <w:r w:rsidRPr="00337923">
        <w:t>travail et les représentants des Parties contractantes lors de la cinquante-deuxième session du Comité exécutif de l’Accord de 1998 (AC.3) (ECE/TRANS/WP.29/1135, par.</w:t>
      </w:r>
      <w:r w:rsidR="00B47127" w:rsidRPr="00337923">
        <w:t> </w:t>
      </w:r>
      <w:r w:rsidRPr="00337923">
        <w:t>114). Il est fondé sur le document WP.29-173-20 et remplace le document ECE/TRANS/WP.29/2017/144</w:t>
      </w:r>
      <w:r w:rsidRPr="00337923">
        <w:rPr>
          <w:bCs/>
        </w:rPr>
        <w:t>. Il est soumis au Forum mondial de l’harmonisation des Règlements concernant les véhicules</w:t>
      </w:r>
      <w:r w:rsidRPr="00337923">
        <w:t xml:space="preserve"> (WP.29) et à l’AC.3, pour examen à leurs sessions de mars 2018.</w:t>
      </w:r>
    </w:p>
    <w:p w:rsidR="00337923" w:rsidRPr="00802BA8" w:rsidRDefault="00337923" w:rsidP="00B47127">
      <w:pPr>
        <w:pStyle w:val="SingleTxtG"/>
        <w:ind w:firstLine="567"/>
        <w:sectPr w:rsidR="00337923" w:rsidRPr="00802BA8" w:rsidSect="00B4712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F9573C" w:rsidRPr="00802BA8" w:rsidRDefault="001F5A25" w:rsidP="001F5A25">
      <w:pPr>
        <w:pStyle w:val="HChG"/>
      </w:pPr>
      <w:r w:rsidRPr="00802BA8">
        <w:lastRenderedPageBreak/>
        <w:t>Projet de programme de travail au titre de l’Accord de 1998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18"/>
        <w:gridCol w:w="907"/>
        <w:gridCol w:w="1247"/>
        <w:gridCol w:w="1588"/>
        <w:gridCol w:w="1418"/>
        <w:gridCol w:w="1304"/>
        <w:gridCol w:w="1588"/>
        <w:gridCol w:w="3629"/>
      </w:tblGrid>
      <w:tr w:rsidR="0011582B" w:rsidRPr="00802BA8" w:rsidTr="00802B23">
        <w:trPr>
          <w:cantSplit/>
          <w:tblHeader/>
        </w:trPr>
        <w:tc>
          <w:tcPr>
            <w:tcW w:w="1377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82B" w:rsidRPr="00802BA8" w:rsidRDefault="0011582B" w:rsidP="0097543F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02BA8">
              <w:rPr>
                <w:i/>
                <w:sz w:val="16"/>
                <w:lang w:eastAsia="zh-CN"/>
              </w:rPr>
              <w:t xml:space="preserve">Ia. RTM existants </w:t>
            </w:r>
            <w:r w:rsidR="0097543F">
              <w:rPr>
                <w:i/>
                <w:sz w:val="16"/>
                <w:lang w:eastAsia="zh-CN"/>
              </w:rPr>
              <w:t>−</w:t>
            </w:r>
            <w:r w:rsidRPr="00802BA8">
              <w:rPr>
                <w:i/>
                <w:sz w:val="16"/>
                <w:lang w:eastAsia="zh-CN"/>
              </w:rPr>
              <w:t xml:space="preserve"> Priorité élevée</w:t>
            </w:r>
          </w:p>
        </w:tc>
      </w:tr>
      <w:tr w:rsidR="0011582B" w:rsidRPr="00802BA8" w:rsidTr="00802B23">
        <w:trPr>
          <w:cantSplit/>
          <w:trHeight w:hRule="exact" w:val="113"/>
          <w:tblHeader/>
        </w:trPr>
        <w:tc>
          <w:tcPr>
            <w:tcW w:w="13779" w:type="dxa"/>
            <w:gridSpan w:val="9"/>
            <w:tcBorders>
              <w:top w:val="single" w:sz="12" w:space="0" w:color="auto"/>
            </w:tcBorders>
            <w:shd w:val="clear" w:color="auto" w:fill="auto"/>
            <w:noWrap/>
          </w:tcPr>
          <w:p w:rsidR="0011582B" w:rsidRPr="00802BA8" w:rsidRDefault="0011582B" w:rsidP="001F5A25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</w:tr>
      <w:tr w:rsidR="00DA3035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RTM</w:t>
            </w:r>
          </w:p>
        </w:tc>
        <w:tc>
          <w:tcPr>
            <w:tcW w:w="1418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Titre</w:t>
            </w:r>
          </w:p>
        </w:tc>
        <w:tc>
          <w:tcPr>
            <w:tcW w:w="907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 de travail</w:t>
            </w:r>
          </w:p>
        </w:tc>
        <w:tc>
          <w:tcPr>
            <w:tcW w:w="1247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Version</w:t>
            </w:r>
          </w:p>
        </w:tc>
        <w:tc>
          <w:tcPr>
            <w:tcW w:w="1588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Motif</w:t>
            </w:r>
          </w:p>
        </w:tc>
        <w:tc>
          <w:tcPr>
            <w:tcW w:w="1418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Organisation des travaux</w:t>
            </w:r>
          </w:p>
        </w:tc>
        <w:tc>
          <w:tcPr>
            <w:tcW w:w="1304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Documents </w:t>
            </w:r>
            <w:r w:rsidR="0098699C" w:rsidRPr="00802BA8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de référence</w:t>
            </w:r>
          </w:p>
        </w:tc>
        <w:tc>
          <w:tcPr>
            <w:tcW w:w="1588" w:type="dxa"/>
            <w:shd w:val="clear" w:color="auto" w:fill="auto"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Date de finalisation prévue </w:t>
            </w:r>
          </w:p>
        </w:tc>
        <w:tc>
          <w:tcPr>
            <w:tcW w:w="3629" w:type="dxa"/>
            <w:shd w:val="clear" w:color="auto" w:fill="auto"/>
            <w:noWrap/>
          </w:tcPr>
          <w:p w:rsidR="00DA3035" w:rsidRPr="00802BA8" w:rsidRDefault="00DA3035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État d’avancement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rFonts w:eastAsia="MS Mincho"/>
                <w:b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b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rFonts w:eastAsia="MS Mincho"/>
                <w:b/>
                <w:sz w:val="18"/>
                <w:szCs w:val="22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4B1F22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Système de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freinage des</w:t>
            </w:r>
            <w:r w:rsidR="004B1F22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motocycles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3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Harmonisation </w:t>
            </w:r>
            <w:r w:rsidR="004B1F22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 xml:space="preserve">avec le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Aucun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Italie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Mars 2018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Projet de demande d’autorisation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 xml:space="preserve">d’élaborer l’amendement 3 au RTM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3 adopté par l’AC.3 en novembre 2016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Appuie-tête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4B1F22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Modification du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17 (en</w:t>
            </w:r>
            <w:r w:rsidR="004B1F22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parallèle)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4B1F22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(RU) 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Japon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</w:t>
            </w:r>
            <w:r w:rsidR="004B1F22" w:rsidRPr="00802BA8">
              <w:rPr>
                <w:sz w:val="18"/>
                <w:szCs w:val="18"/>
                <w:lang w:eastAsia="zh-CN"/>
              </w:rPr>
              <w:t>C.3/25/Rev.</w:t>
            </w:r>
            <w:r w:rsidRPr="00802BA8">
              <w:rPr>
                <w:sz w:val="18"/>
                <w:szCs w:val="18"/>
                <w:lang w:eastAsia="zh-CN"/>
              </w:rPr>
              <w:t>1 GRSP/2015/34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Fin 2018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Le GRSP a examiné à sa session de décembre 2016 une proposition informelle portant sur l’ensemble des questions, y compris un projet d’additif 1 à la Résolution mutuelle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1. L’AC.3 a décidé de prolonger jusqu’en mars 2017 le mandat du groupe de travail informel.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vMerge w:val="restart"/>
            <w:shd w:val="clear" w:color="auto" w:fill="auto"/>
            <w:noWrap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Sécurité des</w:t>
            </w:r>
            <w:r w:rsidR="004B1F22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piétons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Plus grande harmonisation ; renforcement </w:t>
            </w:r>
            <w:r w:rsidR="004B1F22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 xml:space="preserve">de la sécurité 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(Allemagne, Japon) Responsables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Allemagne, Japon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AC.3/24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br/>
              <w:t>2016/115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52287C">
            <w:pPr>
              <w:keepNext/>
              <w:keepLines/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La phase 2 (nouvelle jambe d’essai) est terminée, et attend le vote des États-Unis d’Amérique. Il en va de même pour les amendements se rapportant aux phases 1 et 2 (précisions et zone d’impact du </w:t>
            </w:r>
            <w:r w:rsidR="00802BA8" w:rsidRPr="00802BA8">
              <w:rPr>
                <w:sz w:val="18"/>
                <w:szCs w:val="18"/>
                <w:lang w:eastAsia="zh-CN"/>
              </w:rPr>
              <w:t>pare-chocs</w:t>
            </w:r>
            <w:r w:rsidRPr="00802BA8">
              <w:rPr>
                <w:sz w:val="18"/>
                <w:szCs w:val="18"/>
                <w:lang w:eastAsia="zh-CN"/>
              </w:rPr>
              <w:t>). Les nouveaux travaux relatifs aux capots actifs (menés par la République de Corée et l’OICA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sur les capots déployables, les coussins gonflables externes, etc.) sont toujours en cours et</w:t>
            </w:r>
            <w:r w:rsidR="0052287C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devraient s’achever fin 2017, mais une année supplémentaire sera sans doute nécessaire.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F60959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À sa session de décembre 2016, le GRSP a repris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 xml:space="preserve">l’examen des valeurs de référence de l’évaluation des blessures (IARV) et du projet de RTM, et s’est également penché sur une proposition portant sur les essais contre </w:t>
            </w:r>
            <w:r w:rsidR="00802BA8" w:rsidRPr="00802BA8">
              <w:rPr>
                <w:sz w:val="18"/>
                <w:szCs w:val="18"/>
                <w:lang w:eastAsia="zh-CN"/>
              </w:rPr>
              <w:t>pare-chocs</w:t>
            </w:r>
            <w:r w:rsidRPr="00802BA8">
              <w:rPr>
                <w:sz w:val="18"/>
                <w:szCs w:val="18"/>
                <w:lang w:eastAsia="zh-CN"/>
              </w:rPr>
              <w:t>. L’AC.3 a approuvé l’autorisation d’élaborer un amendement au RTM visant à fournir une procédure d’essai pour les systèmes de capot actif servant à assurer aux piétons une protection adéquate et a prolongé jusqu’en décembre 2017 le mandat du 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chargé de la phase 2.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vMerge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3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Harmonisation </w:t>
            </w:r>
            <w:r w:rsidR="004B1F22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 xml:space="preserve">avec le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52287C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="0052287C">
              <w:rPr>
                <w:sz w:val="18"/>
                <w:szCs w:val="18"/>
                <w:lang w:eastAsia="zh-CN"/>
              </w:rPr>
              <w:t> ?</w:t>
            </w:r>
            <w:r w:rsidR="00802BA8" w:rsidRPr="00802BA8">
              <w:rPr>
                <w:sz w:val="18"/>
                <w:szCs w:val="18"/>
                <w:lang w:eastAsia="zh-CN"/>
              </w:rPr>
              <w:t> ? ?</w:t>
            </w:r>
            <w:r w:rsidRPr="00802BA8">
              <w:rPr>
                <w:sz w:val="18"/>
                <w:szCs w:val="18"/>
                <w:lang w:eastAsia="zh-CN"/>
              </w:rPr>
              <w:t xml:space="preserve"> 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</w:t>
            </w:r>
            <w:r w:rsidR="0052287C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CE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AC.3/31 </w:t>
            </w:r>
            <w:r w:rsidR="004B1F22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GRSP/2014/2</w:t>
            </w:r>
            <w:r w:rsidR="004B1F22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br/>
              <w:t>GRSP/2014/5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Terminé. Il s’agit de la phase 2 ainsi que des amendements se rapportant aux phases 1 et 2 qui sont déjà transposés dans le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Le GRSP a examiné une proposition révisée relative aux points de contact avec les éléments de frappe tête à sa session de décembre 2016, pour les phases 1 et 2 du RTM.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Procédure d’essai des moteurs à allumage par compression destinés aux tracteurs agricoles et forestiers, ainsi qu’aux engins mobiles non routiers, en ce qui concerne les émissions de polluants provenant du moteur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Prise en compte </w:t>
            </w:r>
            <w:r w:rsidR="004B1F22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 xml:space="preserve">des modifications du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 xml:space="preserve">96 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Les travaux devraient commencer en 2018, après modification du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96, adapté à la nouvelle réglementation de l’UE sur les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engins mobiles non routiers (Phase V)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Véhicules </w:t>
            </w:r>
            <w:r w:rsidR="0052287C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à hydrogène </w:t>
            </w:r>
            <w:r w:rsidR="0052287C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et à pile </w:t>
            </w:r>
            <w:r w:rsidR="0052287C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à combustible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Fin 2020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Le programme de travail devrait être finalisé prochainement. Une proposition informelle d’autorisation d’élaboration de la phase 2 a été acceptée par l’AC.3 à la session de mars 2017.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Le document AC3/49 a été soumis pour adoption à la session de juin 2017.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Procédure d’essai mondiale harmonisée en ce qui concerne les émissions </w:t>
            </w:r>
            <w:r w:rsidR="0052287C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des voitures particulières </w:t>
            </w:r>
            <w:r w:rsidR="0052287C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et véhicules utilitaires légers (WLTP)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3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Harmonisation avec la législation de l’UE sur la procédure WLTP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F60959">
            <w:pPr>
              <w:suppressAutoHyphens w:val="0"/>
              <w:spacing w:before="40" w:after="120" w:line="236" w:lineRule="exact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L’amendement 3 a été adopté par le GRPE à sa conférence de juin 2017, ainsi qu’un document informel proposant de nouvelles modifications à l’amendement 3. Par conséquent, l’examen de l’amendement 2 n’est peut-être pas nécessaire. 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Pneumatiques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2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52287C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(Russie)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Russie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18</w:t>
            </w:r>
            <w:r w:rsidR="00802BA8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novembre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Projet de demande d’autorisation pour l’élaboration de l’amendement 2 au RTM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16 adopté par l’AC.3 en novembre 2016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[x1]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4B66F3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Émissions par</w:t>
            </w:r>
            <w:r w:rsidR="004B66F3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évaporation des voitures particulières (WLTP EVAP)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RTM 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Harmonisation avec</w:t>
            </w:r>
            <w:r w:rsidR="004B66F3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la législation de l’UE sur la procédure WLTP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 </w:t>
            </w:r>
            <w:r w:rsidRPr="00802BA8">
              <w:rPr>
                <w:sz w:val="18"/>
                <w:szCs w:val="18"/>
                <w:lang w:eastAsia="zh-CN"/>
              </w:rPr>
              <w:t>?</w:t>
            </w:r>
            <w:r w:rsidR="00802BA8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?</w:t>
            </w:r>
            <w:r w:rsidR="00802BA8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 xml:space="preserve">? </w:t>
            </w:r>
            <w:r w:rsidR="00802BA8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(--)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Responsables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Japon, UE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4B1F22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Fin 2018 (à</w:t>
            </w:r>
            <w:r w:rsidR="004B1F22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Nouveau RTM adopté à la session de juin 2017 du WP.29. À noter que les réservoirs étanches ont été inclus dans le document EVAP UN GTR (informel) adopté récemment (juin 2017, conférence du GRPE).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Les travaux se poursuivent sur la question des réservoirs semi-étanches.</w:t>
            </w:r>
          </w:p>
        </w:tc>
      </w:tr>
      <w:tr w:rsidR="004B1F22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4B1F22" w:rsidRPr="00802BA8" w:rsidTr="00802B23">
        <w:trPr>
          <w:cantSplit/>
        </w:trPr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[x2]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4B66F3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Sécurité des </w:t>
            </w:r>
            <w:r w:rsidR="00B23326" w:rsidRPr="00802BA8">
              <w:rPr>
                <w:b/>
                <w:sz w:val="18"/>
                <w:szCs w:val="18"/>
                <w:lang w:eastAsia="zh-CN"/>
              </w:rPr>
              <w:t xml:space="preserve">véhicules électriques 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4B66F3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Phase 1 et</w:t>
            </w:r>
            <w:r>
              <w:rPr>
                <w:b/>
                <w:sz w:val="18"/>
                <w:szCs w:val="18"/>
                <w:lang w:eastAsia="zh-CN"/>
              </w:rPr>
              <w:t> </w:t>
            </w:r>
            <w:r w:rsidR="00B23326" w:rsidRPr="00802BA8">
              <w:rPr>
                <w:sz w:val="18"/>
                <w:szCs w:val="18"/>
                <w:lang w:eastAsia="zh-CN"/>
              </w:rPr>
              <w:t>phase 2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97543F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(Chine, Japon, États-Unis d’Amérique, UE) Responsables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Chine, Japon, États-Unis d’Amérique, UE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AC.3/32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En mai, le GRSP a donné son feu vert au WP.29 pour procéder au vote. L’adoption du nouveau RTM devrait avoir lieu à la session de novembre 2017 du WP.29. Le mandat concernant la phase 2 (questions de recherche à long terme) devrait être approuvé par le WP.29 en novembre 2017.</w:t>
            </w:r>
          </w:p>
        </w:tc>
      </w:tr>
    </w:tbl>
    <w:p w:rsidR="0081700C" w:rsidRPr="00802BA8" w:rsidRDefault="0081700C" w:rsidP="00B23326">
      <w:pPr>
        <w:rPr>
          <w:sz w:val="18"/>
          <w:szCs w:val="18"/>
        </w:rPr>
      </w:pPr>
    </w:p>
    <w:p w:rsidR="00B23326" w:rsidRPr="00802BA8" w:rsidRDefault="0081700C" w:rsidP="00017D30">
      <w:pPr>
        <w:spacing w:line="20" w:lineRule="exact"/>
        <w:rPr>
          <w:sz w:val="18"/>
          <w:szCs w:val="18"/>
        </w:rPr>
      </w:pPr>
      <w:r w:rsidRPr="00802BA8">
        <w:rPr>
          <w:sz w:val="18"/>
          <w:szCs w:val="18"/>
        </w:rPr>
        <w:br w:type="page"/>
      </w:r>
    </w:p>
    <w:tbl>
      <w:tblPr>
        <w:tblW w:w="13779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18"/>
        <w:gridCol w:w="907"/>
        <w:gridCol w:w="1247"/>
        <w:gridCol w:w="1588"/>
        <w:gridCol w:w="1418"/>
        <w:gridCol w:w="1304"/>
        <w:gridCol w:w="1588"/>
        <w:gridCol w:w="3629"/>
      </w:tblGrid>
      <w:tr w:rsidR="003A735C" w:rsidRPr="00802BA8" w:rsidTr="00802B23">
        <w:trPr>
          <w:cantSplit/>
          <w:tblHeader/>
        </w:trPr>
        <w:tc>
          <w:tcPr>
            <w:tcW w:w="1377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35C" w:rsidRPr="00802BA8" w:rsidRDefault="00B23326" w:rsidP="001F5A2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02BA8">
              <w:br w:type="page"/>
            </w:r>
            <w:r w:rsidR="00802BA8" w:rsidRPr="00802BA8">
              <w:rPr>
                <w:i/>
                <w:sz w:val="16"/>
                <w:lang w:eastAsia="zh-CN"/>
              </w:rPr>
              <w:t>Ib.</w:t>
            </w:r>
            <w:r w:rsidR="003A735C" w:rsidRPr="00802BA8">
              <w:rPr>
                <w:i/>
                <w:sz w:val="16"/>
                <w:lang w:eastAsia="zh-CN"/>
              </w:rPr>
              <w:t xml:space="preserve"> RTM existants</w:t>
            </w:r>
            <w:r w:rsidR="0097543F">
              <w:rPr>
                <w:i/>
                <w:sz w:val="16"/>
                <w:lang w:eastAsia="zh-CN"/>
              </w:rPr>
              <w:t xml:space="preserve"> − </w:t>
            </w:r>
            <w:r w:rsidR="003A735C" w:rsidRPr="00802BA8">
              <w:rPr>
                <w:i/>
                <w:sz w:val="16"/>
                <w:lang w:eastAsia="zh-CN"/>
              </w:rPr>
              <w:t>Priorité faible</w:t>
            </w:r>
          </w:p>
        </w:tc>
      </w:tr>
      <w:tr w:rsidR="003A735C" w:rsidRPr="00802BA8" w:rsidTr="00802B23">
        <w:trPr>
          <w:cantSplit/>
          <w:trHeight w:hRule="exact" w:val="113"/>
          <w:tblHeader/>
        </w:trPr>
        <w:tc>
          <w:tcPr>
            <w:tcW w:w="13779" w:type="dxa"/>
            <w:gridSpan w:val="9"/>
            <w:tcBorders>
              <w:top w:val="single" w:sz="12" w:space="0" w:color="auto"/>
            </w:tcBorders>
            <w:shd w:val="clear" w:color="auto" w:fill="auto"/>
            <w:noWrap/>
          </w:tcPr>
          <w:p w:rsidR="003A735C" w:rsidRPr="00802BA8" w:rsidRDefault="003A735C" w:rsidP="001F5A25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</w:tr>
      <w:tr w:rsidR="0098699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RTM</w:t>
            </w:r>
          </w:p>
        </w:tc>
        <w:tc>
          <w:tcPr>
            <w:tcW w:w="1418" w:type="dxa"/>
            <w:shd w:val="clear" w:color="auto" w:fill="auto"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Titre</w:t>
            </w:r>
          </w:p>
        </w:tc>
        <w:tc>
          <w:tcPr>
            <w:tcW w:w="907" w:type="dxa"/>
            <w:shd w:val="clear" w:color="auto" w:fill="auto"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 de travail</w:t>
            </w:r>
          </w:p>
        </w:tc>
        <w:tc>
          <w:tcPr>
            <w:tcW w:w="1247" w:type="dxa"/>
            <w:shd w:val="clear" w:color="auto" w:fill="auto"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Version</w:t>
            </w:r>
          </w:p>
        </w:tc>
        <w:tc>
          <w:tcPr>
            <w:tcW w:w="1588" w:type="dxa"/>
            <w:shd w:val="clear" w:color="auto" w:fill="auto"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Motif</w:t>
            </w:r>
          </w:p>
        </w:tc>
        <w:tc>
          <w:tcPr>
            <w:tcW w:w="1418" w:type="dxa"/>
            <w:shd w:val="clear" w:color="auto" w:fill="auto"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Organisation des travaux</w:t>
            </w:r>
          </w:p>
        </w:tc>
        <w:tc>
          <w:tcPr>
            <w:tcW w:w="1304" w:type="dxa"/>
            <w:shd w:val="clear" w:color="auto" w:fill="auto"/>
          </w:tcPr>
          <w:p w:rsidR="0098699C" w:rsidRPr="00802BA8" w:rsidRDefault="0098699C" w:rsidP="0097543F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Documents de</w:t>
            </w:r>
            <w:r w:rsidR="0097543F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référence</w:t>
            </w:r>
          </w:p>
        </w:tc>
        <w:tc>
          <w:tcPr>
            <w:tcW w:w="1588" w:type="dxa"/>
            <w:shd w:val="clear" w:color="auto" w:fill="auto"/>
          </w:tcPr>
          <w:p w:rsidR="0098699C" w:rsidRPr="00802BA8" w:rsidRDefault="0098699C" w:rsidP="0097543F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Date de</w:t>
            </w:r>
            <w:r w:rsidR="0097543F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finalisation prévue</w:t>
            </w:r>
            <w:r w:rsidR="005B41C2" w:rsidRPr="005B41C2">
              <w:rPr>
                <w:sz w:val="18"/>
                <w:szCs w:val="18"/>
                <w:lang w:eastAsia="zh-CN"/>
              </w:rPr>
              <w:t>*</w:t>
            </w:r>
          </w:p>
        </w:tc>
        <w:tc>
          <w:tcPr>
            <w:tcW w:w="3629" w:type="dxa"/>
            <w:shd w:val="clear" w:color="auto" w:fill="auto"/>
            <w:noWrap/>
          </w:tcPr>
          <w:p w:rsidR="0098699C" w:rsidRPr="00802BA8" w:rsidRDefault="0098699C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État d’avancement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5B41C2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Méthode de</w:t>
            </w:r>
            <w:r w:rsidR="005B41C2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mesure applicable aux</w:t>
            </w:r>
            <w:r w:rsidR="005B41C2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deux-roues (Cycle d’essai mondial harmonisé de</w:t>
            </w:r>
            <w:r w:rsidR="005B41C2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mesure des</w:t>
            </w:r>
            <w:r w:rsidR="005B41C2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émissions des motocycles </w:t>
            </w:r>
            <w:r w:rsidR="005B41C2">
              <w:rPr>
                <w:b/>
                <w:sz w:val="18"/>
                <w:szCs w:val="18"/>
                <w:lang w:eastAsia="zh-CN"/>
              </w:rPr>
              <w:t xml:space="preserve">− </w:t>
            </w:r>
            <w:r w:rsidRPr="00802BA8">
              <w:rPr>
                <w:b/>
                <w:sz w:val="18"/>
                <w:szCs w:val="18"/>
                <w:lang w:eastAsia="zh-CN"/>
              </w:rPr>
              <w:t>WMTC)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EPPR (Suède)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UE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AC.3/36 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L’AC.3 a recommandé, en mars 2015, que le groupe de travail informel poursuive ses travaux relatifs à l’élaboration d’un nouveau RTM sur la question.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Procédure d’essai des moteurs alimentés au gaz (véhicules utilitaires lourds</w:t>
            </w:r>
            <w:r w:rsidR="0097543F">
              <w:rPr>
                <w:b/>
                <w:sz w:val="18"/>
                <w:szCs w:val="18"/>
                <w:lang w:eastAsia="zh-CN"/>
              </w:rPr>
              <w:t xml:space="preserve"> − </w:t>
            </w:r>
            <w:r w:rsidRPr="00802BA8">
              <w:rPr>
                <w:b/>
                <w:sz w:val="18"/>
                <w:szCs w:val="18"/>
                <w:lang w:eastAsia="zh-CN"/>
              </w:rPr>
              <w:t>WHDC)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Amendement 4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802BA8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« </w:t>
            </w:r>
            <w:r w:rsidR="00B23326" w:rsidRPr="00802BA8">
              <w:rPr>
                <w:sz w:val="18"/>
                <w:szCs w:val="18"/>
                <w:lang w:eastAsia="zh-CN"/>
              </w:rPr>
              <w:t xml:space="preserve">Il est nécessaire de pousser plus avant la validation de la méthode relative aux véhicules hybrides » </w:t>
            </w:r>
            <w:r w:rsidRPr="00802BA8">
              <w:rPr>
                <w:sz w:val="18"/>
                <w:szCs w:val="18"/>
                <w:lang w:eastAsia="zh-CN"/>
              </w:rPr>
              <w:t>−</w:t>
            </w:r>
            <w:r w:rsidR="00B23326" w:rsidRPr="00802BA8">
              <w:rPr>
                <w:sz w:val="18"/>
                <w:szCs w:val="18"/>
                <w:lang w:eastAsia="zh-CN"/>
              </w:rPr>
              <w:t xml:space="preserve"> À vérifier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Vitrages de sécurité pour véhicules à moteur et leurs équipements</w:t>
            </w: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GRSG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802BA8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(Allemagne, Corée) 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Corée</w:t>
            </w: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AC.3/41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hideMark/>
          </w:tcPr>
          <w:p w:rsidR="00B23326" w:rsidRPr="00802BA8" w:rsidRDefault="00B23326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L’AC.3 a pris note de la demande du GRSG visant à poursuivre l’actualisation du mandat et de la nécessité de prolonger jusqu’en juin 2018 le mandat du groupe de travail informel des vitrages de toit panoramiques.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="00802BA8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En attente des résultats de l’enquête technique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Procédure d’essai mondiale harmonisée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b/>
                <w:sz w:val="18"/>
                <w:szCs w:val="18"/>
                <w:lang w:eastAsia="zh-CN"/>
              </w:rPr>
              <w:t>en ce qui concerne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b/>
                <w:sz w:val="18"/>
                <w:szCs w:val="18"/>
                <w:lang w:eastAsia="zh-CN"/>
              </w:rPr>
              <w:t>les émissions des voitures particulières et véhicules utilitaires légers (WLTP)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97543F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s</w:t>
            </w:r>
            <w:r w:rsidR="0097543F">
              <w:rPr>
                <w:sz w:val="18"/>
                <w:szCs w:val="18"/>
                <w:lang w:eastAsia="zh-CN"/>
              </w:rPr>
              <w:t>.</w:t>
            </w:r>
            <w:r w:rsidRPr="00802BA8">
              <w:rPr>
                <w:sz w:val="18"/>
                <w:szCs w:val="18"/>
                <w:lang w:eastAsia="zh-CN"/>
              </w:rPr>
              <w:t>o</w:t>
            </w:r>
            <w:r w:rsidR="0097543F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Harmonisation avec la législation de l’UE sur la procédure WLTP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 des véhicules électriques et de l’environnement (États-Unis d’Amérique, Japon, Chine)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="00802BA8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Responsables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Canada, Chine, Japon, États-Unis d’Amérique, UE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1F5A25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Poursuivre les recherches sur certaines exigences environnementales pour les véhicules électriques. En attente des contributions de la phase 2 de la procédure WLTP. Pour le moment, les activités relatives aux véhicules électriques (détermination de la puissance maximale, durabilité des batteries, etc.) sont toujours menées principalement par le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 xml:space="preserve">groupe de travail informel, qui ne traite pas de la procédure WLTP. On ne sait pas encore si et de quelle manière ces travaux aboutiront à un amendement au RTM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15 ou à l’élaboration d’un RTM distinct.</w:t>
            </w:r>
          </w:p>
        </w:tc>
      </w:tr>
    </w:tbl>
    <w:p w:rsidR="00B23326" w:rsidRPr="00802BA8" w:rsidRDefault="00B23326" w:rsidP="00017D30">
      <w:pPr>
        <w:spacing w:line="20" w:lineRule="exact"/>
      </w:pPr>
      <w:r w:rsidRPr="00802BA8">
        <w:br w:type="page"/>
      </w:r>
    </w:p>
    <w:tbl>
      <w:tblPr>
        <w:tblW w:w="13778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22"/>
        <w:gridCol w:w="1247"/>
        <w:gridCol w:w="1418"/>
        <w:gridCol w:w="1247"/>
        <w:gridCol w:w="1247"/>
        <w:gridCol w:w="1588"/>
        <w:gridCol w:w="3629"/>
      </w:tblGrid>
      <w:tr w:rsidR="00CE457A" w:rsidRPr="00802BA8" w:rsidTr="00802B23">
        <w:trPr>
          <w:cantSplit/>
          <w:tblHeader/>
        </w:trPr>
        <w:tc>
          <w:tcPr>
            <w:tcW w:w="13778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457A" w:rsidRPr="00802BA8" w:rsidRDefault="00CE457A" w:rsidP="00C26E3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02BA8">
              <w:rPr>
                <w:i/>
                <w:sz w:val="16"/>
                <w:lang w:eastAsia="zh-CN"/>
              </w:rPr>
              <w:t>Ic. RTM existants</w:t>
            </w:r>
            <w:r w:rsidR="0097543F">
              <w:rPr>
                <w:i/>
                <w:sz w:val="16"/>
                <w:lang w:eastAsia="zh-CN"/>
              </w:rPr>
              <w:t xml:space="preserve"> − </w:t>
            </w:r>
            <w:r w:rsidRPr="00802BA8">
              <w:rPr>
                <w:i/>
                <w:sz w:val="16"/>
                <w:lang w:eastAsia="zh-CN"/>
              </w:rPr>
              <w:t xml:space="preserve">Aucune activité prévue dans le cadre du programme de travail </w:t>
            </w:r>
          </w:p>
        </w:tc>
      </w:tr>
      <w:tr w:rsidR="00CE457A" w:rsidRPr="00802BA8" w:rsidTr="00802B23">
        <w:trPr>
          <w:cantSplit/>
          <w:trHeight w:hRule="exact" w:val="113"/>
          <w:tblHeader/>
        </w:trPr>
        <w:tc>
          <w:tcPr>
            <w:tcW w:w="13778" w:type="dxa"/>
            <w:gridSpan w:val="8"/>
            <w:tcBorders>
              <w:top w:val="single" w:sz="12" w:space="0" w:color="auto"/>
            </w:tcBorders>
            <w:shd w:val="clear" w:color="auto" w:fill="auto"/>
            <w:noWrap/>
          </w:tcPr>
          <w:p w:rsidR="00CE457A" w:rsidRPr="00802BA8" w:rsidRDefault="00CE457A" w:rsidP="00C26E37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</w:tr>
      <w:tr w:rsidR="006305B0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RTM</w:t>
            </w:r>
          </w:p>
        </w:tc>
        <w:tc>
          <w:tcPr>
            <w:tcW w:w="2722" w:type="dxa"/>
            <w:shd w:val="clear" w:color="auto" w:fill="auto"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Titre</w:t>
            </w:r>
          </w:p>
        </w:tc>
        <w:tc>
          <w:tcPr>
            <w:tcW w:w="1247" w:type="dxa"/>
            <w:shd w:val="clear" w:color="auto" w:fill="auto"/>
          </w:tcPr>
          <w:p w:rsidR="006305B0" w:rsidRPr="00802BA8" w:rsidRDefault="006305B0" w:rsidP="0097543F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 de</w:t>
            </w:r>
            <w:r w:rsidR="0097543F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travail</w:t>
            </w:r>
          </w:p>
        </w:tc>
        <w:tc>
          <w:tcPr>
            <w:tcW w:w="1418" w:type="dxa"/>
            <w:shd w:val="clear" w:color="auto" w:fill="auto"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Version</w:t>
            </w:r>
          </w:p>
        </w:tc>
        <w:tc>
          <w:tcPr>
            <w:tcW w:w="1247" w:type="dxa"/>
            <w:shd w:val="clear" w:color="auto" w:fill="auto"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Motif</w:t>
            </w:r>
          </w:p>
        </w:tc>
        <w:tc>
          <w:tcPr>
            <w:tcW w:w="1247" w:type="dxa"/>
            <w:shd w:val="clear" w:color="auto" w:fill="auto"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Organisation des travaux</w:t>
            </w:r>
          </w:p>
        </w:tc>
        <w:tc>
          <w:tcPr>
            <w:tcW w:w="1588" w:type="dxa"/>
            <w:shd w:val="clear" w:color="auto" w:fill="auto"/>
          </w:tcPr>
          <w:p w:rsidR="006305B0" w:rsidRPr="00802BA8" w:rsidRDefault="006305B0" w:rsidP="0097543F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Documents de</w:t>
            </w:r>
            <w:r w:rsidR="0097543F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référence</w:t>
            </w:r>
          </w:p>
        </w:tc>
        <w:tc>
          <w:tcPr>
            <w:tcW w:w="3629" w:type="dxa"/>
            <w:shd w:val="clear" w:color="auto" w:fill="auto"/>
            <w:noWrap/>
          </w:tcPr>
          <w:p w:rsidR="006305B0" w:rsidRPr="00802BA8" w:rsidRDefault="006305B0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État d’avancement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rFonts w:eastAsia="MS Mincho"/>
                <w:b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b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5B41C2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Prescriptions techniques applicables aux systèmes de</w:t>
            </w:r>
            <w:r w:rsidR="005B41C2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diagnostic embarqué (OBD) pour véhicules routiers 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Systèmes de contrôle de stabilité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Émissions hors cycle 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Emplacement, moyens d’identification et fonctionnement des commandes, témoins et indicateurs </w:t>
            </w:r>
            <w:r w:rsidR="0097543F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sur les motocycles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GRE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Essai de choc latéral </w:t>
            </w:r>
            <w:r w:rsidR="0097543F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contre un poteau 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GRSP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(Australie)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Responsable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Australie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Aucune nouvelle information n’a été fournie </w:t>
            </w:r>
            <w:r w:rsidR="0097543F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à la session de mars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2016 de l’AC.3.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Procédure de mesure des émissions de gaz de carter et des émissions par évaporation des véhicules à deux ou trois roues équipés d’un moteur à combustion interne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017D30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802BA8">
            <w:pPr>
              <w:keepNext/>
              <w:keepLines/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N’a pas encore été communiqué</w:t>
            </w:r>
            <w:r w:rsidR="00802BA8" w:rsidRPr="00802BA8">
              <w:rPr>
                <w:sz w:val="18"/>
                <w:szCs w:val="18"/>
                <w:lang w:eastAsia="zh-CN"/>
              </w:rPr>
              <w:t> !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Procédure de mesure applicable aux véhicules à deux ou trois roues en ce qui concerne </w:t>
            </w:r>
            <w:r w:rsidR="0097543F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les systèmes d’autodiagnostic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GRPE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N’a pas encore été communiqué</w:t>
            </w:r>
            <w:r w:rsidR="00802BA8" w:rsidRPr="00802BA8">
              <w:rPr>
                <w:sz w:val="18"/>
                <w:szCs w:val="18"/>
                <w:lang w:eastAsia="zh-CN"/>
              </w:rPr>
              <w:t> !</w:t>
            </w:r>
          </w:p>
        </w:tc>
      </w:tr>
      <w:tr w:rsidR="003A735C" w:rsidRPr="00802BA8" w:rsidTr="00802B23">
        <w:trPr>
          <w:cantSplit/>
        </w:trPr>
        <w:tc>
          <w:tcPr>
            <w:tcW w:w="680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29" w:type="dxa"/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3A735C" w:rsidRPr="00802BA8" w:rsidTr="00802B23">
        <w:trPr>
          <w:cantSplit/>
        </w:trPr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RTM 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b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[x3]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Véhicules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b/>
                <w:sz w:val="18"/>
                <w:szCs w:val="18"/>
                <w:lang w:eastAsia="zh-CN"/>
              </w:rPr>
              <w:t xml:space="preserve">à moteur silencieux 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Prise en compte du Règlement </w:t>
            </w:r>
            <w:r w:rsidR="00C26E37" w:rsidRPr="00802BA8">
              <w:rPr>
                <w:rFonts w:eastAsia="MS Mincho"/>
                <w:sz w:val="18"/>
                <w:szCs w:val="22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22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C26E37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Oui (États-Unis d’Amérique)</w:t>
            </w:r>
            <w:r w:rsidR="00802BA8" w:rsidRPr="00802BA8">
              <w:rPr>
                <w:sz w:val="18"/>
                <w:szCs w:val="18"/>
                <w:lang w:eastAsia="zh-CN"/>
              </w:rPr>
              <w:t> ;</w:t>
            </w:r>
            <w:r w:rsidRPr="00802BA8">
              <w:rPr>
                <w:sz w:val="18"/>
                <w:szCs w:val="18"/>
                <w:lang w:eastAsia="zh-CN"/>
              </w:rPr>
              <w:t xml:space="preserve"> Vice-Président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Japon Secrétariat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CE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97543F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Projet de RTM </w:t>
            </w:r>
            <w:r w:rsidR="0097543F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du 19 nov</w:t>
            </w:r>
            <w:r w:rsidR="0097543F">
              <w:rPr>
                <w:sz w:val="18"/>
                <w:szCs w:val="18"/>
                <w:lang w:eastAsia="zh-CN"/>
              </w:rPr>
              <w:t>embre</w:t>
            </w:r>
            <w:r w:rsidRPr="00802BA8">
              <w:rPr>
                <w:sz w:val="18"/>
                <w:szCs w:val="18"/>
                <w:lang w:eastAsia="zh-CN"/>
              </w:rPr>
              <w:t xml:space="preserve"> 2014</w:t>
            </w:r>
          </w:p>
        </w:tc>
        <w:tc>
          <w:tcPr>
            <w:tcW w:w="36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802BA8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En raison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du report au 5</w:t>
            </w:r>
            <w:r w:rsidR="00802BA8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septembre 2017 de la date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d’entrée en vigueur du règlement des États-Unis d’Amérique, l’expert des États-Unis a fait savoir que le prochain RTM sur les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véhicules à moteur silencieux serait disponible après cette date. Des précisions supplémentaires devraient être données par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="00732E4F">
              <w:rPr>
                <w:sz w:val="18"/>
                <w:szCs w:val="18"/>
                <w:lang w:eastAsia="zh-CN"/>
              </w:rPr>
              <w:t>l’Administration nationale de la</w:t>
            </w:r>
            <w:r w:rsidRPr="00802BA8">
              <w:rPr>
                <w:sz w:val="18"/>
                <w:szCs w:val="18"/>
                <w:lang w:eastAsia="zh-CN"/>
              </w:rPr>
              <w:t xml:space="preserve"> sécurité routière (National Highway Traffic Safety Administration (NHTSA))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à la session de novembre 2017 du WP.29.</w:t>
            </w:r>
          </w:p>
        </w:tc>
      </w:tr>
    </w:tbl>
    <w:p w:rsidR="00B23326" w:rsidRPr="00802BA8" w:rsidRDefault="00B23326" w:rsidP="00B23326"/>
    <w:p w:rsidR="00B23326" w:rsidRPr="00802BA8" w:rsidRDefault="00B23326" w:rsidP="00017D30">
      <w:pPr>
        <w:spacing w:line="20" w:lineRule="exact"/>
      </w:pPr>
      <w:r w:rsidRPr="00802BA8">
        <w:br w:type="page"/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701"/>
        <w:gridCol w:w="1191"/>
        <w:gridCol w:w="1361"/>
        <w:gridCol w:w="5557"/>
      </w:tblGrid>
      <w:tr w:rsidR="00017D30" w:rsidRPr="00802BA8" w:rsidTr="00802B23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02BA8">
              <w:rPr>
                <w:i/>
                <w:sz w:val="16"/>
                <w:lang w:eastAsia="zh-CN"/>
              </w:rPr>
              <w:t>II. Nouvelles priorités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23326" w:rsidRPr="00802BA8" w:rsidRDefault="00B23326" w:rsidP="00017D3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</w:p>
        </w:tc>
      </w:tr>
      <w:tr w:rsidR="00017D30" w:rsidRPr="00802BA8" w:rsidTr="00802B23">
        <w:trPr>
          <w:cantSplit/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</w:tcPr>
          <w:p w:rsidR="00017D30" w:rsidRPr="00802BA8" w:rsidRDefault="00017D30" w:rsidP="00017D30">
            <w:pPr>
              <w:suppressAutoHyphens w:val="0"/>
              <w:spacing w:before="40" w:after="120"/>
              <w:ind w:right="113"/>
              <w:rPr>
                <w:lang w:eastAsia="zh-CN"/>
              </w:rPr>
            </w:pPr>
          </w:p>
        </w:tc>
      </w:tr>
      <w:tr w:rsidR="00017D30" w:rsidRPr="00802BA8" w:rsidTr="00802B23">
        <w:trPr>
          <w:cantSplit/>
          <w:trHeight w:val="360"/>
        </w:trPr>
        <w:tc>
          <w:tcPr>
            <w:tcW w:w="2552" w:type="dxa"/>
            <w:vMerge w:val="restart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Titre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Organisation des</w:t>
            </w:r>
            <w:r w:rsidR="00D81649" w:rsidRPr="00802BA8">
              <w:rPr>
                <w:b/>
                <w:sz w:val="18"/>
                <w:szCs w:val="18"/>
                <w:lang w:eastAsia="zh-CN"/>
              </w:rPr>
              <w:t> </w:t>
            </w:r>
            <w:r w:rsidRPr="00802BA8">
              <w:rPr>
                <w:b/>
                <w:sz w:val="18"/>
                <w:szCs w:val="18"/>
                <w:lang w:eastAsia="zh-CN"/>
              </w:rPr>
              <w:t>travaux</w:t>
            </w: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Documents de référence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Date à laquelle les travaux devraient commencer</w:t>
            </w:r>
            <w:r w:rsidR="005B41C2" w:rsidRPr="005B41C2">
              <w:rPr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557" w:type="dxa"/>
            <w:vMerge w:val="restart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Observations</w:t>
            </w:r>
          </w:p>
        </w:tc>
      </w:tr>
      <w:tr w:rsidR="00B23326" w:rsidRPr="00802BA8" w:rsidTr="00802B23">
        <w:trPr>
          <w:cantSplit/>
          <w:trHeight w:val="400"/>
        </w:trPr>
        <w:tc>
          <w:tcPr>
            <w:tcW w:w="2552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  <w:trHeight w:val="400"/>
        </w:trPr>
        <w:tc>
          <w:tcPr>
            <w:tcW w:w="2552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vMerge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Règlement-cadre sur les véhicules automatisés/</w:t>
            </w:r>
            <w:r w:rsidR="00D81649" w:rsidRPr="00802BA8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b/>
                <w:sz w:val="18"/>
                <w:szCs w:val="18"/>
                <w:lang w:eastAsia="zh-CN"/>
              </w:rPr>
              <w:t>autonomes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C330D6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 xml:space="preserve">Nouveau groupe de travail ? </w:t>
            </w:r>
            <w:r w:rsidR="00C330D6">
              <w:rPr>
                <w:b/>
                <w:sz w:val="18"/>
                <w:szCs w:val="18"/>
                <w:lang w:eastAsia="zh-CN"/>
              </w:rPr>
              <w:br/>
            </w:r>
            <w:r w:rsidRPr="00802BA8">
              <w:rPr>
                <w:b/>
                <w:sz w:val="18"/>
                <w:szCs w:val="18"/>
                <w:lang w:eastAsia="zh-CN"/>
              </w:rPr>
              <w:t>Groupe de travail informel ITS/AD ?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(Groupe de travail informel ACSF)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MT (à</w:t>
            </w:r>
            <w:r w:rsidR="00D81649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Pourrait aussi prendre la forme d’un Règlement de la CEE</w:t>
            </w:r>
            <w:r w:rsidR="0097543F">
              <w:rPr>
                <w:sz w:val="18"/>
                <w:szCs w:val="18"/>
                <w:lang w:eastAsia="zh-CN"/>
              </w:rPr>
              <w:t>.</w:t>
            </w:r>
            <w:r w:rsidRPr="00802BA8">
              <w:rPr>
                <w:sz w:val="18"/>
                <w:szCs w:val="18"/>
                <w:lang w:eastAsia="zh-CN"/>
              </w:rPr>
              <w:t xml:space="preserve"> </w:t>
            </w:r>
            <w:r w:rsidR="00D81649" w:rsidRPr="00802BA8">
              <w:rPr>
                <w:sz w:val="18"/>
                <w:szCs w:val="18"/>
                <w:lang w:eastAsia="zh-CN"/>
              </w:rPr>
              <w:br/>
            </w:r>
            <w:r w:rsidRPr="00802BA8">
              <w:rPr>
                <w:sz w:val="18"/>
                <w:szCs w:val="18"/>
                <w:lang w:eastAsia="zh-CN"/>
              </w:rPr>
              <w:t>[ACSF</w:t>
            </w:r>
            <w:r w:rsidR="00802BA8" w:rsidRPr="00802BA8">
              <w:rPr>
                <w:sz w:val="18"/>
                <w:szCs w:val="18"/>
                <w:lang w:eastAsia="zh-CN"/>
              </w:rPr>
              <w:t> :</w:t>
            </w:r>
            <w:r w:rsidRPr="00802BA8">
              <w:rPr>
                <w:sz w:val="18"/>
                <w:szCs w:val="18"/>
                <w:lang w:eastAsia="zh-CN"/>
              </w:rPr>
              <w:t xml:space="preserve"> Fonction de direction à commande automatique]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Sécurité informatique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 de travail informel ITS/AD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spécial de la cybersécurité et des questions de sécurité des transmissions sans fil (CS/OTA)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CT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La question de savoir si les questions relatives à la sécurité informatique seront traitées par le groupe de travail informel et le groupe spécial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CS/OTA n’est pas encore tranchée.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La sécurité informatique pourrait également faire l’objet d’un Règlement de la CEE. Les travaux du Groupe spécial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 xml:space="preserve">sur les questions relatives à la sécurité informatique (CS) et à la mise à jour des logiciels par radiocommunication (OTA) se poursuivent. 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Systèmes actifs de freinage d’urgence (AEBS)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 des systèmes actifs de freinage d’urgence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(AEBS)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MT (à</w:t>
            </w:r>
            <w:r w:rsidR="00D81649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Quelques travaux ont été réalisés sur la question de la collision des camions et des bus contre des obstacles fixes ou en mouvement (voir Règlement </w:t>
            </w:r>
            <w:r w:rsidR="00C26E37" w:rsidRPr="00802BA8">
              <w:rPr>
                <w:rFonts w:eastAsia="MS Mincho"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131). L’activité a été lancée avec la création d’un groupe de travail informel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des systèmes actifs de freinage d’urgence (AEBS) pour les voitures (nécessaire pour la future révision du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>RTM)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Système d’aide au maintien dans la voie (LKAS)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Groupe de travail informel ACSF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MT (à</w:t>
            </w:r>
            <w:r w:rsidR="00D81649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Le WP.29 a déjà adopté un amendement au Règlement </w:t>
            </w:r>
            <w:r w:rsidR="00C26E37" w:rsidRPr="00802BA8">
              <w:rPr>
                <w:rFonts w:eastAsia="MS Mincho"/>
                <w:sz w:val="18"/>
                <w:szCs w:val="18"/>
                <w:lang w:eastAsia="zh-CN"/>
              </w:rPr>
              <w:t>n</w:t>
            </w:r>
            <w:r w:rsidR="00C26E37" w:rsidRPr="00802BA8">
              <w:rPr>
                <w:rFonts w:eastAsia="MS Mincho"/>
                <w:sz w:val="18"/>
                <w:szCs w:val="18"/>
                <w:vertAlign w:val="superscript"/>
                <w:lang w:eastAsia="zh-CN"/>
              </w:rPr>
              <w:t>o</w:t>
            </w:r>
            <w:r w:rsidR="00C26E37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 xml:space="preserve">79 en mars 2017, qui pourrait être transformé en RTM dans la mesure où les États-Unis d’Amérique envisagent eux aussi de réglementer. 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Enregistreur de données de route (EDR)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GRSG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MT (à</w:t>
            </w:r>
            <w:r w:rsidR="00D81649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Devrait être compatible avec les prescriptions relatives aux véhicules hautement automatisés.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lastRenderedPageBreak/>
              <w:t>Contrôle longitudinal (Régulateur de vitesse actif, freinage préventif)</w:t>
            </w: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GRRF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D81649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 xml:space="preserve">À </w:t>
            </w:r>
            <w:r w:rsidR="00B23326" w:rsidRPr="00802BA8">
              <w:rPr>
                <w:sz w:val="18"/>
                <w:szCs w:val="18"/>
                <w:lang w:eastAsia="zh-CN"/>
              </w:rPr>
              <w:t>déterminer</w:t>
            </w:r>
          </w:p>
        </w:tc>
        <w:tc>
          <w:tcPr>
            <w:tcW w:w="5557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Pourrait également prendre la forme d’un Règlement de la CEE.</w:t>
            </w:r>
            <w:r w:rsidR="00802BA8" w:rsidRPr="00802BA8">
              <w:rPr>
                <w:sz w:val="18"/>
                <w:szCs w:val="18"/>
                <w:lang w:eastAsia="zh-CN"/>
              </w:rPr>
              <w:t xml:space="preserve"> </w:t>
            </w:r>
            <w:r w:rsidRPr="00802BA8">
              <w:rPr>
                <w:sz w:val="18"/>
                <w:szCs w:val="18"/>
                <w:lang w:eastAsia="zh-CN"/>
              </w:rPr>
              <w:t xml:space="preserve">Le contrôle longitudinal n’est pas réglementé à l’heure actuelle, à l’exception de l’AEBS pour les véhicules utilitaires lourds. </w:t>
            </w:r>
          </w:p>
        </w:tc>
      </w:tr>
      <w:tr w:rsidR="00B23326" w:rsidRPr="00802BA8" w:rsidTr="00802B23">
        <w:trPr>
          <w:cantSplit/>
        </w:trPr>
        <w:tc>
          <w:tcPr>
            <w:tcW w:w="2552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noWrap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</w:p>
        </w:tc>
      </w:tr>
      <w:tr w:rsidR="00017D30" w:rsidRPr="00802BA8" w:rsidTr="00802B23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Détection de la responsabilité du conducteur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Groupe de travail informel ITS/AD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b/>
                <w:sz w:val="18"/>
                <w:szCs w:val="18"/>
                <w:lang w:eastAsia="zh-CN"/>
              </w:rPr>
            </w:pPr>
            <w:r w:rsidRPr="00802BA8">
              <w:rPr>
                <w:b/>
                <w:sz w:val="18"/>
                <w:szCs w:val="18"/>
                <w:lang w:eastAsia="zh-CN"/>
              </w:rPr>
              <w:t>GRSG</w:t>
            </w:r>
            <w:r w:rsidR="00802BA8" w:rsidRPr="00802BA8">
              <w:rPr>
                <w:b/>
                <w:sz w:val="18"/>
                <w:szCs w:val="18"/>
                <w:lang w:eastAsia="zh-CN"/>
              </w:rPr>
              <w:t> 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D81649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MT (à</w:t>
            </w:r>
            <w:r w:rsidR="00D81649" w:rsidRPr="00802BA8">
              <w:rPr>
                <w:sz w:val="18"/>
                <w:szCs w:val="18"/>
                <w:lang w:eastAsia="zh-CN"/>
              </w:rPr>
              <w:t> </w:t>
            </w:r>
            <w:r w:rsidRPr="00802BA8">
              <w:rPr>
                <w:sz w:val="18"/>
                <w:szCs w:val="18"/>
                <w:lang w:eastAsia="zh-CN"/>
              </w:rPr>
              <w:t>confirmer)</w:t>
            </w:r>
          </w:p>
        </w:tc>
        <w:tc>
          <w:tcPr>
            <w:tcW w:w="555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23326" w:rsidRPr="00802BA8" w:rsidRDefault="00B23326" w:rsidP="00017D30">
            <w:pPr>
              <w:suppressAutoHyphens w:val="0"/>
              <w:spacing w:before="40" w:after="120"/>
              <w:ind w:right="113"/>
              <w:rPr>
                <w:sz w:val="18"/>
                <w:szCs w:val="18"/>
                <w:lang w:eastAsia="zh-CN"/>
              </w:rPr>
            </w:pPr>
            <w:r w:rsidRPr="00802BA8">
              <w:rPr>
                <w:sz w:val="18"/>
                <w:szCs w:val="18"/>
                <w:lang w:eastAsia="zh-CN"/>
              </w:rPr>
              <w:t>Devrait être compatible avec les prescriptions relatives aux véhicules hautement automatisés.</w:t>
            </w:r>
          </w:p>
        </w:tc>
      </w:tr>
    </w:tbl>
    <w:p w:rsidR="00B23326" w:rsidRPr="00802BA8" w:rsidRDefault="00B23326" w:rsidP="004E08A5">
      <w:pPr>
        <w:spacing w:before="120" w:after="240"/>
        <w:ind w:left="454"/>
      </w:pPr>
      <w:r w:rsidRPr="00802BA8">
        <w:t>*</w:t>
      </w:r>
      <w:r w:rsidR="004E08A5" w:rsidRPr="00C330D6">
        <w:rPr>
          <w:sz w:val="18"/>
        </w:rPr>
        <w:t xml:space="preserve"> </w:t>
      </w:r>
      <w:r w:rsidRPr="00C330D6">
        <w:rPr>
          <w:sz w:val="18"/>
        </w:rPr>
        <w:t xml:space="preserve"> CT</w:t>
      </w:r>
      <w:r w:rsidR="00802BA8" w:rsidRPr="00C330D6">
        <w:rPr>
          <w:sz w:val="18"/>
        </w:rPr>
        <w:t> :</w:t>
      </w:r>
      <w:r w:rsidRPr="00C330D6">
        <w:rPr>
          <w:sz w:val="18"/>
        </w:rPr>
        <w:t xml:space="preserve"> Court terme (&lt;</w:t>
      </w:r>
      <w:r w:rsidR="0097543F">
        <w:rPr>
          <w:sz w:val="18"/>
        </w:rPr>
        <w:t xml:space="preserve"> un</w:t>
      </w:r>
      <w:r w:rsidRPr="00C330D6">
        <w:rPr>
          <w:sz w:val="18"/>
        </w:rPr>
        <w:t xml:space="preserve"> an)</w:t>
      </w:r>
      <w:r w:rsidR="00802BA8" w:rsidRPr="00C330D6">
        <w:rPr>
          <w:rFonts w:ascii="Cambria Math" w:hAnsi="Cambria Math" w:cs="Cambria Math"/>
          <w:sz w:val="18"/>
        </w:rPr>
        <w:t xml:space="preserve"> − </w:t>
      </w:r>
      <w:r w:rsidRPr="00C330D6">
        <w:rPr>
          <w:sz w:val="18"/>
        </w:rPr>
        <w:t>MT</w:t>
      </w:r>
      <w:r w:rsidR="00802BA8" w:rsidRPr="00C330D6">
        <w:rPr>
          <w:sz w:val="18"/>
        </w:rPr>
        <w:t> :</w:t>
      </w:r>
      <w:r w:rsidRPr="00C330D6">
        <w:rPr>
          <w:sz w:val="18"/>
        </w:rPr>
        <w:t xml:space="preserve"> Moyen terme</w:t>
      </w:r>
      <w:r w:rsidR="00802BA8" w:rsidRPr="00C330D6">
        <w:rPr>
          <w:rFonts w:ascii="Cambria Math" w:hAnsi="Cambria Math" w:cs="Cambria Math"/>
          <w:sz w:val="18"/>
        </w:rPr>
        <w:t xml:space="preserve"> − </w:t>
      </w:r>
      <w:r w:rsidRPr="00C330D6">
        <w:rPr>
          <w:sz w:val="18"/>
        </w:rPr>
        <w:t>LT</w:t>
      </w:r>
      <w:r w:rsidR="00802BA8" w:rsidRPr="00C330D6">
        <w:rPr>
          <w:sz w:val="18"/>
        </w:rPr>
        <w:t> :</w:t>
      </w:r>
      <w:r w:rsidRPr="00C330D6">
        <w:rPr>
          <w:sz w:val="18"/>
        </w:rPr>
        <w:t xml:space="preserve"> Long terme (&gt;</w:t>
      </w:r>
      <w:r w:rsidR="0097543F">
        <w:rPr>
          <w:sz w:val="18"/>
        </w:rPr>
        <w:t xml:space="preserve"> trois</w:t>
      </w:r>
      <w:r w:rsidRPr="00C330D6">
        <w:rPr>
          <w:sz w:val="18"/>
        </w:rPr>
        <w:t xml:space="preserve"> ans)</w:t>
      </w:r>
      <w:r w:rsidR="004E08A5" w:rsidRPr="00C330D6">
        <w:rPr>
          <w:sz w:val="18"/>
        </w:rPr>
        <w:t>.</w:t>
      </w:r>
    </w:p>
    <w:p w:rsidR="004E08A5" w:rsidRPr="00802BA8" w:rsidRDefault="004E08A5" w:rsidP="004E08A5">
      <w:pPr>
        <w:pStyle w:val="SingleTxtG"/>
        <w:spacing w:before="240" w:after="0"/>
        <w:jc w:val="center"/>
        <w:rPr>
          <w:u w:val="single"/>
        </w:rPr>
      </w:pPr>
      <w:r w:rsidRPr="00802BA8">
        <w:rPr>
          <w:u w:val="single"/>
        </w:rPr>
        <w:tab/>
      </w:r>
      <w:r w:rsidRPr="00802BA8">
        <w:rPr>
          <w:u w:val="single"/>
        </w:rPr>
        <w:tab/>
      </w:r>
      <w:r w:rsidRPr="00802BA8">
        <w:rPr>
          <w:u w:val="single"/>
        </w:rPr>
        <w:tab/>
      </w:r>
    </w:p>
    <w:sectPr w:rsidR="004E08A5" w:rsidRPr="00802BA8" w:rsidSect="00B23326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25" w:rsidRDefault="001F5A25" w:rsidP="00F95C08">
      <w:pPr>
        <w:spacing w:line="240" w:lineRule="auto"/>
      </w:pPr>
    </w:p>
  </w:endnote>
  <w:endnote w:type="continuationSeparator" w:id="0">
    <w:p w:rsidR="001F5A25" w:rsidRPr="00AC3823" w:rsidRDefault="001F5A25" w:rsidP="00AC3823">
      <w:pPr>
        <w:pStyle w:val="Footer"/>
      </w:pPr>
    </w:p>
  </w:endnote>
  <w:endnote w:type="continuationNotice" w:id="1">
    <w:p w:rsidR="001F5A25" w:rsidRDefault="001F5A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47127" w:rsidRDefault="001F5A25" w:rsidP="00B47127">
    <w:pPr>
      <w:pStyle w:val="Footer"/>
      <w:tabs>
        <w:tab w:val="right" w:pos="9638"/>
      </w:tabs>
    </w:pPr>
    <w:r w:rsidRPr="00B47127">
      <w:rPr>
        <w:b/>
        <w:sz w:val="18"/>
      </w:rPr>
      <w:fldChar w:fldCharType="begin"/>
    </w:r>
    <w:r w:rsidRPr="00B47127">
      <w:rPr>
        <w:b/>
        <w:sz w:val="18"/>
      </w:rPr>
      <w:instrText xml:space="preserve"> PAGE  \* MERGEFORMAT </w:instrText>
    </w:r>
    <w:r w:rsidRPr="00B47127">
      <w:rPr>
        <w:b/>
        <w:sz w:val="18"/>
      </w:rPr>
      <w:fldChar w:fldCharType="separate"/>
    </w:r>
    <w:r w:rsidR="00337923">
      <w:rPr>
        <w:b/>
        <w:noProof/>
        <w:sz w:val="18"/>
      </w:rPr>
      <w:t>11</w:t>
    </w:r>
    <w:r w:rsidRPr="00B47127">
      <w:rPr>
        <w:b/>
        <w:sz w:val="18"/>
      </w:rPr>
      <w:fldChar w:fldCharType="end"/>
    </w:r>
    <w:r>
      <w:rPr>
        <w:b/>
        <w:sz w:val="18"/>
      </w:rPr>
      <w:tab/>
    </w:r>
    <w:r>
      <w:t>GE.18-00156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47127" w:rsidRDefault="001F5A25" w:rsidP="00B47127">
    <w:pPr>
      <w:pStyle w:val="Footer"/>
      <w:tabs>
        <w:tab w:val="right" w:pos="9638"/>
      </w:tabs>
      <w:rPr>
        <w:b/>
        <w:sz w:val="18"/>
      </w:rPr>
    </w:pPr>
    <w:r>
      <w:t>GE.18-00156</w:t>
    </w:r>
    <w:r>
      <w:tab/>
    </w:r>
    <w:r w:rsidRPr="00B47127">
      <w:rPr>
        <w:b/>
        <w:sz w:val="18"/>
      </w:rPr>
      <w:fldChar w:fldCharType="begin"/>
    </w:r>
    <w:r w:rsidRPr="00B47127">
      <w:rPr>
        <w:b/>
        <w:sz w:val="18"/>
      </w:rPr>
      <w:instrText xml:space="preserve"> PAGE  \* MERGEFORMAT </w:instrText>
    </w:r>
    <w:r w:rsidRPr="00B47127">
      <w:rPr>
        <w:b/>
        <w:sz w:val="18"/>
      </w:rPr>
      <w:fldChar w:fldCharType="separate"/>
    </w:r>
    <w:r w:rsidR="00337923">
      <w:rPr>
        <w:b/>
        <w:noProof/>
        <w:sz w:val="18"/>
      </w:rPr>
      <w:t>11</w:t>
    </w:r>
    <w:r w:rsidRPr="00B47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47127" w:rsidRDefault="001F5A25" w:rsidP="00B47127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18-00156  (F)    290118    290118</w:t>
    </w:r>
    <w:r>
      <w:rPr>
        <w:sz w:val="20"/>
      </w:rPr>
      <w:br/>
    </w:r>
    <w:r w:rsidRPr="00B47127">
      <w:rPr>
        <w:rFonts w:ascii="C39T30Lfz" w:hAnsi="C39T30Lfz"/>
        <w:sz w:val="56"/>
      </w:rPr>
      <w:t></w:t>
    </w:r>
    <w:r w:rsidRPr="00B47127">
      <w:rPr>
        <w:rFonts w:ascii="C39T30Lfz" w:hAnsi="C39T30Lfz"/>
        <w:sz w:val="56"/>
      </w:rPr>
      <w:t></w:t>
    </w:r>
    <w:r w:rsidRPr="00B47127">
      <w:rPr>
        <w:rFonts w:ascii="C39T30Lfz" w:hAnsi="C39T30Lfz"/>
        <w:sz w:val="56"/>
      </w:rPr>
      <w:t></w:t>
    </w:r>
    <w:r w:rsidRPr="00B47127">
      <w:rPr>
        <w:rFonts w:ascii="C39T30Lfz" w:hAnsi="C39T30Lfz"/>
        <w:sz w:val="56"/>
      </w:rPr>
      <w:t></w:t>
    </w:r>
    <w:r w:rsidRPr="00B47127">
      <w:rPr>
        <w:rFonts w:ascii="C39T30Lfz" w:hAnsi="C39T30Lfz"/>
        <w:sz w:val="56"/>
      </w:rPr>
      <w:t></w:t>
    </w:r>
    <w:r w:rsidRPr="00B47127">
      <w:rPr>
        <w:rFonts w:ascii="C39T30Lfz" w:hAnsi="C39T30Lfz"/>
        <w:sz w:val="56"/>
      </w:rPr>
      <w:t></w:t>
    </w:r>
    <w:r w:rsidRPr="00B47127">
      <w:rPr>
        <w:rFonts w:ascii="C39T30Lfz" w:hAnsi="C39T30Lfz"/>
        <w:sz w:val="56"/>
      </w:rPr>
      <w:t></w:t>
    </w:r>
    <w:r w:rsidRPr="00B47127">
      <w:rPr>
        <w:rFonts w:ascii="C39T30Lfz" w:hAnsi="C39T30Lfz"/>
        <w:sz w:val="56"/>
      </w:rPr>
      <w:t></w:t>
    </w:r>
    <w:r w:rsidRPr="00B4712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23326" w:rsidRDefault="001F5A25" w:rsidP="00B23326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F5A25" w:rsidRPr="00B47127" w:rsidRDefault="001F5A25" w:rsidP="00B23326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B4712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712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712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02AFC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B4712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GE.18-00156</w:t>
                          </w:r>
                        </w:p>
                        <w:p w:rsidR="001F5A25" w:rsidRDefault="001F5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GtbbHb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F5A25" w:rsidRPr="00B47127" w:rsidRDefault="001F5A25" w:rsidP="00B23326">
                    <w:pPr>
                      <w:pStyle w:val="Footer"/>
                      <w:tabs>
                        <w:tab w:val="right" w:pos="9638"/>
                      </w:tabs>
                    </w:pPr>
                    <w:r w:rsidRPr="00B47127">
                      <w:rPr>
                        <w:b/>
                        <w:sz w:val="18"/>
                      </w:rPr>
                      <w:fldChar w:fldCharType="begin"/>
                    </w:r>
                    <w:r w:rsidRPr="00B4712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7127">
                      <w:rPr>
                        <w:b/>
                        <w:sz w:val="18"/>
                      </w:rPr>
                      <w:fldChar w:fldCharType="separate"/>
                    </w:r>
                    <w:r w:rsidR="00C02AFC">
                      <w:rPr>
                        <w:b/>
                        <w:noProof/>
                        <w:sz w:val="18"/>
                      </w:rPr>
                      <w:t>2</w:t>
                    </w:r>
                    <w:r w:rsidRPr="00B4712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GE.18-00156</w:t>
                    </w:r>
                  </w:p>
                  <w:p w:rsidR="001F5A25" w:rsidRDefault="001F5A2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23326" w:rsidRDefault="001F5A25" w:rsidP="00B23326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F5A25" w:rsidRPr="00B47127" w:rsidRDefault="001F5A25" w:rsidP="00B23326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GE.18-00156</w:t>
                          </w:r>
                          <w:r>
                            <w:tab/>
                          </w:r>
                          <w:r w:rsidRPr="00B4712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712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712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02AFC">
                            <w:rPr>
                              <w:b/>
                              <w:noProof/>
                              <w:sz w:val="18"/>
                            </w:rPr>
                            <w:t>11</w:t>
                          </w:r>
                          <w:r w:rsidRPr="00B4712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1F5A25" w:rsidRDefault="001F5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Ng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Dj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Aij02D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F5A25" w:rsidRPr="00B47127" w:rsidRDefault="001F5A25" w:rsidP="00B23326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GE.18-00156</w:t>
                    </w:r>
                    <w:r>
                      <w:tab/>
                    </w:r>
                    <w:r w:rsidRPr="00B47127">
                      <w:rPr>
                        <w:b/>
                        <w:sz w:val="18"/>
                      </w:rPr>
                      <w:fldChar w:fldCharType="begin"/>
                    </w:r>
                    <w:r w:rsidRPr="00B4712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7127">
                      <w:rPr>
                        <w:b/>
                        <w:sz w:val="18"/>
                      </w:rPr>
                      <w:fldChar w:fldCharType="separate"/>
                    </w:r>
                    <w:r w:rsidR="00C02AFC">
                      <w:rPr>
                        <w:b/>
                        <w:noProof/>
                        <w:sz w:val="18"/>
                      </w:rPr>
                      <w:t>11</w:t>
                    </w:r>
                    <w:r w:rsidRPr="00B47127">
                      <w:rPr>
                        <w:b/>
                        <w:sz w:val="18"/>
                      </w:rPr>
                      <w:fldChar w:fldCharType="end"/>
                    </w:r>
                  </w:p>
                  <w:p w:rsidR="001F5A25" w:rsidRDefault="001F5A2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25" w:rsidRPr="00AC3823" w:rsidRDefault="001F5A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5A25" w:rsidRPr="00AC3823" w:rsidRDefault="001F5A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5A25" w:rsidRPr="00AC3823" w:rsidRDefault="001F5A25">
      <w:pPr>
        <w:spacing w:line="240" w:lineRule="auto"/>
        <w:rPr>
          <w:sz w:val="2"/>
          <w:szCs w:val="2"/>
        </w:rPr>
      </w:pPr>
    </w:p>
  </w:footnote>
  <w:footnote w:id="2">
    <w:p w:rsidR="001F5A25" w:rsidRPr="00B47127" w:rsidRDefault="001F5A25" w:rsidP="00B47127">
      <w:pPr>
        <w:pStyle w:val="FootnoteText"/>
      </w:pPr>
      <w:r>
        <w:rPr>
          <w:rStyle w:val="FootnoteReference"/>
        </w:rPr>
        <w:tab/>
      </w:r>
      <w:r w:rsidRPr="00B4712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47127">
        <w:t>Conformément au programme de travail du Comité des transports intérieurs pour la période 2016-2017 (ECE/TRANS/254, par.</w:t>
      </w:r>
      <w:r>
        <w:t> </w:t>
      </w:r>
      <w:r w:rsidRPr="00B47127">
        <w:t>159</w:t>
      </w:r>
      <w:r>
        <w:t>,</w:t>
      </w:r>
      <w:r w:rsidRPr="00B47127">
        <w:t xml:space="preserve"> et ECE/TRANS/2016/28/Add.1, module 3.1),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47127" w:rsidRDefault="00C02A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5408F">
      <w:t>ECE/TRANS/WP.29/2018/34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47127" w:rsidRDefault="00C02AFC" w:rsidP="00B471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5408F">
      <w:t>ECE/TRANS/WP.29/2018/34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23326" w:rsidRDefault="001F5A25" w:rsidP="00B23326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5A25" w:rsidRPr="00B47127" w:rsidRDefault="00C02AFC" w:rsidP="00B23326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5408F">
                            <w:t>ECE/TRANS/WP.29/2018/34</w:t>
                          </w:r>
                          <w:r>
                            <w:fldChar w:fldCharType="end"/>
                          </w:r>
                        </w:p>
                        <w:p w:rsidR="001F5A25" w:rsidRDefault="001F5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1F5A25" w:rsidRPr="00B47127" w:rsidRDefault="00C02AFC" w:rsidP="00B23326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5408F">
                      <w:t>ECE/TRANS/WP.29/2018/34</w:t>
                    </w:r>
                    <w:r>
                      <w:fldChar w:fldCharType="end"/>
                    </w:r>
                  </w:p>
                  <w:p w:rsidR="001F5A25" w:rsidRDefault="001F5A2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25" w:rsidRPr="00B23326" w:rsidRDefault="001F5A25" w:rsidP="00B23326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F5A25" w:rsidRPr="00B47127" w:rsidRDefault="00C02AFC" w:rsidP="00B23326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5408F">
                            <w:t>ECE/TRANS/WP.29/2018/34</w:t>
                          </w:r>
                          <w:r>
                            <w:fldChar w:fldCharType="end"/>
                          </w:r>
                        </w:p>
                        <w:p w:rsidR="001F5A25" w:rsidRDefault="001F5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cz/gIAALg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GNHXZomYUudugkq8FwUMwZPq+R&#10;8hVz/pZZzB8oMVP9DZZSapBD7yVKKm2//U4f7HMaVrAJ8wxE/bpiFtySHxUGBlz6TrCdsOgEtWou&#10;NXomi9FEEResl51YWt08YNROwys4YoojkpzitVa89O1UxajmYjqNRhhxhvkrdWd4cB14GUp7v31g&#10;1uw7PEyZa91NOjZ+1uitbbip9HTldVnHKRBwbVEE8mGD8RhrsB/lYf7+uo9Wjz+cyU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PtDVzP+AgAAuAYAAA4AAAAAAAAAAAAAAAAALgIAAGRycy9lMm9Eb2MueG1sUEsBAi0AFAAG&#10;AAgAAAAhAGFZMmLcAAAACgEAAA8AAAAAAAAAAAAAAAAAWA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F5A25" w:rsidRPr="00B47127" w:rsidRDefault="00C02AFC" w:rsidP="00B23326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5408F">
                      <w:t>ECE/TRANS/WP.29/2018/34</w:t>
                    </w:r>
                    <w:r>
                      <w:fldChar w:fldCharType="end"/>
                    </w:r>
                  </w:p>
                  <w:p w:rsidR="001F5A25" w:rsidRDefault="001F5A25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0"/>
    <w:rsid w:val="00017D30"/>
    <w:rsid w:val="00017F94"/>
    <w:rsid w:val="00023842"/>
    <w:rsid w:val="000334F9"/>
    <w:rsid w:val="00045FEB"/>
    <w:rsid w:val="0007796D"/>
    <w:rsid w:val="000B7790"/>
    <w:rsid w:val="00111F2F"/>
    <w:rsid w:val="0011582B"/>
    <w:rsid w:val="0014365E"/>
    <w:rsid w:val="00143C66"/>
    <w:rsid w:val="0015408F"/>
    <w:rsid w:val="00176178"/>
    <w:rsid w:val="001F525A"/>
    <w:rsid w:val="001F5A25"/>
    <w:rsid w:val="00223272"/>
    <w:rsid w:val="0024779E"/>
    <w:rsid w:val="00257168"/>
    <w:rsid w:val="002744B8"/>
    <w:rsid w:val="002832AC"/>
    <w:rsid w:val="002D7C93"/>
    <w:rsid w:val="00305801"/>
    <w:rsid w:val="00337923"/>
    <w:rsid w:val="003916DE"/>
    <w:rsid w:val="003A735C"/>
    <w:rsid w:val="00441C3B"/>
    <w:rsid w:val="00446FE5"/>
    <w:rsid w:val="00452396"/>
    <w:rsid w:val="004801EB"/>
    <w:rsid w:val="004837D8"/>
    <w:rsid w:val="004852B0"/>
    <w:rsid w:val="004B1F22"/>
    <w:rsid w:val="004B66F3"/>
    <w:rsid w:val="004E08A5"/>
    <w:rsid w:val="004E468C"/>
    <w:rsid w:val="0052287C"/>
    <w:rsid w:val="005505B7"/>
    <w:rsid w:val="00573BE5"/>
    <w:rsid w:val="00586ED3"/>
    <w:rsid w:val="00596AA9"/>
    <w:rsid w:val="005B41C2"/>
    <w:rsid w:val="005B4ED4"/>
    <w:rsid w:val="006305B0"/>
    <w:rsid w:val="00657A74"/>
    <w:rsid w:val="0071601D"/>
    <w:rsid w:val="00732E4F"/>
    <w:rsid w:val="00763F77"/>
    <w:rsid w:val="007A62E6"/>
    <w:rsid w:val="007F20FA"/>
    <w:rsid w:val="00802B23"/>
    <w:rsid w:val="00802BA8"/>
    <w:rsid w:val="0080684C"/>
    <w:rsid w:val="0081700C"/>
    <w:rsid w:val="00871C75"/>
    <w:rsid w:val="008776DC"/>
    <w:rsid w:val="009446C0"/>
    <w:rsid w:val="009705C8"/>
    <w:rsid w:val="0097543F"/>
    <w:rsid w:val="0098699C"/>
    <w:rsid w:val="009A24BD"/>
    <w:rsid w:val="009C1CF4"/>
    <w:rsid w:val="009F6B74"/>
    <w:rsid w:val="00A30353"/>
    <w:rsid w:val="00A61AD0"/>
    <w:rsid w:val="00AC3823"/>
    <w:rsid w:val="00AE323C"/>
    <w:rsid w:val="00AF0CB5"/>
    <w:rsid w:val="00B00181"/>
    <w:rsid w:val="00B00B0D"/>
    <w:rsid w:val="00B23326"/>
    <w:rsid w:val="00B47127"/>
    <w:rsid w:val="00B765F7"/>
    <w:rsid w:val="00BA0CA9"/>
    <w:rsid w:val="00C02897"/>
    <w:rsid w:val="00C02AFC"/>
    <w:rsid w:val="00C26E37"/>
    <w:rsid w:val="00C330D6"/>
    <w:rsid w:val="00C532EC"/>
    <w:rsid w:val="00C97039"/>
    <w:rsid w:val="00CD2C41"/>
    <w:rsid w:val="00CE457A"/>
    <w:rsid w:val="00D3439C"/>
    <w:rsid w:val="00D81649"/>
    <w:rsid w:val="00DA3035"/>
    <w:rsid w:val="00DB1831"/>
    <w:rsid w:val="00DD3BFD"/>
    <w:rsid w:val="00DF6678"/>
    <w:rsid w:val="00E0299A"/>
    <w:rsid w:val="00E85C74"/>
    <w:rsid w:val="00EA6547"/>
    <w:rsid w:val="00EF2E22"/>
    <w:rsid w:val="00EF540C"/>
    <w:rsid w:val="00F35BAF"/>
    <w:rsid w:val="00F60959"/>
    <w:rsid w:val="00F660DF"/>
    <w:rsid w:val="00F9193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66516C-A4E5-43E7-BC59-2E7D80D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F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F2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F22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1939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ECE/TRANS/WP.29/2018/34</vt:lpstr>
      <vt:lpstr>ECE/TRANS/WP.29/2018/34</vt:lpstr>
    </vt:vector>
  </TitlesOfParts>
  <Company>DCM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ECE/TRANS/WP.29/2018/34</dc:title>
  <dc:subject/>
  <dc:creator>Pascale BEYSARD</dc:creator>
  <cp:keywords/>
  <cp:lastModifiedBy>CRP.1/A.6</cp:lastModifiedBy>
  <cp:revision>2</cp:revision>
  <cp:lastPrinted>2018-01-29T11:47:00Z</cp:lastPrinted>
  <dcterms:created xsi:type="dcterms:W3CDTF">2018-01-29T17:35:00Z</dcterms:created>
  <dcterms:modified xsi:type="dcterms:W3CDTF">2018-01-29T17:35:00Z</dcterms:modified>
</cp:coreProperties>
</file>