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2E1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2E1F" w:rsidP="00AA2E1F">
            <w:pPr>
              <w:jc w:val="right"/>
            </w:pPr>
            <w:r w:rsidRPr="00AA2E1F">
              <w:rPr>
                <w:sz w:val="40"/>
              </w:rPr>
              <w:t>ECE</w:t>
            </w:r>
            <w:r>
              <w:t>/TRANS/WP.29/2018/14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2E1F" w:rsidP="00C97039">
            <w:pPr>
              <w:spacing w:before="240"/>
            </w:pPr>
            <w:r>
              <w:t>Distr. générale</w:t>
            </w:r>
          </w:p>
          <w:p w:rsidR="00AA2E1F" w:rsidRDefault="00AA2E1F" w:rsidP="00AA2E1F">
            <w:pPr>
              <w:spacing w:line="240" w:lineRule="exact"/>
            </w:pPr>
            <w:r>
              <w:t>26 décembre 2017</w:t>
            </w:r>
          </w:p>
          <w:p w:rsidR="00AA2E1F" w:rsidRDefault="00AA2E1F" w:rsidP="00AA2E1F">
            <w:pPr>
              <w:spacing w:line="240" w:lineRule="exact"/>
            </w:pPr>
            <w:r>
              <w:t>Français</w:t>
            </w:r>
          </w:p>
          <w:p w:rsidR="00AA2E1F" w:rsidRPr="00DB58B5" w:rsidRDefault="00AA2E1F" w:rsidP="00AA2E1F">
            <w:pPr>
              <w:spacing w:line="240" w:lineRule="exact"/>
            </w:pPr>
            <w:r>
              <w:t>Original : amglais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0308C" w:rsidRDefault="00C0308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0308C" w:rsidRPr="0050664C" w:rsidRDefault="00C0308C" w:rsidP="00C0308C">
      <w:pPr>
        <w:tabs>
          <w:tab w:val="center" w:pos="4819"/>
        </w:tabs>
        <w:kinsoku/>
        <w:overflowPunct/>
        <w:autoSpaceDE/>
        <w:autoSpaceDN/>
        <w:adjustRightInd/>
        <w:snapToGrid/>
        <w:spacing w:before="120"/>
        <w:rPr>
          <w:rFonts w:eastAsia="Times New Roman"/>
          <w:b/>
        </w:rPr>
      </w:pPr>
      <w:r>
        <w:rPr>
          <w:b/>
        </w:rPr>
        <w:t>174</w:t>
      </w:r>
      <w:r>
        <w:rPr>
          <w:b/>
          <w:vertAlign w:val="superscript"/>
        </w:rPr>
        <w:t>e</w:t>
      </w:r>
      <w:r>
        <w:rPr>
          <w:b/>
        </w:rPr>
        <w:t xml:space="preserve"> session</w:t>
      </w:r>
    </w:p>
    <w:p w:rsidR="00C0308C" w:rsidRPr="0050664C" w:rsidRDefault="00C0308C" w:rsidP="00C0308C">
      <w:pPr>
        <w:kinsoku/>
        <w:overflowPunct/>
        <w:autoSpaceDE/>
        <w:autoSpaceDN/>
        <w:adjustRightInd/>
        <w:snapToGrid/>
        <w:rPr>
          <w:rFonts w:eastAsia="Times New Roman"/>
        </w:rPr>
      </w:pPr>
      <w:r>
        <w:t>Genève, 13-16 mars 2018</w:t>
      </w:r>
    </w:p>
    <w:p w:rsidR="00C0308C" w:rsidRPr="0050664C" w:rsidRDefault="00C0308C" w:rsidP="00C0308C">
      <w:pPr>
        <w:kinsoku/>
        <w:overflowPunct/>
        <w:autoSpaceDE/>
        <w:autoSpaceDN/>
        <w:adjustRightInd/>
        <w:snapToGrid/>
        <w:rPr>
          <w:rFonts w:eastAsia="Times New Roman"/>
        </w:rPr>
      </w:pPr>
      <w:r>
        <w:t>Point 4.7.7 de l’ordre du jour provisoire</w:t>
      </w:r>
    </w:p>
    <w:p w:rsidR="00C0308C" w:rsidRPr="0050664C" w:rsidRDefault="00C0308C" w:rsidP="00C0308C">
      <w:pPr>
        <w:kinsoku/>
        <w:overflowPunct/>
        <w:autoSpaceDE/>
        <w:autoSpaceDN/>
        <w:adjustRightInd/>
        <w:snapToGrid/>
        <w:rPr>
          <w:rFonts w:eastAsia="Times New Roman"/>
          <w:b/>
        </w:rPr>
      </w:pPr>
      <w:r>
        <w:rPr>
          <w:b/>
        </w:rPr>
        <w:t>Accord de 1958 :</w:t>
      </w:r>
      <w:r>
        <w:rPr>
          <w:b/>
        </w:rPr>
        <w:br/>
        <w:t>Examen de projets d’amendements</w:t>
      </w:r>
    </w:p>
    <w:p w:rsidR="00C0308C" w:rsidRPr="0050664C" w:rsidRDefault="00C0308C" w:rsidP="00C0308C">
      <w:pPr>
        <w:kinsoku/>
        <w:overflowPunct/>
        <w:autoSpaceDE/>
        <w:autoSpaceDN/>
        <w:adjustRightInd/>
        <w:snapToGrid/>
        <w:rPr>
          <w:rFonts w:eastAsia="Times New Roman"/>
          <w:b/>
        </w:rPr>
      </w:pPr>
      <w:r>
        <w:rPr>
          <w:b/>
        </w:rPr>
        <w:t>à des Règlements existants, soumis par le GRRF</w:t>
      </w:r>
    </w:p>
    <w:p w:rsidR="00C0308C" w:rsidRPr="0050664C" w:rsidRDefault="00C0308C" w:rsidP="00C0308C">
      <w:pPr>
        <w:pStyle w:val="HChG"/>
        <w:rPr>
          <w:rFonts w:eastAsia="Times New Roman"/>
        </w:rPr>
      </w:pPr>
      <w:r>
        <w:tab/>
      </w:r>
      <w:r>
        <w:tab/>
        <w:t>Proposition de complément 1 au Règlement n</w:t>
      </w:r>
      <w:r w:rsidRPr="005D59B8">
        <w:rPr>
          <w:vertAlign w:val="superscript"/>
        </w:rPr>
        <w:t>o</w:t>
      </w:r>
      <w:r>
        <w:t xml:space="preserve"> 142 </w:t>
      </w:r>
      <w:r>
        <w:br/>
        <w:t>(Montage des pneumatiques)</w:t>
      </w:r>
    </w:p>
    <w:p w:rsidR="00C0308C" w:rsidRPr="0050664C" w:rsidRDefault="00C0308C" w:rsidP="00C0308C">
      <w:pPr>
        <w:pStyle w:val="H1G"/>
        <w:rPr>
          <w:rFonts w:eastAsia="Times New Roman"/>
        </w:rPr>
      </w:pPr>
      <w:r>
        <w:tab/>
      </w:r>
      <w:r>
        <w:tab/>
        <w:t xml:space="preserve">Communication du Groupe de travail en matière de roulement </w:t>
      </w:r>
      <w:r>
        <w:br/>
        <w:t>et de freinage</w:t>
      </w:r>
      <w:r w:rsidRPr="00C0308C">
        <w:rPr>
          <w:rFonts w:eastAsia="Times New Roman"/>
          <w:b w:val="0"/>
          <w:sz w:val="20"/>
          <w:lang w:val="fr-FR"/>
        </w:rPr>
        <w:footnoteReference w:customMarkFollows="1" w:id="2"/>
        <w:t>*</w:t>
      </w:r>
    </w:p>
    <w:p w:rsidR="00C0308C" w:rsidRPr="0050664C" w:rsidRDefault="00C0308C" w:rsidP="00C0308C">
      <w:pPr>
        <w:kinsoku/>
        <w:overflowPunct/>
        <w:autoSpaceDE/>
        <w:autoSpaceDN/>
        <w:adjustRightInd/>
        <w:snapToGrid/>
        <w:spacing w:after="120"/>
        <w:ind w:left="1134" w:right="1134" w:firstLine="567"/>
        <w:jc w:val="both"/>
        <w:rPr>
          <w:rFonts w:eastAsia="Times New Roman"/>
        </w:rPr>
      </w:pPr>
      <w:r>
        <w:t>Le texte ci-après, adopté par le Groupe de travail en matière de roulement et de freinage (GRRF) à sa quatre-vingt-quatrième session (ECE/TRANS/WP.29/GRRF/84, par. 40), est fondé sur le document ECE/TRANS/WP.29/GRRF/2016/44 et le document ECE/TRANS/WP.29/GRRF/2017/21, tel que modifié par l’annexe IV du rapport. Il est soumis au Forum mondial de l’harmonisation des Règlements concernant les véhicules (WP.29) et au Comité d’administration (AC.1) pour examen à leurs sessions de mars 2018.</w:t>
      </w:r>
    </w:p>
    <w:p w:rsidR="00C0308C" w:rsidRPr="0050664C" w:rsidRDefault="00C0308C" w:rsidP="00C0308C">
      <w:pPr>
        <w:pStyle w:val="HChG"/>
        <w:rPr>
          <w:rFonts w:eastAsia="Times New Roman"/>
        </w:rPr>
      </w:pPr>
      <w:r>
        <w:br w:type="page"/>
      </w:r>
      <w:r>
        <w:lastRenderedPageBreak/>
        <w:tab/>
      </w:r>
      <w:r>
        <w:tab/>
        <w:t>Complément 1 au Règlement n</w:t>
      </w:r>
      <w:r w:rsidRPr="005D59B8">
        <w:rPr>
          <w:vertAlign w:val="superscript"/>
        </w:rPr>
        <w:t>o</w:t>
      </w:r>
      <w:r>
        <w:t xml:space="preserve"> 142 </w:t>
      </w:r>
      <w:r>
        <w:br/>
        <w:t>(Montage des pneumatiques)</w:t>
      </w:r>
    </w:p>
    <w:p w:rsidR="00C0308C" w:rsidRPr="0050664C" w:rsidRDefault="00C0308C" w:rsidP="008D6BD1">
      <w:pPr>
        <w:pStyle w:val="SingleTxtG"/>
        <w:keepNext/>
        <w:rPr>
          <w:rFonts w:eastAsia="Times New Roman"/>
        </w:rPr>
      </w:pPr>
      <w:r w:rsidRPr="0029734A">
        <w:rPr>
          <w:i/>
        </w:rPr>
        <w:t>Paragraphe 2.3</w:t>
      </w:r>
      <w:r>
        <w:t>, lire</w:t>
      </w:r>
      <w:r w:rsidR="0029734A">
        <w:t> </w:t>
      </w:r>
      <w:r>
        <w:t>:</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 2.3</w:t>
      </w:r>
      <w:r>
        <w:tab/>
        <w:t>“</w:t>
      </w:r>
      <w:r w:rsidRPr="005C6C25">
        <w:rPr>
          <w:i/>
        </w:rPr>
        <w:t>Désignation de la dimension d’un pneu</w:t>
      </w:r>
      <w:r>
        <w:t xml:space="preserve">”, la désignation de la dimension d’un pneu telle que définie au paragraphe 2 du Règlement </w:t>
      </w:r>
      <w:r w:rsidR="0029734A">
        <w:rPr>
          <w:rFonts w:eastAsia="MS Mincho"/>
        </w:rPr>
        <w:t>n</w:t>
      </w:r>
      <w:r w:rsidR="0029734A">
        <w:rPr>
          <w:rFonts w:eastAsia="MS Mincho"/>
          <w:vertAlign w:val="superscript"/>
        </w:rPr>
        <w:t>o</w:t>
      </w:r>
      <w:r w:rsidR="0029734A">
        <w:t> </w:t>
      </w:r>
      <w:r>
        <w:t xml:space="preserve">30 pour les pneus de la classe C1 et au paragraphe 2 du Règlement </w:t>
      </w:r>
      <w:r w:rsidR="0029734A">
        <w:rPr>
          <w:rFonts w:eastAsia="MS Mincho"/>
        </w:rPr>
        <w:t>n</w:t>
      </w:r>
      <w:r w:rsidR="0029734A">
        <w:rPr>
          <w:rFonts w:eastAsia="MS Mincho"/>
          <w:vertAlign w:val="superscript"/>
        </w:rPr>
        <w:t>o</w:t>
      </w:r>
      <w:r w:rsidR="0029734A">
        <w:t> </w:t>
      </w:r>
      <w:r>
        <w:t>54 p</w:t>
      </w:r>
      <w:r w:rsidR="0029734A">
        <w:t>our ceux des classes C2 et C3 ; </w:t>
      </w:r>
      <w:r>
        <w:t xml:space="preserve">». </w:t>
      </w:r>
    </w:p>
    <w:p w:rsidR="00C0308C" w:rsidRPr="0050664C" w:rsidRDefault="00C0308C" w:rsidP="008D6BD1">
      <w:pPr>
        <w:pStyle w:val="SingleTxtG"/>
        <w:keepNext/>
        <w:rPr>
          <w:rFonts w:eastAsia="Times New Roman"/>
        </w:rPr>
      </w:pPr>
      <w:r>
        <w:rPr>
          <w:i/>
        </w:rPr>
        <w:t>Paragraphe 2.9</w:t>
      </w:r>
      <w:r>
        <w:t>, lire</w:t>
      </w:r>
      <w:r w:rsidR="008D6BD1">
        <w:t> </w:t>
      </w:r>
      <w:r>
        <w:t>:</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 2.9</w:t>
      </w:r>
      <w:r>
        <w:tab/>
        <w:t>“</w:t>
      </w:r>
      <w:r w:rsidRPr="005C6C25">
        <w:rPr>
          <w:i/>
        </w:rPr>
        <w:t>Pneu pour roulage à plat</w:t>
      </w:r>
      <w:r>
        <w:t>”, un pneu tel que défini au paragraphe</w:t>
      </w:r>
      <w:r w:rsidR="008D6BD1">
        <w:t> </w:t>
      </w:r>
      <w:r>
        <w:t xml:space="preserve">2 du Règlement </w:t>
      </w:r>
      <w:r w:rsidR="008D6BD1">
        <w:rPr>
          <w:rFonts w:eastAsia="MS Mincho"/>
        </w:rPr>
        <w:t>n</w:t>
      </w:r>
      <w:r w:rsidR="008D6BD1">
        <w:rPr>
          <w:rFonts w:eastAsia="MS Mincho"/>
          <w:vertAlign w:val="superscript"/>
        </w:rPr>
        <w:t>o</w:t>
      </w:r>
      <w:r w:rsidR="008D6BD1">
        <w:t> </w:t>
      </w:r>
      <w:r>
        <w:t xml:space="preserve">30 ; ». </w:t>
      </w:r>
    </w:p>
    <w:p w:rsidR="00C0308C" w:rsidRPr="0050664C" w:rsidRDefault="00C0308C" w:rsidP="008D6BD1">
      <w:pPr>
        <w:pStyle w:val="SingleTxtG"/>
        <w:keepNext/>
        <w:rPr>
          <w:rFonts w:eastAsia="Times New Roman"/>
        </w:rPr>
      </w:pPr>
      <w:r>
        <w:rPr>
          <w:i/>
        </w:rPr>
        <w:t>Paragraphe 2.18</w:t>
      </w:r>
      <w:r>
        <w:t>, lire</w:t>
      </w:r>
      <w:r w:rsidR="008D6BD1">
        <w:t> </w:t>
      </w:r>
      <w:r>
        <w:t>:</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 2.18</w:t>
      </w:r>
      <w:r>
        <w:tab/>
        <w:t>“</w:t>
      </w:r>
      <w:r w:rsidRPr="005C6C25">
        <w:rPr>
          <w:i/>
        </w:rPr>
        <w:t>Symbole de catégorie de vitesse</w:t>
      </w:r>
      <w:r>
        <w:t>”, un symbole tel que défini au paragraphe</w:t>
      </w:r>
      <w:r w:rsidR="008D6BD1">
        <w:t> </w:t>
      </w:r>
      <w:r>
        <w:t xml:space="preserve">2 du Règlement </w:t>
      </w:r>
      <w:r w:rsidR="008D6BD1">
        <w:rPr>
          <w:rFonts w:eastAsia="MS Mincho"/>
        </w:rPr>
        <w:t>n</w:t>
      </w:r>
      <w:r w:rsidR="008D6BD1">
        <w:rPr>
          <w:rFonts w:eastAsia="MS Mincho"/>
          <w:vertAlign w:val="superscript"/>
        </w:rPr>
        <w:t>o </w:t>
      </w:r>
      <w:r>
        <w:t>30 pour les pneus de la classe C1 et le paragraphe</w:t>
      </w:r>
      <w:r w:rsidR="008D6BD1">
        <w:t> </w:t>
      </w:r>
      <w:r>
        <w:t xml:space="preserve">2 du Règlement </w:t>
      </w:r>
      <w:r w:rsidR="008D6BD1">
        <w:rPr>
          <w:rFonts w:eastAsia="MS Mincho"/>
        </w:rPr>
        <w:t>n</w:t>
      </w:r>
      <w:r w:rsidR="008D6BD1">
        <w:rPr>
          <w:rFonts w:eastAsia="MS Mincho"/>
          <w:vertAlign w:val="superscript"/>
        </w:rPr>
        <w:t>o </w:t>
      </w:r>
      <w:r>
        <w:t xml:space="preserve">54 pour ceux de la classe C2 ; ». </w:t>
      </w:r>
    </w:p>
    <w:p w:rsidR="00C0308C" w:rsidRPr="0050664C" w:rsidRDefault="00C0308C" w:rsidP="008D6BD1">
      <w:pPr>
        <w:pStyle w:val="SingleTxtG"/>
        <w:keepNext/>
        <w:rPr>
          <w:rFonts w:eastAsia="Times New Roman"/>
        </w:rPr>
      </w:pPr>
      <w:r>
        <w:rPr>
          <w:i/>
        </w:rPr>
        <w:t>Paragraphe 2.19</w:t>
      </w:r>
      <w:r>
        <w:t>, lire</w:t>
      </w:r>
      <w:r w:rsidR="008D6BD1">
        <w:t> </w:t>
      </w:r>
      <w:r>
        <w:t>:</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«2.19</w:t>
      </w:r>
      <w:r>
        <w:tab/>
        <w:t>“</w:t>
      </w:r>
      <w:r w:rsidRPr="005C6C25">
        <w:rPr>
          <w:i/>
        </w:rPr>
        <w:t>Indice de capacité de charge</w:t>
      </w:r>
      <w:r>
        <w:t xml:space="preserve">”, un chiffre correspondant à la charge maximale du pneumatique selon la définition du paragraphe 2 du Règlement </w:t>
      </w:r>
      <w:r w:rsidR="008D6BD1">
        <w:rPr>
          <w:rFonts w:eastAsia="MS Mincho"/>
        </w:rPr>
        <w:t>n</w:t>
      </w:r>
      <w:r w:rsidR="008D6BD1">
        <w:rPr>
          <w:rFonts w:eastAsia="MS Mincho"/>
          <w:vertAlign w:val="superscript"/>
        </w:rPr>
        <w:t>o </w:t>
      </w:r>
      <w:r>
        <w:t xml:space="preserve">30 pour les pneus de la classe C1 et du paragraphe 2 du Règlement </w:t>
      </w:r>
      <w:r w:rsidR="008D6BD1">
        <w:rPr>
          <w:rFonts w:eastAsia="MS Mincho"/>
        </w:rPr>
        <w:t>n</w:t>
      </w:r>
      <w:r w:rsidR="008D6BD1">
        <w:rPr>
          <w:rFonts w:eastAsia="MS Mincho"/>
          <w:vertAlign w:val="superscript"/>
        </w:rPr>
        <w:t>o</w:t>
      </w:r>
      <w:r w:rsidR="008D6BD1">
        <w:rPr>
          <w:rFonts w:eastAsia="MS Mincho"/>
        </w:rPr>
        <w:t> </w:t>
      </w:r>
      <w:r>
        <w:t xml:space="preserve">54 pour ceux de la classe C2 ; ». </w:t>
      </w:r>
    </w:p>
    <w:p w:rsidR="00C0308C" w:rsidRPr="0050664C" w:rsidRDefault="00C0308C" w:rsidP="008D6BD1">
      <w:pPr>
        <w:pStyle w:val="SingleTxtG"/>
        <w:keepNext/>
        <w:rPr>
          <w:rFonts w:eastAsia="Times New Roman"/>
        </w:rPr>
      </w:pPr>
      <w:r>
        <w:rPr>
          <w:i/>
        </w:rPr>
        <w:t>Paragraphe 4.8</w:t>
      </w:r>
      <w:r>
        <w:t>, lire :</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 4.8</w:t>
      </w:r>
      <w:r>
        <w:tab/>
        <w:t>L’annexe 2 du présent Règlement donne un exemple de marques d’homologation. ».</w:t>
      </w:r>
    </w:p>
    <w:p w:rsidR="00C0308C" w:rsidRPr="0050664C" w:rsidRDefault="00C0308C" w:rsidP="008D6BD1">
      <w:pPr>
        <w:pStyle w:val="SingleTxtG"/>
        <w:keepNext/>
        <w:rPr>
          <w:rFonts w:eastAsia="Times New Roman"/>
        </w:rPr>
      </w:pPr>
      <w:r>
        <w:rPr>
          <w:i/>
        </w:rPr>
        <w:t>Paragraphe 5.2.2.2.1</w:t>
      </w:r>
      <w:r>
        <w:t>, lire</w:t>
      </w:r>
      <w:r w:rsidR="008D6BD1">
        <w:t> </w:t>
      </w:r>
      <w:r>
        <w:t>:</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 5.2.2.2.1</w:t>
      </w:r>
      <w:r>
        <w:tab/>
        <w:t xml:space="preserve">Dans le cas de pneus de la classe C1, est prise en compte la </w:t>
      </w:r>
      <w:r w:rsidR="005C6C25">
        <w:t>“</w:t>
      </w:r>
      <w:r w:rsidRPr="000C5826">
        <w:rPr>
          <w:i/>
        </w:rPr>
        <w:t>limite de charge maximale</w:t>
      </w:r>
      <w:r w:rsidR="005C6C25">
        <w:t xml:space="preserve">” </w:t>
      </w:r>
      <w:r>
        <w:t xml:space="preserve">visée au paragraphe 2 du Règlement </w:t>
      </w:r>
      <w:r w:rsidR="008D6BD1">
        <w:rPr>
          <w:rFonts w:eastAsia="MS Mincho"/>
        </w:rPr>
        <w:t>n</w:t>
      </w:r>
      <w:r w:rsidR="008D6BD1">
        <w:rPr>
          <w:rFonts w:eastAsia="MS Mincho"/>
          <w:vertAlign w:val="superscript"/>
        </w:rPr>
        <w:t>o</w:t>
      </w:r>
      <w:r w:rsidR="008D6BD1" w:rsidRPr="008D6BD1">
        <w:rPr>
          <w:rFonts w:eastAsia="MS Mincho"/>
        </w:rPr>
        <w:t> </w:t>
      </w:r>
      <w:r w:rsidR="008D6BD1">
        <w:t>30 ; </w:t>
      </w:r>
      <w:r>
        <w:t xml:space="preserve">». </w:t>
      </w:r>
    </w:p>
    <w:p w:rsidR="00C0308C" w:rsidRPr="0050664C" w:rsidRDefault="00C0308C" w:rsidP="008D6BD1">
      <w:pPr>
        <w:pStyle w:val="SingleTxtG"/>
        <w:keepNext/>
        <w:rPr>
          <w:rFonts w:eastAsia="Times New Roman"/>
        </w:rPr>
      </w:pPr>
      <w:r>
        <w:rPr>
          <w:i/>
        </w:rPr>
        <w:t>Paragraphe 5.2.2.2.2</w:t>
      </w:r>
      <w:r>
        <w:t>, lire</w:t>
      </w:r>
      <w:r w:rsidR="008D6BD1">
        <w:t> </w:t>
      </w:r>
      <w:r>
        <w:t>:</w:t>
      </w:r>
    </w:p>
    <w:p w:rsidR="00C0308C" w:rsidRPr="0050664C" w:rsidRDefault="00C0308C" w:rsidP="00C0308C">
      <w:pPr>
        <w:kinsoku/>
        <w:overflowPunct/>
        <w:autoSpaceDE/>
        <w:autoSpaceDN/>
        <w:adjustRightInd/>
        <w:snapToGrid/>
        <w:spacing w:after="120"/>
        <w:ind w:left="2268" w:right="1134" w:hanging="1134"/>
        <w:jc w:val="both"/>
        <w:rPr>
          <w:rFonts w:eastAsia="Times New Roman"/>
        </w:rPr>
      </w:pPr>
      <w:r>
        <w:t>« 5.2.2.2.2</w:t>
      </w:r>
      <w:r>
        <w:tab/>
        <w:t xml:space="preserve">Dans le cas de pneus de la classe C2, est pris en compte le </w:t>
      </w:r>
      <w:r w:rsidR="005C6C25">
        <w:t>“</w:t>
      </w:r>
      <w:r w:rsidRPr="000C5826">
        <w:rPr>
          <w:i/>
        </w:rPr>
        <w:t>tableau de variation des charges en fonction d</w:t>
      </w:r>
      <w:r w:rsidR="008D6BD1" w:rsidRPr="000C5826">
        <w:rPr>
          <w:i/>
        </w:rPr>
        <w:t>e la vitesse</w:t>
      </w:r>
      <w:r w:rsidR="005C6C25">
        <w:t>”</w:t>
      </w:r>
      <w:r w:rsidR="008D6BD1">
        <w:t xml:space="preserve"> visé au paragraphe </w:t>
      </w:r>
      <w:r>
        <w:t xml:space="preserve">2 du Règlement </w:t>
      </w:r>
      <w:r w:rsidR="008D6BD1">
        <w:rPr>
          <w:rFonts w:eastAsia="MS Mincho"/>
        </w:rPr>
        <w:t>n</w:t>
      </w:r>
      <w:r w:rsidR="008D6BD1">
        <w:rPr>
          <w:rFonts w:eastAsia="MS Mincho"/>
          <w:vertAlign w:val="superscript"/>
        </w:rPr>
        <w:t>o</w:t>
      </w:r>
      <w:r w:rsidR="008D6BD1">
        <w:t> </w:t>
      </w:r>
      <w:r>
        <w:t>54, qui définit, en fonction des indices de capacité de charge et des symboles de catégorie de vitesse, les variations de charge que doit pouvoir supporter un pneu en fonction de la vitesse</w:t>
      </w:r>
      <w:r w:rsidR="008D6BD1">
        <w:t xml:space="preserve"> maximale nominale du véhicule. </w:t>
      </w:r>
      <w:r>
        <w:t xml:space="preserve">». </w:t>
      </w:r>
    </w:p>
    <w:p w:rsidR="00C0308C" w:rsidRPr="0050664C" w:rsidRDefault="00C0308C" w:rsidP="008D6BD1">
      <w:pPr>
        <w:pStyle w:val="SingleTxtG"/>
        <w:keepNext/>
        <w:rPr>
          <w:rFonts w:eastAsia="Times New Roman"/>
        </w:rPr>
      </w:pPr>
      <w:r>
        <w:rPr>
          <w:i/>
        </w:rPr>
        <w:t>Paragraphe 5.2.3.1.2</w:t>
      </w:r>
      <w:r>
        <w:t>, lire</w:t>
      </w:r>
      <w:r w:rsidR="008D6BD1">
        <w:t> </w:t>
      </w:r>
      <w:r>
        <w:t>:</w:t>
      </w:r>
    </w:p>
    <w:p w:rsidR="00F9573C" w:rsidRDefault="00C0308C" w:rsidP="008D6BD1">
      <w:pPr>
        <w:kinsoku/>
        <w:overflowPunct/>
        <w:autoSpaceDE/>
        <w:autoSpaceDN/>
        <w:adjustRightInd/>
        <w:snapToGrid/>
        <w:spacing w:after="120"/>
        <w:ind w:left="2268" w:right="1134" w:hanging="1134"/>
        <w:jc w:val="both"/>
      </w:pPr>
      <w:r>
        <w:t>« 5.2.3.1.2</w:t>
      </w:r>
      <w:r>
        <w:tab/>
        <w:t xml:space="preserve">En ce qui concerne les pneus de la classe C2, le symbole de catégorie de vitesse doit être compatible avec la vitesse maximale nominale du véhicule et le rapport charge/vitesse applicable déterminé dans le tableau de variation des charges en fonction de la vitesse visé au paragraphe 2 du Règlement </w:t>
      </w:r>
      <w:r w:rsidR="008D6BD1">
        <w:rPr>
          <w:rFonts w:eastAsia="MS Mincho"/>
        </w:rPr>
        <w:t>n</w:t>
      </w:r>
      <w:r w:rsidR="008D6BD1">
        <w:rPr>
          <w:rFonts w:eastAsia="MS Mincho"/>
          <w:vertAlign w:val="superscript"/>
        </w:rPr>
        <w:t>o</w:t>
      </w:r>
      <w:r w:rsidR="008D6BD1">
        <w:t> </w:t>
      </w:r>
      <w:r>
        <w:t>54. ».</w:t>
      </w:r>
    </w:p>
    <w:p w:rsidR="008D6BD1" w:rsidRPr="008D6BD1" w:rsidRDefault="008D6BD1" w:rsidP="008D6BD1">
      <w:pPr>
        <w:pStyle w:val="SingleTxtG"/>
        <w:spacing w:before="240" w:after="0"/>
        <w:jc w:val="center"/>
        <w:rPr>
          <w:u w:val="single"/>
        </w:rPr>
      </w:pPr>
      <w:r>
        <w:rPr>
          <w:u w:val="single"/>
        </w:rPr>
        <w:tab/>
      </w:r>
      <w:r>
        <w:rPr>
          <w:u w:val="single"/>
        </w:rPr>
        <w:tab/>
      </w:r>
      <w:r>
        <w:rPr>
          <w:u w:val="single"/>
        </w:rPr>
        <w:tab/>
      </w:r>
    </w:p>
    <w:sectPr w:rsidR="008D6BD1" w:rsidRPr="008D6BD1" w:rsidSect="00AA2E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F2" w:rsidRDefault="000A3BF2" w:rsidP="00F95C08">
      <w:pPr>
        <w:spacing w:line="240" w:lineRule="auto"/>
      </w:pPr>
    </w:p>
  </w:endnote>
  <w:endnote w:type="continuationSeparator" w:id="0">
    <w:p w:rsidR="000A3BF2" w:rsidRPr="00AC3823" w:rsidRDefault="000A3BF2" w:rsidP="00AC3823">
      <w:pPr>
        <w:pStyle w:val="Footer"/>
      </w:pPr>
    </w:p>
  </w:endnote>
  <w:endnote w:type="continuationNotice" w:id="1">
    <w:p w:rsidR="000A3BF2" w:rsidRDefault="000A3B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1F" w:rsidRPr="00AA2E1F" w:rsidRDefault="00AA2E1F" w:rsidP="00AA2E1F">
    <w:pPr>
      <w:pStyle w:val="Footer"/>
      <w:tabs>
        <w:tab w:val="right" w:pos="9638"/>
      </w:tabs>
    </w:pPr>
    <w:r w:rsidRPr="00AA2E1F">
      <w:rPr>
        <w:b/>
        <w:sz w:val="18"/>
      </w:rPr>
      <w:fldChar w:fldCharType="begin"/>
    </w:r>
    <w:r w:rsidRPr="00AA2E1F">
      <w:rPr>
        <w:b/>
        <w:sz w:val="18"/>
      </w:rPr>
      <w:instrText xml:space="preserve"> PAGE  \* MERGEFORMAT </w:instrText>
    </w:r>
    <w:r w:rsidRPr="00AA2E1F">
      <w:rPr>
        <w:b/>
        <w:sz w:val="18"/>
      </w:rPr>
      <w:fldChar w:fldCharType="separate"/>
    </w:r>
    <w:r w:rsidR="00D46652">
      <w:rPr>
        <w:b/>
        <w:noProof/>
        <w:sz w:val="18"/>
      </w:rPr>
      <w:t>2</w:t>
    </w:r>
    <w:r w:rsidRPr="00AA2E1F">
      <w:rPr>
        <w:b/>
        <w:sz w:val="18"/>
      </w:rPr>
      <w:fldChar w:fldCharType="end"/>
    </w:r>
    <w:r>
      <w:rPr>
        <w:b/>
        <w:sz w:val="18"/>
      </w:rPr>
      <w:tab/>
    </w:r>
    <w:r>
      <w:t>GE.17-23244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1F" w:rsidRPr="00AA2E1F" w:rsidRDefault="00AA2E1F" w:rsidP="00AA2E1F">
    <w:pPr>
      <w:pStyle w:val="Footer"/>
      <w:tabs>
        <w:tab w:val="right" w:pos="9638"/>
      </w:tabs>
      <w:rPr>
        <w:b/>
        <w:sz w:val="18"/>
      </w:rPr>
    </w:pPr>
    <w:r>
      <w:t>GE.17-23244</w:t>
    </w:r>
    <w:r>
      <w:tab/>
    </w:r>
    <w:r w:rsidRPr="00AA2E1F">
      <w:rPr>
        <w:b/>
        <w:sz w:val="18"/>
      </w:rPr>
      <w:fldChar w:fldCharType="begin"/>
    </w:r>
    <w:r w:rsidRPr="00AA2E1F">
      <w:rPr>
        <w:b/>
        <w:sz w:val="18"/>
      </w:rPr>
      <w:instrText xml:space="preserve"> PAGE  \* MERGEFORMAT </w:instrText>
    </w:r>
    <w:r w:rsidRPr="00AA2E1F">
      <w:rPr>
        <w:b/>
        <w:sz w:val="18"/>
      </w:rPr>
      <w:fldChar w:fldCharType="separate"/>
    </w:r>
    <w:r w:rsidR="005C6C25">
      <w:rPr>
        <w:b/>
        <w:noProof/>
        <w:sz w:val="18"/>
      </w:rPr>
      <w:t>2</w:t>
    </w:r>
    <w:r w:rsidRPr="00AA2E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A2E1F" w:rsidRDefault="00AA2E1F" w:rsidP="00AA2E1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17-23244  (F)    300118    300118</w:t>
    </w:r>
    <w:r>
      <w:rPr>
        <w:sz w:val="20"/>
      </w:rPr>
      <w:br/>
    </w:r>
    <w:r w:rsidRPr="00AA2E1F">
      <w:rPr>
        <w:rFonts w:ascii="C39T30Lfz" w:hAnsi="C39T30Lfz"/>
        <w:sz w:val="56"/>
      </w:rPr>
      <w:t></w:t>
    </w:r>
    <w:r w:rsidRPr="00AA2E1F">
      <w:rPr>
        <w:rFonts w:ascii="C39T30Lfz" w:hAnsi="C39T30Lfz"/>
        <w:sz w:val="56"/>
      </w:rPr>
      <w:t></w:t>
    </w:r>
    <w:r w:rsidRPr="00AA2E1F">
      <w:rPr>
        <w:rFonts w:ascii="C39T30Lfz" w:hAnsi="C39T30Lfz"/>
        <w:sz w:val="56"/>
      </w:rPr>
      <w:t></w:t>
    </w:r>
    <w:r w:rsidRPr="00AA2E1F">
      <w:rPr>
        <w:rFonts w:ascii="C39T30Lfz" w:hAnsi="C39T30Lfz"/>
        <w:sz w:val="56"/>
      </w:rPr>
      <w:t></w:t>
    </w:r>
    <w:r w:rsidRPr="00AA2E1F">
      <w:rPr>
        <w:rFonts w:ascii="C39T30Lfz" w:hAnsi="C39T30Lfz"/>
        <w:sz w:val="56"/>
      </w:rPr>
      <w:t></w:t>
    </w:r>
    <w:r w:rsidRPr="00AA2E1F">
      <w:rPr>
        <w:rFonts w:ascii="C39T30Lfz" w:hAnsi="C39T30Lfz"/>
        <w:sz w:val="56"/>
      </w:rPr>
      <w:t></w:t>
    </w:r>
    <w:r w:rsidRPr="00AA2E1F">
      <w:rPr>
        <w:rFonts w:ascii="C39T30Lfz" w:hAnsi="C39T30Lfz"/>
        <w:sz w:val="56"/>
      </w:rPr>
      <w:t></w:t>
    </w:r>
    <w:r w:rsidRPr="00AA2E1F">
      <w:rPr>
        <w:rFonts w:ascii="C39T30Lfz" w:hAnsi="C39T30Lfz"/>
        <w:sz w:val="56"/>
      </w:rPr>
      <w:t></w:t>
    </w:r>
    <w:r w:rsidRPr="00AA2E1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F2" w:rsidRPr="00AC3823" w:rsidRDefault="000A3BF2" w:rsidP="00AC3823">
      <w:pPr>
        <w:pStyle w:val="Footer"/>
        <w:tabs>
          <w:tab w:val="right" w:pos="2155"/>
        </w:tabs>
        <w:spacing w:after="80" w:line="240" w:lineRule="atLeast"/>
        <w:ind w:left="680"/>
        <w:rPr>
          <w:u w:val="single"/>
        </w:rPr>
      </w:pPr>
      <w:r>
        <w:rPr>
          <w:u w:val="single"/>
        </w:rPr>
        <w:tab/>
      </w:r>
    </w:p>
  </w:footnote>
  <w:footnote w:type="continuationSeparator" w:id="0">
    <w:p w:rsidR="000A3BF2" w:rsidRPr="00AC3823" w:rsidRDefault="000A3BF2" w:rsidP="00AC3823">
      <w:pPr>
        <w:pStyle w:val="Footer"/>
        <w:tabs>
          <w:tab w:val="right" w:pos="2155"/>
        </w:tabs>
        <w:spacing w:after="80" w:line="240" w:lineRule="atLeast"/>
        <w:ind w:left="680"/>
        <w:rPr>
          <w:u w:val="single"/>
        </w:rPr>
      </w:pPr>
      <w:r>
        <w:rPr>
          <w:u w:val="single"/>
        </w:rPr>
        <w:tab/>
      </w:r>
    </w:p>
  </w:footnote>
  <w:footnote w:type="continuationNotice" w:id="1">
    <w:p w:rsidR="000A3BF2" w:rsidRPr="00AC3823" w:rsidRDefault="000A3BF2">
      <w:pPr>
        <w:spacing w:line="240" w:lineRule="auto"/>
        <w:rPr>
          <w:sz w:val="2"/>
          <w:szCs w:val="2"/>
        </w:rPr>
      </w:pPr>
    </w:p>
  </w:footnote>
  <w:footnote w:id="2">
    <w:p w:rsidR="00C0308C" w:rsidRPr="00706101" w:rsidRDefault="00C0308C" w:rsidP="00C0308C">
      <w:pPr>
        <w:pStyle w:val="FootnoteText"/>
      </w:pPr>
      <w:r>
        <w:tab/>
      </w:r>
      <w:r>
        <w:rPr>
          <w:sz w:val="20"/>
        </w:rPr>
        <w:t>*</w:t>
      </w:r>
      <w:r>
        <w:rPr>
          <w:sz w:val="20"/>
        </w:rPr>
        <w:tab/>
      </w:r>
      <w:r>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1F" w:rsidRPr="00AA2E1F" w:rsidRDefault="00D46652">
    <w:pPr>
      <w:pStyle w:val="Header"/>
    </w:pPr>
    <w:r>
      <w:fldChar w:fldCharType="begin"/>
    </w:r>
    <w:r>
      <w:instrText xml:space="preserve"> TITLE  \* MERGEFORMAT </w:instrText>
    </w:r>
    <w:r>
      <w:fldChar w:fldCharType="separate"/>
    </w:r>
    <w:r w:rsidR="008D6C1A">
      <w:t>ECE/TRANS/WP.29/2018/14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1F" w:rsidRPr="00AA2E1F" w:rsidRDefault="00D46652" w:rsidP="00AA2E1F">
    <w:pPr>
      <w:pStyle w:val="Header"/>
      <w:jc w:val="right"/>
    </w:pPr>
    <w:r>
      <w:fldChar w:fldCharType="begin"/>
    </w:r>
    <w:r>
      <w:instrText xml:space="preserve"> TITLE  \* MERGEFORMAT </w:instrText>
    </w:r>
    <w:r>
      <w:fldChar w:fldCharType="separate"/>
    </w:r>
    <w:r w:rsidR="008D6C1A">
      <w:t>ECE/TRANS/WP.29/2018/14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2"/>
    <w:rsid w:val="00017F94"/>
    <w:rsid w:val="00023842"/>
    <w:rsid w:val="000334F9"/>
    <w:rsid w:val="00045FEB"/>
    <w:rsid w:val="0007796D"/>
    <w:rsid w:val="000A3BF2"/>
    <w:rsid w:val="000B7790"/>
    <w:rsid w:val="000C5826"/>
    <w:rsid w:val="00111F2F"/>
    <w:rsid w:val="0014365E"/>
    <w:rsid w:val="00143C66"/>
    <w:rsid w:val="00176178"/>
    <w:rsid w:val="001F525A"/>
    <w:rsid w:val="00223272"/>
    <w:rsid w:val="0024779E"/>
    <w:rsid w:val="00257168"/>
    <w:rsid w:val="002744B8"/>
    <w:rsid w:val="002832AC"/>
    <w:rsid w:val="0029734A"/>
    <w:rsid w:val="002D7C93"/>
    <w:rsid w:val="00305801"/>
    <w:rsid w:val="003916DE"/>
    <w:rsid w:val="00441C3B"/>
    <w:rsid w:val="00446FE5"/>
    <w:rsid w:val="00452396"/>
    <w:rsid w:val="004837D8"/>
    <w:rsid w:val="00487BC9"/>
    <w:rsid w:val="004E468C"/>
    <w:rsid w:val="005505B7"/>
    <w:rsid w:val="00573BE5"/>
    <w:rsid w:val="00586ED3"/>
    <w:rsid w:val="00596AA9"/>
    <w:rsid w:val="005C6C25"/>
    <w:rsid w:val="0071601D"/>
    <w:rsid w:val="007A62E6"/>
    <w:rsid w:val="007F20FA"/>
    <w:rsid w:val="0080684C"/>
    <w:rsid w:val="00871C75"/>
    <w:rsid w:val="008776DC"/>
    <w:rsid w:val="008D6BD1"/>
    <w:rsid w:val="008D6C1A"/>
    <w:rsid w:val="009446C0"/>
    <w:rsid w:val="009705C8"/>
    <w:rsid w:val="009C1CF4"/>
    <w:rsid w:val="009F6B74"/>
    <w:rsid w:val="00A30353"/>
    <w:rsid w:val="00AA2E1F"/>
    <w:rsid w:val="00AC3823"/>
    <w:rsid w:val="00AE323C"/>
    <w:rsid w:val="00AF0CB5"/>
    <w:rsid w:val="00B00181"/>
    <w:rsid w:val="00B00B0D"/>
    <w:rsid w:val="00B765F7"/>
    <w:rsid w:val="00BA0CA9"/>
    <w:rsid w:val="00C02897"/>
    <w:rsid w:val="00C0308C"/>
    <w:rsid w:val="00C97039"/>
    <w:rsid w:val="00D3439C"/>
    <w:rsid w:val="00D46652"/>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7BFDC6-3297-46BD-A37E-2576921E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ECE/TRANS/WP.29/2018/14</vt:lpstr>
      <vt:lpstr>ECE/TRANS/WP.29/2018/14</vt:lpstr>
    </vt:vector>
  </TitlesOfParts>
  <Company>DCM</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ECE/TRANS/WP.29/2018/14</dc:title>
  <dc:subject/>
  <dc:creator>Nathalie VITTOZ</dc:creator>
  <cp:keywords/>
  <cp:lastModifiedBy>CRP.1/A.6</cp:lastModifiedBy>
  <cp:revision>2</cp:revision>
  <cp:lastPrinted>2018-01-30T14:57:00Z</cp:lastPrinted>
  <dcterms:created xsi:type="dcterms:W3CDTF">2018-01-30T16:03:00Z</dcterms:created>
  <dcterms:modified xsi:type="dcterms:W3CDTF">2018-01-30T16:03:00Z</dcterms:modified>
</cp:coreProperties>
</file>