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F5FD5" w:rsidTr="00C97039">
        <w:trPr>
          <w:trHeight w:hRule="exact" w:val="851"/>
        </w:trPr>
        <w:tc>
          <w:tcPr>
            <w:tcW w:w="1276" w:type="dxa"/>
            <w:tcBorders>
              <w:bottom w:val="single" w:sz="4" w:space="0" w:color="auto"/>
            </w:tcBorders>
          </w:tcPr>
          <w:p w:rsidR="00F35BAF" w:rsidRPr="00AF5FD5" w:rsidRDefault="00F35BAF" w:rsidP="0010162E">
            <w:bookmarkStart w:id="0" w:name="_GoBack"/>
            <w:bookmarkEnd w:id="0"/>
          </w:p>
        </w:tc>
        <w:tc>
          <w:tcPr>
            <w:tcW w:w="2268" w:type="dxa"/>
            <w:tcBorders>
              <w:bottom w:val="single" w:sz="4" w:space="0" w:color="auto"/>
            </w:tcBorders>
            <w:vAlign w:val="bottom"/>
          </w:tcPr>
          <w:p w:rsidR="00F35BAF" w:rsidRPr="00AF5FD5" w:rsidRDefault="00F35BAF" w:rsidP="00C97039">
            <w:pPr>
              <w:spacing w:after="80" w:line="300" w:lineRule="exact"/>
              <w:rPr>
                <w:sz w:val="28"/>
              </w:rPr>
            </w:pPr>
            <w:r w:rsidRPr="00AF5FD5">
              <w:rPr>
                <w:sz w:val="28"/>
              </w:rPr>
              <w:t>Nations Unies</w:t>
            </w:r>
          </w:p>
        </w:tc>
        <w:tc>
          <w:tcPr>
            <w:tcW w:w="6095" w:type="dxa"/>
            <w:gridSpan w:val="2"/>
            <w:tcBorders>
              <w:bottom w:val="single" w:sz="4" w:space="0" w:color="auto"/>
            </w:tcBorders>
            <w:vAlign w:val="bottom"/>
          </w:tcPr>
          <w:p w:rsidR="00F35BAF" w:rsidRPr="00AF5FD5" w:rsidRDefault="0010162E" w:rsidP="0010162E">
            <w:pPr>
              <w:jc w:val="right"/>
            </w:pPr>
            <w:r w:rsidRPr="00AF5FD5">
              <w:rPr>
                <w:sz w:val="40"/>
              </w:rPr>
              <w:t>ECE</w:t>
            </w:r>
            <w:r w:rsidRPr="00AF5FD5">
              <w:t>/TRANS/WP.11/239</w:t>
            </w:r>
          </w:p>
        </w:tc>
      </w:tr>
      <w:tr w:rsidR="00F35BAF" w:rsidRPr="00AF5FD5" w:rsidTr="00C97039">
        <w:trPr>
          <w:trHeight w:hRule="exact" w:val="2835"/>
        </w:trPr>
        <w:tc>
          <w:tcPr>
            <w:tcW w:w="1276" w:type="dxa"/>
            <w:tcBorders>
              <w:top w:val="single" w:sz="4" w:space="0" w:color="auto"/>
              <w:bottom w:val="single" w:sz="12" w:space="0" w:color="auto"/>
            </w:tcBorders>
          </w:tcPr>
          <w:p w:rsidR="00F35BAF" w:rsidRPr="00AF5FD5" w:rsidRDefault="00F35BAF" w:rsidP="00C97039">
            <w:pPr>
              <w:spacing w:before="120"/>
              <w:jc w:val="center"/>
            </w:pPr>
            <w:r w:rsidRPr="00AF5FD5">
              <w:rPr>
                <w:noProof/>
                <w:lang w:eastAsia="fr-CH"/>
              </w:rPr>
              <w:drawing>
                <wp:inline distT="0" distB="0" distL="0" distR="0" wp14:anchorId="192A7EB3" wp14:editId="0E4B54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AF5FD5" w:rsidRDefault="00F35BAF" w:rsidP="00C97039">
            <w:pPr>
              <w:spacing w:before="120" w:line="420" w:lineRule="exact"/>
              <w:rPr>
                <w:b/>
                <w:sz w:val="40"/>
                <w:szCs w:val="40"/>
              </w:rPr>
            </w:pPr>
            <w:r w:rsidRPr="00AF5FD5">
              <w:rPr>
                <w:b/>
                <w:sz w:val="40"/>
                <w:szCs w:val="40"/>
              </w:rPr>
              <w:t>Conseil économique et social</w:t>
            </w:r>
          </w:p>
        </w:tc>
        <w:tc>
          <w:tcPr>
            <w:tcW w:w="2835" w:type="dxa"/>
            <w:tcBorders>
              <w:top w:val="single" w:sz="4" w:space="0" w:color="auto"/>
              <w:bottom w:val="single" w:sz="12" w:space="0" w:color="auto"/>
            </w:tcBorders>
          </w:tcPr>
          <w:p w:rsidR="00F35BAF" w:rsidRPr="00AF5FD5" w:rsidRDefault="0010162E" w:rsidP="00C97039">
            <w:pPr>
              <w:spacing w:before="240"/>
            </w:pPr>
            <w:r w:rsidRPr="00AF5FD5">
              <w:t>Distr. générale</w:t>
            </w:r>
          </w:p>
          <w:p w:rsidR="0010162E" w:rsidRPr="00AF5FD5" w:rsidRDefault="0010162E" w:rsidP="0010162E">
            <w:pPr>
              <w:spacing w:line="240" w:lineRule="exact"/>
            </w:pPr>
            <w:r w:rsidRPr="00AF5FD5">
              <w:t>25 octobre 2018</w:t>
            </w:r>
          </w:p>
          <w:p w:rsidR="0010162E" w:rsidRPr="00AF5FD5" w:rsidRDefault="0010162E" w:rsidP="0010162E">
            <w:pPr>
              <w:spacing w:line="240" w:lineRule="exact"/>
            </w:pPr>
            <w:r w:rsidRPr="00AF5FD5">
              <w:t>Français</w:t>
            </w:r>
          </w:p>
          <w:p w:rsidR="0010162E" w:rsidRPr="00AF5FD5" w:rsidRDefault="0010162E" w:rsidP="0010162E">
            <w:pPr>
              <w:spacing w:line="240" w:lineRule="exact"/>
            </w:pPr>
            <w:r w:rsidRPr="00AF5FD5">
              <w:t>Original : anglais</w:t>
            </w:r>
          </w:p>
        </w:tc>
      </w:tr>
    </w:tbl>
    <w:p w:rsidR="007F20FA" w:rsidRPr="00AF5FD5" w:rsidRDefault="007F20FA" w:rsidP="007F20FA">
      <w:pPr>
        <w:spacing w:before="120"/>
        <w:rPr>
          <w:b/>
          <w:sz w:val="28"/>
          <w:szCs w:val="28"/>
        </w:rPr>
      </w:pPr>
      <w:r w:rsidRPr="00AF5FD5">
        <w:rPr>
          <w:b/>
          <w:sz w:val="28"/>
          <w:szCs w:val="28"/>
        </w:rPr>
        <w:t>Commission économique pour l</w:t>
      </w:r>
      <w:r w:rsidR="00E84113" w:rsidRPr="00AF5FD5">
        <w:rPr>
          <w:b/>
          <w:sz w:val="28"/>
          <w:szCs w:val="28"/>
        </w:rPr>
        <w:t>’</w:t>
      </w:r>
      <w:r w:rsidRPr="00AF5FD5">
        <w:rPr>
          <w:b/>
          <w:sz w:val="28"/>
          <w:szCs w:val="28"/>
        </w:rPr>
        <w:t>Europe</w:t>
      </w:r>
    </w:p>
    <w:p w:rsidR="007F20FA" w:rsidRPr="00AF5FD5" w:rsidRDefault="007F20FA" w:rsidP="007F20FA">
      <w:pPr>
        <w:spacing w:before="120"/>
        <w:rPr>
          <w:sz w:val="28"/>
          <w:szCs w:val="28"/>
        </w:rPr>
      </w:pPr>
      <w:r w:rsidRPr="00AF5FD5">
        <w:rPr>
          <w:sz w:val="28"/>
          <w:szCs w:val="28"/>
        </w:rPr>
        <w:t>Comité des transports intérieurs</w:t>
      </w:r>
    </w:p>
    <w:p w:rsidR="0010162E" w:rsidRPr="00AF5FD5" w:rsidRDefault="0010162E" w:rsidP="00305801">
      <w:pPr>
        <w:spacing w:before="120"/>
        <w:rPr>
          <w:b/>
          <w:sz w:val="24"/>
          <w:szCs w:val="24"/>
        </w:rPr>
      </w:pPr>
      <w:r w:rsidRPr="00AF5FD5">
        <w:rPr>
          <w:b/>
          <w:sz w:val="24"/>
          <w:szCs w:val="24"/>
        </w:rPr>
        <w:t>Groupe de travail du transport des denrées périssables</w:t>
      </w:r>
    </w:p>
    <w:p w:rsidR="0010162E" w:rsidRPr="00AF5FD5" w:rsidRDefault="0010162E" w:rsidP="00305801">
      <w:pPr>
        <w:spacing w:before="120"/>
        <w:rPr>
          <w:b/>
        </w:rPr>
      </w:pPr>
      <w:r w:rsidRPr="00AF5FD5">
        <w:rPr>
          <w:b/>
          <w:lang w:val="fr-FR"/>
        </w:rPr>
        <w:t>Soixante-quatorzième</w:t>
      </w:r>
      <w:r w:rsidRPr="00AF5FD5">
        <w:rPr>
          <w:b/>
        </w:rPr>
        <w:t xml:space="preserve"> session</w:t>
      </w:r>
    </w:p>
    <w:p w:rsidR="0010162E" w:rsidRPr="00AF5FD5" w:rsidRDefault="0010162E" w:rsidP="0010162E">
      <w:pPr>
        <w:pStyle w:val="HChG"/>
      </w:pPr>
      <w:r w:rsidRPr="00AF5FD5">
        <w:tab/>
      </w:r>
      <w:r w:rsidRPr="00AF5FD5">
        <w:tab/>
        <w:t xml:space="preserve">Rapport du Groupe de travail du transport des denrées périssables sur sa soixante-quatorzième session </w:t>
      </w:r>
    </w:p>
    <w:p w:rsidR="0010162E" w:rsidRPr="00AF5FD5" w:rsidRDefault="0010162E" w:rsidP="0010162E">
      <w:pPr>
        <w:pStyle w:val="H56G"/>
      </w:pPr>
      <w:r w:rsidRPr="00AF5FD5">
        <w:tab/>
      </w:r>
      <w:r w:rsidRPr="00AF5FD5">
        <w:tab/>
        <w:t>Tenue à Genève du 8 au 12 octobre 2018</w:t>
      </w:r>
    </w:p>
    <w:p w:rsidR="00F9573C" w:rsidRPr="00AF5FD5" w:rsidRDefault="0010162E" w:rsidP="0010162E">
      <w:pPr>
        <w:spacing w:after="120"/>
        <w:rPr>
          <w:sz w:val="28"/>
        </w:rPr>
      </w:pPr>
      <w:r w:rsidRPr="00AF5FD5">
        <w:br w:type="page"/>
      </w:r>
      <w:r w:rsidRPr="00AF5FD5">
        <w:rPr>
          <w:sz w:val="28"/>
        </w:rPr>
        <w:lastRenderedPageBreak/>
        <w:t>Table des matières</w:t>
      </w:r>
    </w:p>
    <w:p w:rsidR="0010162E" w:rsidRPr="00AF5FD5" w:rsidRDefault="0010162E" w:rsidP="0010162E">
      <w:pPr>
        <w:tabs>
          <w:tab w:val="right" w:pos="8929"/>
          <w:tab w:val="right" w:pos="9638"/>
        </w:tabs>
        <w:spacing w:after="120"/>
        <w:ind w:left="283"/>
        <w:rPr>
          <w:i/>
          <w:sz w:val="18"/>
        </w:rPr>
      </w:pPr>
      <w:r w:rsidRPr="00AF5FD5">
        <w:rPr>
          <w:i/>
          <w:sz w:val="18"/>
        </w:rPr>
        <w:tab/>
        <w:t>Paragraphes</w:t>
      </w:r>
      <w:r w:rsidRPr="00AF5FD5">
        <w:rPr>
          <w:i/>
          <w:sz w:val="18"/>
        </w:rPr>
        <w:tab/>
        <w:t>Page</w:t>
      </w:r>
    </w:p>
    <w:p w:rsidR="0010162E" w:rsidRPr="00AF5FD5" w:rsidRDefault="0010162E" w:rsidP="0010162E">
      <w:pPr>
        <w:tabs>
          <w:tab w:val="right" w:pos="850"/>
          <w:tab w:val="right" w:leader="dot" w:pos="7654"/>
          <w:tab w:val="right" w:pos="8929"/>
          <w:tab w:val="right" w:pos="9638"/>
        </w:tabs>
        <w:spacing w:after="120"/>
        <w:ind w:left="1134" w:hanging="1134"/>
      </w:pPr>
      <w:r w:rsidRPr="00AF5FD5">
        <w:tab/>
        <w:t>I.</w:t>
      </w:r>
      <w:r w:rsidRPr="00AF5FD5">
        <w:tab/>
      </w:r>
      <w:r w:rsidR="00B25DBE" w:rsidRPr="00AF5FD5">
        <w:rPr>
          <w:lang w:val="fr-FR"/>
        </w:rPr>
        <w:t>Participation</w:t>
      </w:r>
      <w:r w:rsidRPr="00AF5FD5">
        <w:tab/>
      </w:r>
      <w:r w:rsidRPr="00AF5FD5">
        <w:tab/>
        <w:t>1−3</w:t>
      </w:r>
      <w:r w:rsidRPr="00AF5FD5">
        <w:tab/>
      </w:r>
      <w:r w:rsidR="00866DF3">
        <w:t>4</w:t>
      </w:r>
    </w:p>
    <w:p w:rsidR="0010162E" w:rsidRPr="00AF5FD5" w:rsidRDefault="0010162E" w:rsidP="0010162E">
      <w:pPr>
        <w:tabs>
          <w:tab w:val="right" w:pos="850"/>
          <w:tab w:val="right" w:leader="dot" w:pos="7654"/>
          <w:tab w:val="right" w:pos="8929"/>
          <w:tab w:val="right" w:pos="9638"/>
        </w:tabs>
        <w:spacing w:after="120"/>
        <w:ind w:left="1134" w:hanging="1134"/>
      </w:pPr>
      <w:r w:rsidRPr="00AF5FD5">
        <w:tab/>
        <w:t>II.</w:t>
      </w:r>
      <w:r w:rsidRPr="00AF5FD5">
        <w:tab/>
      </w:r>
      <w:r w:rsidR="00B25DBE" w:rsidRPr="00AF5FD5">
        <w:t>Adoption de l</w:t>
      </w:r>
      <w:r w:rsidR="00E84113" w:rsidRPr="00AF5FD5">
        <w:t>’</w:t>
      </w:r>
      <w:r w:rsidR="00B25DBE" w:rsidRPr="00AF5FD5">
        <w:t>ordre du jour (point 1 de l</w:t>
      </w:r>
      <w:r w:rsidR="00E84113" w:rsidRPr="00AF5FD5">
        <w:t>’</w:t>
      </w:r>
      <w:r w:rsidR="00B25DBE" w:rsidRPr="00AF5FD5">
        <w:t>ordre du jour)</w:t>
      </w:r>
      <w:r w:rsidRPr="00AF5FD5">
        <w:tab/>
      </w:r>
      <w:r w:rsidRPr="00AF5FD5">
        <w:tab/>
        <w:t>4</w:t>
      </w:r>
      <w:r w:rsidRPr="00AF5FD5">
        <w:tab/>
      </w:r>
      <w:r w:rsidR="00866DF3">
        <w:t>4</w:t>
      </w:r>
    </w:p>
    <w:p w:rsidR="0010162E" w:rsidRPr="00AF5FD5" w:rsidRDefault="0010162E" w:rsidP="0010162E">
      <w:pPr>
        <w:tabs>
          <w:tab w:val="right" w:pos="850"/>
          <w:tab w:val="right" w:leader="dot" w:pos="7654"/>
          <w:tab w:val="right" w:pos="8929"/>
          <w:tab w:val="right" w:pos="9638"/>
        </w:tabs>
        <w:spacing w:after="120"/>
        <w:ind w:left="1134" w:hanging="1134"/>
      </w:pPr>
      <w:r w:rsidRPr="00AF5FD5">
        <w:tab/>
        <w:t>III.</w:t>
      </w:r>
      <w:r w:rsidRPr="00AF5FD5">
        <w:tab/>
      </w:r>
      <w:r w:rsidR="00B25DBE" w:rsidRPr="00AF5FD5">
        <w:t>Table ronde sur les moyens d</w:t>
      </w:r>
      <w:r w:rsidR="00E84113" w:rsidRPr="00AF5FD5">
        <w:t>’</w:t>
      </w:r>
      <w:r w:rsidR="00B25DBE" w:rsidRPr="00AF5FD5">
        <w:t xml:space="preserve">améliorer le fonctionnement </w:t>
      </w:r>
      <w:r w:rsidR="00B25DBE" w:rsidRPr="00AF5FD5">
        <w:br/>
        <w:t>du Groupe de travail (point 2 de l</w:t>
      </w:r>
      <w:r w:rsidR="00E84113" w:rsidRPr="00AF5FD5">
        <w:t>’</w:t>
      </w:r>
      <w:r w:rsidR="00B25DBE" w:rsidRPr="00AF5FD5">
        <w:t>ordre du jour)</w:t>
      </w:r>
      <w:r w:rsidRPr="00AF5FD5">
        <w:tab/>
      </w:r>
      <w:r w:rsidRPr="00AF5FD5">
        <w:tab/>
        <w:t>5−22</w:t>
      </w:r>
      <w:r w:rsidRPr="00AF5FD5">
        <w:tab/>
      </w:r>
      <w:r w:rsidR="00866DF3">
        <w:t>4</w:t>
      </w:r>
    </w:p>
    <w:p w:rsidR="0010162E" w:rsidRPr="00AF5FD5" w:rsidRDefault="0010162E" w:rsidP="0010162E">
      <w:pPr>
        <w:tabs>
          <w:tab w:val="right" w:pos="850"/>
          <w:tab w:val="right" w:leader="dot" w:pos="7654"/>
          <w:tab w:val="right" w:pos="8929"/>
          <w:tab w:val="right" w:pos="9638"/>
        </w:tabs>
        <w:spacing w:after="120"/>
        <w:ind w:left="1134" w:hanging="1134"/>
      </w:pPr>
      <w:r w:rsidRPr="00AF5FD5">
        <w:tab/>
        <w:t>IV.</w:t>
      </w:r>
      <w:r w:rsidRPr="00AF5FD5">
        <w:tab/>
      </w:r>
      <w:r w:rsidR="00866DF3" w:rsidRPr="00AF5FD5">
        <w:rPr>
          <w:lang w:val="fr-FR"/>
        </w:rPr>
        <w:t xml:space="preserve">Activités des organes de la CEE intéressant le Groupe de travail </w:t>
      </w:r>
      <w:r w:rsidR="00866DF3">
        <w:rPr>
          <w:lang w:val="fr-FR"/>
        </w:rPr>
        <w:br/>
      </w:r>
      <w:r w:rsidR="00866DF3" w:rsidRPr="00AF5FD5">
        <w:rPr>
          <w:lang w:val="fr-FR"/>
        </w:rPr>
        <w:t>(point 3 de l’ordre du jour)</w:t>
      </w:r>
      <w:r w:rsidRPr="00AF5FD5">
        <w:tab/>
      </w:r>
      <w:r w:rsidRPr="00AF5FD5">
        <w:tab/>
        <w:t>23−31</w:t>
      </w:r>
      <w:r w:rsidRPr="00AF5FD5">
        <w:tab/>
      </w:r>
      <w:r w:rsidR="00985A08">
        <w:t>8</w:t>
      </w:r>
    </w:p>
    <w:p w:rsidR="0010162E" w:rsidRPr="00AF5FD5" w:rsidRDefault="0010162E" w:rsidP="0010162E">
      <w:pPr>
        <w:tabs>
          <w:tab w:val="right" w:leader="dot" w:pos="7654"/>
          <w:tab w:val="right" w:pos="8929"/>
          <w:tab w:val="right" w:pos="9638"/>
        </w:tabs>
        <w:spacing w:after="120"/>
        <w:ind w:left="1559" w:hanging="425"/>
      </w:pPr>
      <w:r w:rsidRPr="00AF5FD5">
        <w:t>A.</w:t>
      </w:r>
      <w:r w:rsidRPr="00AF5FD5">
        <w:tab/>
      </w:r>
      <w:r w:rsidR="00866DF3" w:rsidRPr="00AF5FD5">
        <w:rPr>
          <w:lang w:val="fr-FR"/>
        </w:rPr>
        <w:t>Comité des transports intérieurs</w:t>
      </w:r>
      <w:r w:rsidRPr="00AF5FD5">
        <w:tab/>
      </w:r>
      <w:r w:rsidRPr="00AF5FD5">
        <w:tab/>
        <w:t>23−29</w:t>
      </w:r>
      <w:r w:rsidRPr="00AF5FD5">
        <w:tab/>
      </w:r>
      <w:r w:rsidR="00985A08">
        <w:t>8</w:t>
      </w:r>
    </w:p>
    <w:p w:rsidR="0010162E" w:rsidRPr="00AF5FD5" w:rsidRDefault="0010162E" w:rsidP="0010162E">
      <w:pPr>
        <w:tabs>
          <w:tab w:val="right" w:leader="dot" w:pos="7654"/>
          <w:tab w:val="right" w:pos="8929"/>
          <w:tab w:val="right" w:pos="9638"/>
        </w:tabs>
        <w:spacing w:after="120"/>
        <w:ind w:left="1559" w:hanging="425"/>
      </w:pPr>
      <w:r w:rsidRPr="00AF5FD5">
        <w:t>B.</w:t>
      </w:r>
      <w:r w:rsidRPr="00AF5FD5">
        <w:tab/>
      </w:r>
      <w:r w:rsidR="00866DF3" w:rsidRPr="00AF5FD5">
        <w:rPr>
          <w:lang w:val="fr-FR"/>
        </w:rPr>
        <w:t>Groupe de travail des normes de qualité des produits agricoles</w:t>
      </w:r>
      <w:r w:rsidRPr="00AF5FD5">
        <w:tab/>
      </w:r>
      <w:r w:rsidRPr="00AF5FD5">
        <w:tab/>
        <w:t>30−31</w:t>
      </w:r>
      <w:r w:rsidRPr="00AF5FD5">
        <w:tab/>
      </w:r>
      <w:r w:rsidR="00985A08">
        <w:t>9</w:t>
      </w:r>
    </w:p>
    <w:p w:rsidR="0010162E" w:rsidRPr="00AF5FD5" w:rsidRDefault="0010162E" w:rsidP="0010162E">
      <w:pPr>
        <w:tabs>
          <w:tab w:val="right" w:pos="850"/>
          <w:tab w:val="right" w:leader="dot" w:pos="7654"/>
          <w:tab w:val="right" w:pos="8929"/>
          <w:tab w:val="right" w:pos="9638"/>
        </w:tabs>
        <w:spacing w:after="120"/>
        <w:ind w:left="1134" w:hanging="1134"/>
      </w:pPr>
      <w:r w:rsidRPr="00AF5FD5">
        <w:tab/>
        <w:t>V.</w:t>
      </w:r>
      <w:r w:rsidRPr="00AF5FD5">
        <w:tab/>
      </w:r>
      <w:r w:rsidR="00866DF3" w:rsidRPr="00AF5FD5">
        <w:rPr>
          <w:lang w:val="fr-FR"/>
        </w:rPr>
        <w:t xml:space="preserve">Activités d’autres organisations internationales qui s’occupent de problèmes </w:t>
      </w:r>
      <w:r w:rsidR="00866DF3">
        <w:rPr>
          <w:lang w:val="fr-FR"/>
        </w:rPr>
        <w:br/>
      </w:r>
      <w:r w:rsidR="00866DF3" w:rsidRPr="00AF5FD5">
        <w:rPr>
          <w:lang w:val="fr-FR"/>
        </w:rPr>
        <w:t>intéressant le Groupe de travail (point 4 de l’ordre du jour)</w:t>
      </w:r>
      <w:r w:rsidRPr="00AF5FD5">
        <w:tab/>
      </w:r>
      <w:r w:rsidRPr="00AF5FD5">
        <w:tab/>
        <w:t>32−49</w:t>
      </w:r>
      <w:r w:rsidRPr="00AF5FD5">
        <w:tab/>
      </w:r>
      <w:r w:rsidR="00985A08">
        <w:t>9</w:t>
      </w:r>
    </w:p>
    <w:p w:rsidR="0010162E" w:rsidRPr="00AF5FD5" w:rsidRDefault="0010162E" w:rsidP="0010162E">
      <w:pPr>
        <w:tabs>
          <w:tab w:val="right" w:leader="dot" w:pos="7654"/>
          <w:tab w:val="right" w:pos="8929"/>
          <w:tab w:val="right" w:pos="9638"/>
        </w:tabs>
        <w:spacing w:after="120"/>
        <w:ind w:left="1559" w:hanging="425"/>
      </w:pPr>
      <w:r w:rsidRPr="00AF5FD5">
        <w:t>A.</w:t>
      </w:r>
      <w:r w:rsidRPr="00AF5FD5">
        <w:tab/>
      </w:r>
      <w:r w:rsidR="00866DF3" w:rsidRPr="00AF5FD5">
        <w:t>Institut international du froid (IIF)</w:t>
      </w:r>
      <w:r w:rsidRPr="00AF5FD5">
        <w:tab/>
      </w:r>
      <w:r w:rsidRPr="00AF5FD5">
        <w:tab/>
        <w:t>32</w:t>
      </w:r>
      <w:r w:rsidRPr="00AF5FD5">
        <w:tab/>
      </w:r>
      <w:r w:rsidR="00985A08">
        <w:t>9</w:t>
      </w:r>
    </w:p>
    <w:p w:rsidR="0010162E" w:rsidRPr="00AF5FD5" w:rsidRDefault="0010162E" w:rsidP="0010162E">
      <w:pPr>
        <w:tabs>
          <w:tab w:val="right" w:leader="dot" w:pos="7654"/>
          <w:tab w:val="right" w:pos="8929"/>
          <w:tab w:val="right" w:pos="9638"/>
        </w:tabs>
        <w:spacing w:after="120"/>
        <w:ind w:left="1559" w:hanging="425"/>
      </w:pPr>
      <w:r w:rsidRPr="00AF5FD5">
        <w:t>B.</w:t>
      </w:r>
      <w:r w:rsidRPr="00AF5FD5">
        <w:tab/>
      </w:r>
      <w:r w:rsidR="00866DF3" w:rsidRPr="00AF5FD5">
        <w:t>Transfrigoroute International</w:t>
      </w:r>
      <w:r w:rsidRPr="00AF5FD5">
        <w:tab/>
      </w:r>
      <w:r w:rsidRPr="00AF5FD5">
        <w:tab/>
        <w:t>33−35</w:t>
      </w:r>
      <w:r w:rsidRPr="00AF5FD5">
        <w:tab/>
      </w:r>
      <w:r w:rsidR="00985A08">
        <w:t>9</w:t>
      </w:r>
    </w:p>
    <w:p w:rsidR="0010162E" w:rsidRPr="00AF5FD5" w:rsidRDefault="0010162E" w:rsidP="0010162E">
      <w:pPr>
        <w:tabs>
          <w:tab w:val="right" w:leader="dot" w:pos="7654"/>
          <w:tab w:val="right" w:pos="8929"/>
          <w:tab w:val="right" w:pos="9638"/>
        </w:tabs>
        <w:spacing w:after="120"/>
        <w:ind w:left="1559" w:hanging="425"/>
      </w:pPr>
      <w:r w:rsidRPr="00AF5FD5">
        <w:t>C.</w:t>
      </w:r>
      <w:r w:rsidRPr="00AF5FD5">
        <w:tab/>
      </w:r>
      <w:r w:rsidR="00866DF3" w:rsidRPr="00AF5FD5">
        <w:t>Organisations de normalisation</w:t>
      </w:r>
      <w:r w:rsidRPr="00AF5FD5">
        <w:tab/>
      </w:r>
      <w:r w:rsidRPr="00AF5FD5">
        <w:tab/>
        <w:t>36−49</w:t>
      </w:r>
      <w:r w:rsidRPr="00AF5FD5">
        <w:tab/>
      </w:r>
      <w:r w:rsidR="00985A08">
        <w:t>10</w:t>
      </w:r>
    </w:p>
    <w:p w:rsidR="0010162E" w:rsidRPr="00AF5FD5" w:rsidRDefault="0010162E" w:rsidP="0010162E">
      <w:pPr>
        <w:tabs>
          <w:tab w:val="right" w:leader="dot" w:pos="7654"/>
          <w:tab w:val="right" w:pos="8929"/>
          <w:tab w:val="right" w:pos="9638"/>
        </w:tabs>
        <w:spacing w:after="120"/>
        <w:ind w:left="1984" w:hanging="425"/>
      </w:pPr>
      <w:r w:rsidRPr="00AF5FD5">
        <w:t>1.</w:t>
      </w:r>
      <w:r w:rsidRPr="00AF5FD5">
        <w:tab/>
      </w:r>
      <w:r w:rsidR="00866DF3" w:rsidRPr="00AF5FD5">
        <w:t>CEN/TC 413 Groupe de travail 2</w:t>
      </w:r>
      <w:r w:rsidRPr="00AF5FD5">
        <w:tab/>
      </w:r>
      <w:r w:rsidRPr="00AF5FD5">
        <w:tab/>
        <w:t>37−39</w:t>
      </w:r>
      <w:r w:rsidRPr="00AF5FD5">
        <w:tab/>
      </w:r>
      <w:r w:rsidR="00985A08">
        <w:t>10</w:t>
      </w:r>
    </w:p>
    <w:p w:rsidR="0010162E" w:rsidRPr="00AF5FD5" w:rsidRDefault="0010162E" w:rsidP="0010162E">
      <w:pPr>
        <w:tabs>
          <w:tab w:val="right" w:leader="dot" w:pos="7654"/>
          <w:tab w:val="right" w:pos="8929"/>
          <w:tab w:val="right" w:pos="9638"/>
        </w:tabs>
        <w:spacing w:after="120"/>
        <w:ind w:left="1984" w:hanging="425"/>
      </w:pPr>
      <w:r w:rsidRPr="00AF5FD5">
        <w:t>2.</w:t>
      </w:r>
      <w:r w:rsidRPr="00AF5FD5">
        <w:tab/>
      </w:r>
      <w:r w:rsidR="00866DF3" w:rsidRPr="00AF5FD5">
        <w:t>CEN/TC 413 Groupe de travail 1</w:t>
      </w:r>
      <w:r w:rsidRPr="00AF5FD5">
        <w:tab/>
      </w:r>
      <w:r w:rsidRPr="00AF5FD5">
        <w:tab/>
        <w:t>40−43</w:t>
      </w:r>
      <w:r w:rsidRPr="00AF5FD5">
        <w:tab/>
      </w:r>
      <w:r w:rsidR="00985A08">
        <w:t>10</w:t>
      </w:r>
      <w:r w:rsidRPr="00AF5FD5">
        <w:tab/>
      </w:r>
    </w:p>
    <w:p w:rsidR="0010162E" w:rsidRPr="00AF5FD5" w:rsidRDefault="0010162E" w:rsidP="0010162E">
      <w:pPr>
        <w:tabs>
          <w:tab w:val="right" w:leader="dot" w:pos="7654"/>
          <w:tab w:val="right" w:pos="8929"/>
          <w:tab w:val="right" w:pos="9638"/>
        </w:tabs>
        <w:spacing w:after="120"/>
        <w:ind w:left="1984" w:hanging="425"/>
      </w:pPr>
      <w:r w:rsidRPr="00AF5FD5">
        <w:t>3.</w:t>
      </w:r>
      <w:r w:rsidRPr="00AF5FD5">
        <w:tab/>
      </w:r>
      <w:r w:rsidR="00866DF3" w:rsidRPr="00AF5FD5">
        <w:rPr>
          <w:lang w:val="fr-FR"/>
        </w:rPr>
        <w:t>Révision de la norme EN 12830</w:t>
      </w:r>
      <w:r w:rsidRPr="00AF5FD5">
        <w:tab/>
      </w:r>
      <w:r w:rsidRPr="00AF5FD5">
        <w:tab/>
        <w:t>44−45</w:t>
      </w:r>
      <w:r w:rsidRPr="00AF5FD5">
        <w:tab/>
      </w:r>
      <w:r w:rsidR="00985A08">
        <w:t>11</w:t>
      </w:r>
    </w:p>
    <w:p w:rsidR="0010162E" w:rsidRPr="00AF5FD5" w:rsidRDefault="0010162E" w:rsidP="0010162E">
      <w:pPr>
        <w:tabs>
          <w:tab w:val="right" w:leader="dot" w:pos="7654"/>
          <w:tab w:val="right" w:pos="8929"/>
          <w:tab w:val="right" w:pos="9638"/>
        </w:tabs>
        <w:spacing w:after="120"/>
        <w:ind w:left="1984" w:hanging="425"/>
      </w:pPr>
      <w:r w:rsidRPr="00AF5FD5">
        <w:t>4.</w:t>
      </w:r>
      <w:r w:rsidRPr="00AF5FD5">
        <w:tab/>
      </w:r>
      <w:r w:rsidR="00866DF3" w:rsidRPr="00AF5FD5">
        <w:rPr>
          <w:lang w:val="fr-FR"/>
        </w:rPr>
        <w:t>Révision des normes EN 13485 et EN 13486</w:t>
      </w:r>
      <w:r w:rsidRPr="00AF5FD5">
        <w:tab/>
      </w:r>
      <w:r w:rsidRPr="00AF5FD5">
        <w:tab/>
        <w:t>46</w:t>
      </w:r>
      <w:r w:rsidRPr="00AF5FD5">
        <w:tab/>
      </w:r>
      <w:r w:rsidR="00985A08">
        <w:t>11</w:t>
      </w:r>
    </w:p>
    <w:p w:rsidR="0010162E" w:rsidRPr="00AF5FD5" w:rsidRDefault="0010162E" w:rsidP="0010162E">
      <w:pPr>
        <w:tabs>
          <w:tab w:val="right" w:leader="dot" w:pos="7654"/>
          <w:tab w:val="right" w:pos="8929"/>
          <w:tab w:val="right" w:pos="9638"/>
        </w:tabs>
        <w:spacing w:after="120"/>
        <w:ind w:left="1984" w:hanging="425"/>
      </w:pPr>
      <w:r w:rsidRPr="00AF5FD5">
        <w:t>5.</w:t>
      </w:r>
      <w:r w:rsidRPr="00AF5FD5">
        <w:tab/>
      </w:r>
      <w:r w:rsidR="00866DF3" w:rsidRPr="00AF5FD5">
        <w:rPr>
          <w:lang w:val="fr-FR"/>
        </w:rPr>
        <w:t xml:space="preserve">Normes ISO relatives aux conteneurs frigorifiques isothermes </w:t>
      </w:r>
      <w:r w:rsidR="00866DF3" w:rsidRPr="00AF5FD5">
        <w:rPr>
          <w:lang w:val="fr-FR"/>
        </w:rPr>
        <w:br/>
        <w:t>maritimes à caractéristiques thermiques</w:t>
      </w:r>
      <w:r w:rsidRPr="00AF5FD5">
        <w:tab/>
      </w:r>
      <w:r w:rsidRPr="00AF5FD5">
        <w:tab/>
        <w:t>47−48</w:t>
      </w:r>
      <w:r w:rsidRPr="00AF5FD5">
        <w:tab/>
      </w:r>
      <w:r w:rsidR="00985A08">
        <w:t>12</w:t>
      </w:r>
    </w:p>
    <w:p w:rsidR="0010162E" w:rsidRPr="00AF5FD5" w:rsidRDefault="0010162E" w:rsidP="0010162E">
      <w:pPr>
        <w:tabs>
          <w:tab w:val="right" w:leader="dot" w:pos="7654"/>
          <w:tab w:val="right" w:pos="8929"/>
          <w:tab w:val="right" w:pos="9638"/>
        </w:tabs>
        <w:spacing w:after="120"/>
        <w:ind w:left="1984" w:hanging="425"/>
      </w:pPr>
      <w:r w:rsidRPr="00AF5FD5">
        <w:t>6.</w:t>
      </w:r>
      <w:r w:rsidRPr="00AF5FD5">
        <w:tab/>
      </w:r>
      <w:r w:rsidR="00866DF3" w:rsidRPr="00AF5FD5">
        <w:t>Autres activités de normalisation intéressant le WP.11</w:t>
      </w:r>
      <w:r w:rsidRPr="00AF5FD5">
        <w:tab/>
      </w:r>
      <w:r w:rsidRPr="00AF5FD5">
        <w:tab/>
        <w:t>49</w:t>
      </w:r>
      <w:r w:rsidRPr="00AF5FD5">
        <w:tab/>
      </w:r>
      <w:r w:rsidR="00985A08">
        <w:t>12</w:t>
      </w:r>
    </w:p>
    <w:p w:rsidR="0010162E" w:rsidRPr="00AF5FD5" w:rsidRDefault="0010162E" w:rsidP="0010162E">
      <w:pPr>
        <w:tabs>
          <w:tab w:val="right" w:pos="850"/>
          <w:tab w:val="right" w:leader="dot" w:pos="7654"/>
          <w:tab w:val="right" w:pos="8929"/>
          <w:tab w:val="right" w:pos="9638"/>
        </w:tabs>
        <w:spacing w:after="120"/>
        <w:ind w:left="1134" w:hanging="1134"/>
      </w:pPr>
      <w:r w:rsidRPr="00AF5FD5">
        <w:tab/>
        <w:t>VI.</w:t>
      </w:r>
      <w:r w:rsidRPr="00AF5FD5">
        <w:tab/>
      </w:r>
      <w:r w:rsidR="00866DF3" w:rsidRPr="00AF5FD5">
        <w:rPr>
          <w:lang w:val="fr-FR"/>
        </w:rPr>
        <w:t xml:space="preserve">État et mise en œuvre de l’Accord relatif aux transports internationaux de </w:t>
      </w:r>
      <w:r w:rsidR="00964E46">
        <w:rPr>
          <w:lang w:val="fr-FR"/>
        </w:rPr>
        <w:br/>
      </w:r>
      <w:r w:rsidR="00866DF3" w:rsidRPr="00AF5FD5">
        <w:rPr>
          <w:lang w:val="fr-FR"/>
        </w:rPr>
        <w:t xml:space="preserve">denrées périssables et aux engins spéciaux à utiliser pour ces transports (ATP) </w:t>
      </w:r>
      <w:r w:rsidR="00866DF3" w:rsidRPr="00AF5FD5">
        <w:rPr>
          <w:lang w:val="fr-FR"/>
        </w:rPr>
        <w:br/>
        <w:t>(point 5 de l’ordre du jour)</w:t>
      </w:r>
      <w:r w:rsidRPr="00AF5FD5">
        <w:tab/>
      </w:r>
      <w:r w:rsidRPr="00AF5FD5">
        <w:tab/>
        <w:t>50−61</w:t>
      </w:r>
      <w:r w:rsidRPr="00AF5FD5">
        <w:tab/>
      </w:r>
      <w:r w:rsidR="00985A08">
        <w:t>12</w:t>
      </w:r>
    </w:p>
    <w:p w:rsidR="0010162E" w:rsidRPr="00AF5FD5" w:rsidRDefault="0010162E" w:rsidP="0010162E">
      <w:pPr>
        <w:tabs>
          <w:tab w:val="right" w:leader="dot" w:pos="7654"/>
          <w:tab w:val="right" w:pos="8929"/>
          <w:tab w:val="right" w:pos="9638"/>
        </w:tabs>
        <w:spacing w:after="120"/>
        <w:ind w:left="1559" w:hanging="425"/>
      </w:pPr>
      <w:r w:rsidRPr="00AF5FD5">
        <w:t>A.</w:t>
      </w:r>
      <w:r w:rsidRPr="00AF5FD5">
        <w:tab/>
      </w:r>
      <w:r w:rsidR="00964E46" w:rsidRPr="00AF5FD5">
        <w:t>État de l’Accord</w:t>
      </w:r>
      <w:r w:rsidRPr="00AF5FD5">
        <w:tab/>
      </w:r>
      <w:r w:rsidRPr="00AF5FD5">
        <w:tab/>
        <w:t>50</w:t>
      </w:r>
      <w:r w:rsidRPr="00AF5FD5">
        <w:tab/>
      </w:r>
      <w:r w:rsidR="00985A08">
        <w:t>12</w:t>
      </w:r>
    </w:p>
    <w:p w:rsidR="0010162E" w:rsidRPr="00AF5FD5" w:rsidRDefault="0010162E" w:rsidP="0010162E">
      <w:pPr>
        <w:tabs>
          <w:tab w:val="right" w:leader="dot" w:pos="7654"/>
          <w:tab w:val="right" w:pos="8929"/>
          <w:tab w:val="right" w:pos="9638"/>
        </w:tabs>
        <w:spacing w:after="120"/>
        <w:ind w:left="1559" w:hanging="425"/>
      </w:pPr>
      <w:r w:rsidRPr="00AF5FD5">
        <w:t>B.</w:t>
      </w:r>
      <w:r w:rsidRPr="00AF5FD5">
        <w:tab/>
      </w:r>
      <w:r w:rsidR="00083631" w:rsidRPr="00AF5FD5">
        <w:t>État des amendements</w:t>
      </w:r>
      <w:r w:rsidRPr="00AF5FD5">
        <w:tab/>
      </w:r>
      <w:r w:rsidRPr="00AF5FD5">
        <w:tab/>
        <w:t>51−52</w:t>
      </w:r>
      <w:r w:rsidRPr="00AF5FD5">
        <w:tab/>
      </w:r>
      <w:r w:rsidR="00985A08">
        <w:t>12</w:t>
      </w:r>
    </w:p>
    <w:p w:rsidR="0010162E" w:rsidRPr="00AF5FD5" w:rsidRDefault="0010162E" w:rsidP="0010162E">
      <w:pPr>
        <w:tabs>
          <w:tab w:val="right" w:leader="dot" w:pos="7654"/>
          <w:tab w:val="right" w:pos="8929"/>
          <w:tab w:val="right" w:pos="9638"/>
        </w:tabs>
        <w:spacing w:after="120"/>
        <w:ind w:left="1559" w:hanging="425"/>
      </w:pPr>
      <w:r w:rsidRPr="00AF5FD5">
        <w:t>C.</w:t>
      </w:r>
      <w:r w:rsidRPr="00AF5FD5">
        <w:tab/>
      </w:r>
      <w:r w:rsidR="00083631" w:rsidRPr="00AF5FD5">
        <w:t>Stations d’essai officiellement désignées par l’autorité compé</w:t>
      </w:r>
      <w:r w:rsidR="0058315B">
        <w:t xml:space="preserve">tente </w:t>
      </w:r>
      <w:r w:rsidR="0058315B">
        <w:br/>
        <w:t>des pays parties à l’ATP</w:t>
      </w:r>
      <w:r w:rsidRPr="00AF5FD5">
        <w:tab/>
      </w:r>
      <w:r w:rsidRPr="00AF5FD5">
        <w:tab/>
        <w:t>53−54</w:t>
      </w:r>
      <w:r w:rsidRPr="00AF5FD5">
        <w:tab/>
      </w:r>
      <w:r w:rsidR="00985A08">
        <w:t>13</w:t>
      </w:r>
    </w:p>
    <w:p w:rsidR="0010162E" w:rsidRPr="00AF5FD5" w:rsidRDefault="0010162E" w:rsidP="0010162E">
      <w:pPr>
        <w:tabs>
          <w:tab w:val="right" w:leader="dot" w:pos="7654"/>
          <w:tab w:val="right" w:pos="8929"/>
          <w:tab w:val="right" w:pos="9638"/>
        </w:tabs>
        <w:spacing w:after="120"/>
        <w:ind w:left="1559" w:hanging="425"/>
      </w:pPr>
      <w:r w:rsidRPr="00AF5FD5">
        <w:t>D.</w:t>
      </w:r>
      <w:r w:rsidRPr="00AF5FD5">
        <w:tab/>
      </w:r>
      <w:r w:rsidR="00083631" w:rsidRPr="00AF5FD5">
        <w:rPr>
          <w:lang w:val="fr-FR"/>
        </w:rPr>
        <w:t>Échange d’informations entre les Parties en vertu de l’article 6 de l’ATP</w:t>
      </w:r>
      <w:r w:rsidRPr="00AF5FD5">
        <w:tab/>
      </w:r>
      <w:r w:rsidRPr="00AF5FD5">
        <w:tab/>
        <w:t>55−56</w:t>
      </w:r>
      <w:r w:rsidRPr="00AF5FD5">
        <w:tab/>
      </w:r>
      <w:r w:rsidR="00985A08">
        <w:t>13</w:t>
      </w:r>
    </w:p>
    <w:p w:rsidR="0010162E" w:rsidRPr="00AF5FD5" w:rsidRDefault="0010162E" w:rsidP="0010162E">
      <w:pPr>
        <w:tabs>
          <w:tab w:val="right" w:leader="dot" w:pos="7654"/>
          <w:tab w:val="right" w:pos="8929"/>
          <w:tab w:val="right" w:pos="9638"/>
        </w:tabs>
        <w:spacing w:after="120"/>
        <w:ind w:left="1559" w:hanging="425"/>
      </w:pPr>
      <w:r w:rsidRPr="00AF5FD5">
        <w:t>E.</w:t>
      </w:r>
      <w:r w:rsidRPr="00AF5FD5">
        <w:tab/>
      </w:r>
      <w:r w:rsidR="00083631" w:rsidRPr="00AF5FD5">
        <w:t>Interprétation de l’ATP</w:t>
      </w:r>
      <w:r w:rsidRPr="00AF5FD5">
        <w:tab/>
      </w:r>
      <w:r w:rsidRPr="00AF5FD5">
        <w:tab/>
        <w:t>57−61</w:t>
      </w:r>
      <w:r w:rsidRPr="00AF5FD5">
        <w:tab/>
      </w:r>
      <w:r w:rsidR="00985A08">
        <w:t>13</w:t>
      </w:r>
    </w:p>
    <w:p w:rsidR="0010162E" w:rsidRPr="00AF5FD5" w:rsidRDefault="0010162E" w:rsidP="0010162E">
      <w:pPr>
        <w:tabs>
          <w:tab w:val="right" w:leader="dot" w:pos="7654"/>
          <w:tab w:val="right" w:pos="8929"/>
          <w:tab w:val="right" w:pos="9638"/>
        </w:tabs>
        <w:spacing w:after="120"/>
        <w:ind w:left="1984" w:hanging="425"/>
      </w:pPr>
      <w:r w:rsidRPr="00AF5FD5">
        <w:t>1.</w:t>
      </w:r>
      <w:r w:rsidRPr="00AF5FD5">
        <w:tab/>
      </w:r>
      <w:r w:rsidR="00083631" w:rsidRPr="00AF5FD5">
        <w:t xml:space="preserve">Proposition d’amendement au paragraphe 6.5 de l’appendice 2 </w:t>
      </w:r>
      <w:r w:rsidR="00083631">
        <w:br/>
      </w:r>
      <w:r w:rsidR="00083631" w:rsidRPr="00AF5FD5">
        <w:t xml:space="preserve">de l’annexe 1 : Mesure de la température à l’extérieur au cours </w:t>
      </w:r>
      <w:r w:rsidR="00083631">
        <w:br/>
      </w:r>
      <w:r w:rsidR="00083631" w:rsidRPr="00AF5FD5">
        <w:t>d’essais de descente en température</w:t>
      </w:r>
      <w:r w:rsidRPr="00AF5FD5">
        <w:tab/>
      </w:r>
      <w:r w:rsidRPr="00AF5FD5">
        <w:tab/>
        <w:t>57−59</w:t>
      </w:r>
      <w:r w:rsidRPr="00AF5FD5">
        <w:tab/>
      </w:r>
      <w:r w:rsidR="00985A08">
        <w:t>13</w:t>
      </w:r>
    </w:p>
    <w:p w:rsidR="0010162E" w:rsidRPr="00AF5FD5" w:rsidRDefault="0010162E" w:rsidP="0010162E">
      <w:pPr>
        <w:tabs>
          <w:tab w:val="right" w:leader="dot" w:pos="7654"/>
          <w:tab w:val="right" w:pos="8929"/>
          <w:tab w:val="right" w:pos="9638"/>
        </w:tabs>
        <w:spacing w:after="120"/>
        <w:ind w:left="1984" w:hanging="425"/>
      </w:pPr>
      <w:r w:rsidRPr="00AF5FD5">
        <w:t>2.</w:t>
      </w:r>
      <w:r w:rsidRPr="00AF5FD5">
        <w:tab/>
      </w:r>
      <w:r w:rsidR="00083631" w:rsidRPr="00AF5FD5">
        <w:t xml:space="preserve">Explications concernant la façon de remplir la formule d’attestation </w:t>
      </w:r>
      <w:r w:rsidR="00083631" w:rsidRPr="00AF5FD5">
        <w:br/>
        <w:t>de conformité ATP</w:t>
      </w:r>
      <w:r w:rsidRPr="00AF5FD5">
        <w:tab/>
      </w:r>
      <w:r w:rsidRPr="00AF5FD5">
        <w:tab/>
        <w:t>60−61</w:t>
      </w:r>
      <w:r w:rsidRPr="00AF5FD5">
        <w:tab/>
      </w:r>
      <w:r w:rsidR="00985A08">
        <w:t>14</w:t>
      </w:r>
      <w:r w:rsidRPr="00AF5FD5">
        <w:tab/>
      </w:r>
    </w:p>
    <w:p w:rsidR="0010162E" w:rsidRPr="00AF5FD5" w:rsidRDefault="0010162E" w:rsidP="0010162E">
      <w:pPr>
        <w:tabs>
          <w:tab w:val="right" w:pos="850"/>
          <w:tab w:val="right" w:leader="dot" w:pos="7654"/>
          <w:tab w:val="right" w:pos="8929"/>
          <w:tab w:val="right" w:pos="9638"/>
        </w:tabs>
        <w:spacing w:after="120"/>
        <w:ind w:left="1134" w:hanging="1134"/>
      </w:pPr>
      <w:r w:rsidRPr="00AF5FD5">
        <w:tab/>
        <w:t>VII.</w:t>
      </w:r>
      <w:r w:rsidRPr="00AF5FD5">
        <w:tab/>
      </w:r>
      <w:r w:rsidR="00083631" w:rsidRPr="00AF5FD5">
        <w:t>Propositions d’amendements à l’ATP (point 6 de l’ordre du jour)</w:t>
      </w:r>
      <w:r w:rsidRPr="00AF5FD5">
        <w:tab/>
      </w:r>
      <w:r w:rsidRPr="00AF5FD5">
        <w:tab/>
        <w:t>62−105</w:t>
      </w:r>
      <w:r w:rsidRPr="00AF5FD5">
        <w:tab/>
      </w:r>
      <w:r w:rsidR="00985A08">
        <w:t>14</w:t>
      </w:r>
    </w:p>
    <w:p w:rsidR="0010162E" w:rsidRPr="00AF5FD5" w:rsidRDefault="0010162E" w:rsidP="0010162E">
      <w:pPr>
        <w:tabs>
          <w:tab w:val="right" w:leader="dot" w:pos="7654"/>
          <w:tab w:val="right" w:pos="8929"/>
          <w:tab w:val="right" w:pos="9638"/>
        </w:tabs>
        <w:spacing w:after="120"/>
        <w:ind w:left="1559" w:hanging="425"/>
      </w:pPr>
      <w:r w:rsidRPr="00AF5FD5">
        <w:t>A.</w:t>
      </w:r>
      <w:r w:rsidRPr="00AF5FD5">
        <w:tab/>
      </w:r>
      <w:r w:rsidR="00083631" w:rsidRPr="00AF5FD5">
        <w:t>Propositions en suspens</w:t>
      </w:r>
      <w:r w:rsidRPr="00AF5FD5">
        <w:tab/>
      </w:r>
      <w:r w:rsidRPr="00AF5FD5">
        <w:tab/>
        <w:t>62−82</w:t>
      </w:r>
      <w:r w:rsidRPr="00AF5FD5">
        <w:tab/>
      </w:r>
      <w:r w:rsidR="00985A08">
        <w:t>14</w:t>
      </w:r>
    </w:p>
    <w:p w:rsidR="0010162E" w:rsidRPr="00AF5FD5" w:rsidRDefault="0010162E" w:rsidP="0010162E">
      <w:pPr>
        <w:tabs>
          <w:tab w:val="right" w:leader="dot" w:pos="7654"/>
          <w:tab w:val="right" w:pos="8929"/>
          <w:tab w:val="right" w:pos="9638"/>
        </w:tabs>
        <w:spacing w:after="120"/>
        <w:ind w:left="1984" w:hanging="425"/>
      </w:pPr>
      <w:r w:rsidRPr="00AF5FD5">
        <w:t>1.</w:t>
      </w:r>
      <w:r w:rsidRPr="00AF5FD5">
        <w:tab/>
      </w:r>
      <w:r w:rsidR="00083631" w:rsidRPr="00AF5FD5">
        <w:t xml:space="preserve">Amendements à l’appendice 1 de l’annexe 2 de l’ATP visant </w:t>
      </w:r>
      <w:r w:rsidR="00083631">
        <w:br/>
      </w:r>
      <w:r w:rsidR="00083631" w:rsidRPr="00AF5FD5">
        <w:t xml:space="preserve">à faire figurer des renvois aux normes nationales de </w:t>
      </w:r>
      <w:r w:rsidR="00083631">
        <w:br/>
      </w:r>
      <w:r w:rsidR="00083631" w:rsidRPr="00AF5FD5">
        <w:t xml:space="preserve">la Fédération de Russie en même temps que des renvois </w:t>
      </w:r>
      <w:r w:rsidR="00083631">
        <w:br/>
      </w:r>
      <w:r w:rsidR="00083631" w:rsidRPr="00AF5FD5">
        <w:t>aux normes régionales européennes</w:t>
      </w:r>
      <w:r w:rsidRPr="00AF5FD5">
        <w:tab/>
      </w:r>
      <w:r w:rsidRPr="00AF5FD5">
        <w:tab/>
      </w:r>
      <w:r w:rsidRPr="00AF5FD5">
        <w:rPr>
          <w:webHidden/>
        </w:rPr>
        <w:t>62-64</w:t>
      </w:r>
      <w:r w:rsidRPr="00AF5FD5">
        <w:tab/>
      </w:r>
      <w:r w:rsidR="00985A08">
        <w:t>14</w:t>
      </w:r>
    </w:p>
    <w:p w:rsidR="0010162E" w:rsidRPr="00AF5FD5" w:rsidRDefault="0010162E" w:rsidP="0010162E">
      <w:pPr>
        <w:tabs>
          <w:tab w:val="right" w:leader="dot" w:pos="7654"/>
          <w:tab w:val="right" w:pos="8929"/>
          <w:tab w:val="right" w:pos="9638"/>
        </w:tabs>
        <w:spacing w:after="120"/>
        <w:ind w:left="1984" w:hanging="425"/>
      </w:pPr>
      <w:r w:rsidRPr="00AF5FD5">
        <w:lastRenderedPageBreak/>
        <w:t>2.</w:t>
      </w:r>
      <w:r w:rsidRPr="00AF5FD5">
        <w:tab/>
      </w:r>
      <w:r w:rsidR="00083631" w:rsidRPr="00AF5FD5">
        <w:t xml:space="preserve">Amendements au paragraphe 3.2.6 de l’appendice 2 de l’annexe 1 </w:t>
      </w:r>
      <w:r w:rsidR="00083631" w:rsidRPr="00AF5FD5">
        <w:br/>
        <w:t>et à l’appendice 3 de l’annexe 1</w:t>
      </w:r>
      <w:r w:rsidRPr="00AF5FD5">
        <w:tab/>
      </w:r>
      <w:r w:rsidRPr="00AF5FD5">
        <w:tab/>
      </w:r>
      <w:r w:rsidRPr="00AF5FD5">
        <w:rPr>
          <w:webHidden/>
        </w:rPr>
        <w:t>65-68</w:t>
      </w:r>
      <w:r w:rsidRPr="00AF5FD5">
        <w:tab/>
      </w:r>
      <w:r w:rsidR="00985A08">
        <w:t>14</w:t>
      </w:r>
    </w:p>
    <w:p w:rsidR="0010162E" w:rsidRPr="00AF5FD5" w:rsidRDefault="0010162E" w:rsidP="0010162E">
      <w:pPr>
        <w:tabs>
          <w:tab w:val="right" w:leader="dot" w:pos="7654"/>
          <w:tab w:val="right" w:pos="8929"/>
          <w:tab w:val="right" w:pos="9638"/>
        </w:tabs>
        <w:spacing w:after="120"/>
        <w:ind w:left="1984" w:hanging="425"/>
      </w:pPr>
      <w:r w:rsidRPr="00AF5FD5">
        <w:t>3.</w:t>
      </w:r>
      <w:r w:rsidRPr="00AF5FD5">
        <w:tab/>
      </w:r>
      <w:r w:rsidR="00083631" w:rsidRPr="00AF5FD5">
        <w:rPr>
          <w:lang w:val="fr-FR"/>
        </w:rPr>
        <w:t xml:space="preserve">Précisions dans l’ATP au sujet du coefficient global de transmission </w:t>
      </w:r>
      <w:r w:rsidR="00083631">
        <w:rPr>
          <w:lang w:val="fr-FR"/>
        </w:rPr>
        <w:br/>
      </w:r>
      <w:r w:rsidR="00083631" w:rsidRPr="00AF5FD5">
        <w:rPr>
          <w:lang w:val="fr-FR"/>
        </w:rPr>
        <w:t xml:space="preserve">thermique (coefficient K) de la caisse d’un engin de transport </w:t>
      </w:r>
      <w:r w:rsidR="00083631">
        <w:rPr>
          <w:lang w:val="fr-FR"/>
        </w:rPr>
        <w:br/>
      </w:r>
      <w:r w:rsidR="00083631" w:rsidRPr="00AF5FD5">
        <w:rPr>
          <w:lang w:val="fr-FR"/>
        </w:rPr>
        <w:t xml:space="preserve">spécial, en remplaçant la marge d’erreur par l’incertitude, et </w:t>
      </w:r>
      <w:r w:rsidR="00083631">
        <w:rPr>
          <w:lang w:val="fr-FR"/>
        </w:rPr>
        <w:br/>
      </w:r>
      <w:r w:rsidR="00083631" w:rsidRPr="00AF5FD5">
        <w:rPr>
          <w:lang w:val="fr-FR"/>
        </w:rPr>
        <w:t xml:space="preserve">explications dans le Manuel ATP concernant les méthodes </w:t>
      </w:r>
      <w:r w:rsidR="00083631">
        <w:rPr>
          <w:lang w:val="fr-FR"/>
        </w:rPr>
        <w:br/>
      </w:r>
      <w:r w:rsidR="00083631" w:rsidRPr="00AF5FD5">
        <w:rPr>
          <w:lang w:val="fr-FR"/>
        </w:rPr>
        <w:t xml:space="preserve">recommandées pour déterminer l’incertitude de mesure </w:t>
      </w:r>
      <w:r w:rsidR="00083631">
        <w:rPr>
          <w:lang w:val="fr-FR"/>
        </w:rPr>
        <w:br/>
      </w:r>
      <w:r w:rsidR="00083631" w:rsidRPr="00AF5FD5">
        <w:rPr>
          <w:lang w:val="fr-FR"/>
        </w:rPr>
        <w:t>du coefficient K</w:t>
      </w:r>
      <w:r w:rsidRPr="00AF5FD5">
        <w:tab/>
      </w:r>
      <w:r w:rsidRPr="00AF5FD5">
        <w:tab/>
      </w:r>
      <w:r w:rsidRPr="00AF5FD5">
        <w:rPr>
          <w:webHidden/>
        </w:rPr>
        <w:t>69</w:t>
      </w:r>
      <w:r w:rsidRPr="00AF5FD5">
        <w:tab/>
      </w:r>
      <w:r w:rsidR="00985A08">
        <w:t>15</w:t>
      </w:r>
    </w:p>
    <w:p w:rsidR="0010162E" w:rsidRPr="00AF5FD5" w:rsidRDefault="0010162E" w:rsidP="0010162E">
      <w:pPr>
        <w:tabs>
          <w:tab w:val="right" w:leader="dot" w:pos="7654"/>
          <w:tab w:val="right" w:pos="8929"/>
          <w:tab w:val="right" w:pos="9638"/>
        </w:tabs>
        <w:spacing w:after="120"/>
        <w:ind w:left="1984" w:hanging="425"/>
      </w:pPr>
      <w:r w:rsidRPr="00AF5FD5">
        <w:t>4.</w:t>
      </w:r>
      <w:r w:rsidRPr="00AF5FD5">
        <w:tab/>
      </w:r>
      <w:r w:rsidR="00083631" w:rsidRPr="00AF5FD5">
        <w:t xml:space="preserve">Modifications et ajouts aux définitions proposés dans le document ECE/TRANS/WP.11/2015/17, pour introduction dans </w:t>
      </w:r>
      <w:r w:rsidR="00083631">
        <w:br/>
      </w:r>
      <w:r w:rsidR="00083631" w:rsidRPr="00AF5FD5">
        <w:t>l’annexe I de l’Accord</w:t>
      </w:r>
      <w:r w:rsidRPr="00AF5FD5">
        <w:tab/>
      </w:r>
      <w:r w:rsidRPr="00AF5FD5">
        <w:tab/>
        <w:t>70-71</w:t>
      </w:r>
      <w:r w:rsidRPr="00AF5FD5">
        <w:tab/>
      </w:r>
      <w:r w:rsidR="00985A08">
        <w:t>15</w:t>
      </w:r>
    </w:p>
    <w:p w:rsidR="0010162E" w:rsidRPr="00AF5FD5" w:rsidRDefault="0010162E" w:rsidP="0010162E">
      <w:pPr>
        <w:tabs>
          <w:tab w:val="right" w:leader="dot" w:pos="7654"/>
          <w:tab w:val="right" w:pos="8929"/>
          <w:tab w:val="right" w:pos="9638"/>
        </w:tabs>
        <w:spacing w:after="120"/>
        <w:ind w:left="1984" w:hanging="425"/>
      </w:pPr>
      <w:r w:rsidRPr="00AF5FD5">
        <w:t>5.</w:t>
      </w:r>
      <w:r w:rsidRPr="00AF5FD5">
        <w:tab/>
      </w:r>
      <w:r w:rsidR="00083631" w:rsidRPr="00AF5FD5">
        <w:t xml:space="preserve">Amendement à l’appendice 2 de l’annexe 1 de l’ATP concernant </w:t>
      </w:r>
      <w:r w:rsidR="00083631">
        <w:br/>
      </w:r>
      <w:r w:rsidR="00083631" w:rsidRPr="00AF5FD5">
        <w:t xml:space="preserve">la prise en compte des erreurs (de l’incertitude) lors de la mesure </w:t>
      </w:r>
      <w:r w:rsidR="00083631">
        <w:br/>
      </w:r>
      <w:r w:rsidR="00083631" w:rsidRPr="00AF5FD5">
        <w:t xml:space="preserve">du coefficient global de transmission thermique pour déterminer </w:t>
      </w:r>
      <w:r w:rsidR="00083631">
        <w:br/>
      </w:r>
      <w:r w:rsidR="00083631" w:rsidRPr="00AF5FD5">
        <w:t xml:space="preserve">la catégorie dans laquelle entre un engin de transport spécial et </w:t>
      </w:r>
      <w:r w:rsidR="00083631">
        <w:br/>
      </w:r>
      <w:r w:rsidR="00083631" w:rsidRPr="00AF5FD5">
        <w:t xml:space="preserve">correction d’une erreur typographique dans la version russe </w:t>
      </w:r>
      <w:r w:rsidR="00083631">
        <w:br/>
      </w:r>
      <w:r w:rsidR="00083631" w:rsidRPr="00AF5FD5">
        <w:t>du paragraphe 2.3.1 à l’appendice 2 de l’annexe 1</w:t>
      </w:r>
      <w:r w:rsidRPr="00AF5FD5">
        <w:tab/>
      </w:r>
      <w:r w:rsidRPr="00AF5FD5">
        <w:tab/>
      </w:r>
      <w:r w:rsidRPr="00AF5FD5">
        <w:rPr>
          <w:webHidden/>
        </w:rPr>
        <w:t>72-73</w:t>
      </w:r>
      <w:r w:rsidRPr="00AF5FD5">
        <w:tab/>
      </w:r>
      <w:r w:rsidR="00985A08">
        <w:t>15</w:t>
      </w:r>
    </w:p>
    <w:p w:rsidR="0010162E" w:rsidRPr="00AF5FD5" w:rsidRDefault="0010162E" w:rsidP="0010162E">
      <w:pPr>
        <w:tabs>
          <w:tab w:val="right" w:leader="dot" w:pos="7654"/>
          <w:tab w:val="right" w:pos="8929"/>
          <w:tab w:val="right" w:pos="9638"/>
        </w:tabs>
        <w:spacing w:after="120"/>
        <w:ind w:left="1984" w:hanging="425"/>
      </w:pPr>
      <w:r w:rsidRPr="00AF5FD5">
        <w:t>6.</w:t>
      </w:r>
      <w:r w:rsidRPr="00AF5FD5">
        <w:tab/>
      </w:r>
      <w:r w:rsidR="00083631" w:rsidRPr="00AF5FD5">
        <w:t xml:space="preserve">Modifications apportées aux modèles de procès-verbaux d’essai </w:t>
      </w:r>
      <w:r w:rsidR="00083631">
        <w:br/>
      </w:r>
      <w:r w:rsidR="00083631" w:rsidRPr="00AF5FD5">
        <w:t xml:space="preserve">de mesure du coefficient K découlant de la nécessité de prendre </w:t>
      </w:r>
      <w:r w:rsidR="00083631">
        <w:br/>
      </w:r>
      <w:r w:rsidR="00083631" w:rsidRPr="00AF5FD5">
        <w:t xml:space="preserve">en compte l’énergie des ventilateurs utilisés dans les essais </w:t>
      </w:r>
      <w:r w:rsidR="00083631">
        <w:br/>
      </w:r>
      <w:r w:rsidR="00083631" w:rsidRPr="00AF5FD5">
        <w:t xml:space="preserve">thermiques, qui produit de la chaleur à l’intérieur de la caisse </w:t>
      </w:r>
      <w:r w:rsidR="00083631">
        <w:br/>
      </w:r>
      <w:r w:rsidR="00083631" w:rsidRPr="00AF5FD5">
        <w:t>des engins de transport spéciaux</w:t>
      </w:r>
      <w:r w:rsidRPr="00AF5FD5">
        <w:tab/>
      </w:r>
      <w:r w:rsidRPr="00AF5FD5">
        <w:tab/>
      </w:r>
      <w:r w:rsidRPr="00AF5FD5">
        <w:rPr>
          <w:webHidden/>
        </w:rPr>
        <w:t>74</w:t>
      </w:r>
      <w:r w:rsidRPr="00AF5FD5">
        <w:tab/>
      </w:r>
      <w:r w:rsidR="00985A08">
        <w:t>15</w:t>
      </w:r>
    </w:p>
    <w:p w:rsidR="0010162E" w:rsidRPr="00AF5FD5" w:rsidRDefault="0010162E" w:rsidP="0010162E">
      <w:pPr>
        <w:tabs>
          <w:tab w:val="right" w:leader="dot" w:pos="7654"/>
          <w:tab w:val="right" w:pos="8929"/>
          <w:tab w:val="right" w:pos="9638"/>
        </w:tabs>
        <w:spacing w:after="120"/>
        <w:ind w:left="1984" w:hanging="425"/>
      </w:pPr>
      <w:r w:rsidRPr="00AF5FD5">
        <w:t>7.</w:t>
      </w:r>
      <w:r w:rsidRPr="00AF5FD5">
        <w:tab/>
      </w:r>
      <w:r w:rsidR="00083631" w:rsidRPr="00AF5FD5">
        <w:t>Amendements au paragraphe 1 de l’article 3 de l’ATP</w:t>
      </w:r>
      <w:r w:rsidRPr="00AF5FD5">
        <w:tab/>
      </w:r>
      <w:r w:rsidRPr="00AF5FD5">
        <w:tab/>
        <w:t>75</w:t>
      </w:r>
      <w:r w:rsidRPr="00AF5FD5">
        <w:tab/>
      </w:r>
      <w:r w:rsidR="00985A08">
        <w:t>16</w:t>
      </w:r>
    </w:p>
    <w:p w:rsidR="0010162E" w:rsidRPr="00AF5FD5" w:rsidRDefault="0010162E" w:rsidP="0010162E">
      <w:pPr>
        <w:tabs>
          <w:tab w:val="right" w:leader="dot" w:pos="7654"/>
          <w:tab w:val="right" w:pos="8929"/>
          <w:tab w:val="right" w:pos="9638"/>
        </w:tabs>
        <w:spacing w:after="120"/>
        <w:ind w:left="1984" w:hanging="425"/>
      </w:pPr>
      <w:r w:rsidRPr="00AF5FD5">
        <w:t>8.</w:t>
      </w:r>
      <w:r w:rsidRPr="00AF5FD5">
        <w:tab/>
      </w:r>
      <w:r w:rsidR="00083631" w:rsidRPr="00AF5FD5">
        <w:t xml:space="preserve">Modification rédactionnelle concernant une erreur dans </w:t>
      </w:r>
      <w:r w:rsidR="00083631">
        <w:br/>
      </w:r>
      <w:r w:rsidR="00083631" w:rsidRPr="00AF5FD5">
        <w:t>la version russe de l’ATP</w:t>
      </w:r>
      <w:r w:rsidRPr="00AF5FD5">
        <w:tab/>
      </w:r>
      <w:r w:rsidRPr="00AF5FD5">
        <w:tab/>
        <w:t>76</w:t>
      </w:r>
      <w:r w:rsidRPr="00AF5FD5">
        <w:tab/>
      </w:r>
      <w:r w:rsidR="00985A08">
        <w:t>16</w:t>
      </w:r>
    </w:p>
    <w:p w:rsidR="0010162E" w:rsidRPr="00AF5FD5" w:rsidRDefault="0010162E" w:rsidP="0010162E">
      <w:pPr>
        <w:tabs>
          <w:tab w:val="right" w:leader="dot" w:pos="7654"/>
          <w:tab w:val="right" w:pos="8929"/>
          <w:tab w:val="right" w:pos="9638"/>
        </w:tabs>
        <w:spacing w:after="120"/>
        <w:ind w:left="1984" w:hanging="425"/>
        <w:rPr>
          <w:webHidden/>
        </w:rPr>
      </w:pPr>
      <w:r w:rsidRPr="00AF5FD5">
        <w:t>9.</w:t>
      </w:r>
      <w:r w:rsidRPr="00AF5FD5">
        <w:tab/>
      </w:r>
      <w:r w:rsidR="00083631" w:rsidRPr="00AF5FD5">
        <w:t xml:space="preserve">Proposition d’amendement à l’ATP visant à attribuer, au stade </w:t>
      </w:r>
      <w:r w:rsidR="00083631">
        <w:br/>
      </w:r>
      <w:r w:rsidR="00083631" w:rsidRPr="00AF5FD5">
        <w:t xml:space="preserve">de l’agrément de nouveaux engins de transport, une classe </w:t>
      </w:r>
      <w:r w:rsidR="00083631">
        <w:br/>
      </w:r>
      <w:r w:rsidR="00083631" w:rsidRPr="00AF5FD5">
        <w:t xml:space="preserve">aux engins réfrigérants, frigorifiques, calorifiques ainsi </w:t>
      </w:r>
      <w:r w:rsidR="00083631">
        <w:br/>
      </w:r>
      <w:r w:rsidR="00083631" w:rsidRPr="00AF5FD5">
        <w:t>qu’aux engins frigorifiques et calorifiques</w:t>
      </w:r>
      <w:r w:rsidRPr="00AF5FD5">
        <w:tab/>
      </w:r>
      <w:r w:rsidRPr="00AF5FD5">
        <w:tab/>
      </w:r>
      <w:r w:rsidRPr="00AF5FD5">
        <w:rPr>
          <w:webHidden/>
        </w:rPr>
        <w:t>77-79</w:t>
      </w:r>
      <w:r w:rsidRPr="00AF5FD5">
        <w:rPr>
          <w:webHidden/>
        </w:rPr>
        <w:tab/>
      </w:r>
      <w:r w:rsidR="00985A08">
        <w:rPr>
          <w:webHidden/>
        </w:rPr>
        <w:t>16</w:t>
      </w:r>
    </w:p>
    <w:p w:rsidR="0010162E" w:rsidRPr="00AF5FD5" w:rsidRDefault="0010162E" w:rsidP="0010162E">
      <w:pPr>
        <w:tabs>
          <w:tab w:val="right" w:leader="dot" w:pos="7654"/>
          <w:tab w:val="right" w:pos="8929"/>
          <w:tab w:val="right" w:pos="9638"/>
        </w:tabs>
        <w:spacing w:after="120"/>
        <w:ind w:left="1984" w:hanging="425"/>
        <w:rPr>
          <w:webHidden/>
        </w:rPr>
      </w:pPr>
      <w:r w:rsidRPr="00AF5FD5">
        <w:rPr>
          <w:webHidden/>
        </w:rPr>
        <w:t>10</w:t>
      </w:r>
      <w:r w:rsidRPr="00AF5FD5">
        <w:rPr>
          <w:webHidden/>
        </w:rPr>
        <w:tab/>
      </w:r>
      <w:r w:rsidR="00083631" w:rsidRPr="00AF5FD5">
        <w:t>Prescriptions relatives aux essais de mesure du coefficient K</w:t>
      </w:r>
      <w:r w:rsidR="00083631">
        <w:t xml:space="preserve"> </w:t>
      </w:r>
      <w:r w:rsidR="00083631">
        <w:br/>
      </w:r>
      <w:r w:rsidR="00083631" w:rsidRPr="00AF5FD5">
        <w:t xml:space="preserve"> des cloisons fixes</w:t>
      </w:r>
      <w:r w:rsidRPr="00AF5FD5">
        <w:rPr>
          <w:webHidden/>
        </w:rPr>
        <w:tab/>
      </w:r>
      <w:r w:rsidRPr="00AF5FD5">
        <w:rPr>
          <w:webHidden/>
        </w:rPr>
        <w:tab/>
      </w:r>
      <w:r w:rsidRPr="00AF5FD5">
        <w:rPr>
          <w:webHidden/>
        </w:rPr>
        <w:tab/>
      </w:r>
      <w:r w:rsidR="0058315B">
        <w:rPr>
          <w:webHidden/>
        </w:rPr>
        <w:t>16</w:t>
      </w:r>
    </w:p>
    <w:p w:rsidR="0010162E" w:rsidRPr="00AF5FD5" w:rsidRDefault="0010162E" w:rsidP="0010162E">
      <w:pPr>
        <w:tabs>
          <w:tab w:val="right" w:leader="dot" w:pos="7654"/>
          <w:tab w:val="right" w:pos="8929"/>
          <w:tab w:val="right" w:pos="9638"/>
        </w:tabs>
        <w:spacing w:after="120"/>
        <w:ind w:left="1984" w:hanging="425"/>
        <w:rPr>
          <w:webHidden/>
        </w:rPr>
      </w:pPr>
      <w:r w:rsidRPr="00AF5FD5">
        <w:rPr>
          <w:webHidden/>
        </w:rPr>
        <w:t>11.</w:t>
      </w:r>
      <w:r w:rsidRPr="00AF5FD5">
        <w:rPr>
          <w:webHidden/>
        </w:rPr>
        <w:tab/>
      </w:r>
      <w:r w:rsidR="00083631" w:rsidRPr="00AF5FD5">
        <w:t>Prescriptions minimales pour les mousses isolantes</w:t>
      </w:r>
      <w:r w:rsidRPr="00AF5FD5">
        <w:rPr>
          <w:webHidden/>
        </w:rPr>
        <w:tab/>
      </w:r>
      <w:r w:rsidRPr="00AF5FD5">
        <w:rPr>
          <w:webHidden/>
        </w:rPr>
        <w:tab/>
      </w:r>
      <w:r w:rsidRPr="00AF5FD5">
        <w:rPr>
          <w:webHidden/>
        </w:rPr>
        <w:tab/>
      </w:r>
      <w:r w:rsidR="0058315B">
        <w:rPr>
          <w:webHidden/>
        </w:rPr>
        <w:t>16</w:t>
      </w:r>
    </w:p>
    <w:p w:rsidR="0010162E" w:rsidRPr="00AF5FD5" w:rsidRDefault="0010162E" w:rsidP="0010162E">
      <w:pPr>
        <w:tabs>
          <w:tab w:val="right" w:leader="dot" w:pos="7654"/>
          <w:tab w:val="right" w:pos="8929"/>
          <w:tab w:val="right" w:pos="9638"/>
        </w:tabs>
        <w:spacing w:after="120"/>
        <w:ind w:left="1984" w:hanging="425"/>
        <w:rPr>
          <w:webHidden/>
        </w:rPr>
      </w:pPr>
      <w:r w:rsidRPr="00AF5FD5">
        <w:rPr>
          <w:webHidden/>
        </w:rPr>
        <w:t>12.</w:t>
      </w:r>
      <w:r w:rsidRPr="00AF5FD5">
        <w:rPr>
          <w:webHidden/>
        </w:rPr>
        <w:tab/>
      </w:r>
      <w:r w:rsidR="00083631" w:rsidRPr="00AF5FD5">
        <w:t xml:space="preserve">Amendement au modèle d’attestation définissant les spécifications </w:t>
      </w:r>
      <w:r w:rsidR="00083631">
        <w:br/>
      </w:r>
      <w:r w:rsidR="00083631" w:rsidRPr="00AF5FD5">
        <w:t xml:space="preserve">des engins et des conteneurs-citernes destinés au transport de </w:t>
      </w:r>
      <w:r w:rsidR="00083631">
        <w:br/>
      </w:r>
      <w:r w:rsidR="00083631" w:rsidRPr="00AF5FD5">
        <w:t xml:space="preserve">liquides, comme conséquence de la nécessité de prendre </w:t>
      </w:r>
      <w:r w:rsidR="00083631">
        <w:br/>
      </w:r>
      <w:r w:rsidR="00083631" w:rsidRPr="00AF5FD5">
        <w:t xml:space="preserve">en compte l’évolution technologique due à l’utilisation </w:t>
      </w:r>
      <w:r w:rsidR="00083631">
        <w:br/>
      </w:r>
      <w:r w:rsidR="00083631" w:rsidRPr="00AF5FD5">
        <w:t>des nouvelles mousses isolantes</w:t>
      </w:r>
      <w:r w:rsidRPr="00AF5FD5">
        <w:rPr>
          <w:webHidden/>
        </w:rPr>
        <w:tab/>
      </w:r>
      <w:r w:rsidRPr="00AF5FD5">
        <w:rPr>
          <w:webHidden/>
        </w:rPr>
        <w:tab/>
        <w:t>80-82</w:t>
      </w:r>
      <w:r w:rsidRPr="00AF5FD5">
        <w:rPr>
          <w:webHidden/>
        </w:rPr>
        <w:tab/>
      </w:r>
      <w:r w:rsidR="00985A08">
        <w:rPr>
          <w:webHidden/>
        </w:rPr>
        <w:t>16</w:t>
      </w:r>
    </w:p>
    <w:p w:rsidR="0010162E" w:rsidRPr="00AF5FD5" w:rsidRDefault="0010162E" w:rsidP="0010162E">
      <w:pPr>
        <w:tabs>
          <w:tab w:val="right" w:leader="dot" w:pos="7654"/>
          <w:tab w:val="right" w:pos="8929"/>
          <w:tab w:val="right" w:pos="9638"/>
        </w:tabs>
        <w:spacing w:after="120"/>
        <w:ind w:left="1559" w:hanging="425"/>
      </w:pPr>
      <w:r w:rsidRPr="00AF5FD5">
        <w:t>B.</w:t>
      </w:r>
      <w:r w:rsidRPr="00AF5FD5">
        <w:tab/>
      </w:r>
      <w:r w:rsidR="00083631" w:rsidRPr="00AF5FD5">
        <w:t>Nouvelles propositions</w:t>
      </w:r>
      <w:r w:rsidRPr="00AF5FD5">
        <w:tab/>
      </w:r>
      <w:r w:rsidRPr="00AF5FD5">
        <w:tab/>
        <w:t>83−105</w:t>
      </w:r>
      <w:r w:rsidRPr="00AF5FD5">
        <w:tab/>
      </w:r>
      <w:r w:rsidR="00985A08">
        <w:t>17</w:t>
      </w:r>
    </w:p>
    <w:p w:rsidR="00B25DBE" w:rsidRPr="00AF5FD5" w:rsidRDefault="00B25DBE" w:rsidP="00B25DBE">
      <w:pPr>
        <w:tabs>
          <w:tab w:val="right" w:leader="dot" w:pos="7654"/>
          <w:tab w:val="right" w:pos="8929"/>
          <w:tab w:val="right" w:pos="9638"/>
        </w:tabs>
        <w:spacing w:after="120"/>
        <w:ind w:left="1984" w:hanging="425"/>
      </w:pPr>
      <w:r w:rsidRPr="00AF5FD5">
        <w:t>1.</w:t>
      </w:r>
      <w:r w:rsidRPr="00AF5FD5">
        <w:tab/>
      </w:r>
      <w:r w:rsidR="00501FA5" w:rsidRPr="00AF5FD5">
        <w:rPr>
          <w:lang w:val="fr-FR"/>
        </w:rPr>
        <w:t>Paragraphe 1.2 de l’appendice 2 de l’</w:t>
      </w:r>
      <w:r w:rsidR="00501FA5">
        <w:rPr>
          <w:lang w:val="fr-FR"/>
        </w:rPr>
        <w:t>annexe </w:t>
      </w:r>
      <w:r w:rsidR="00501FA5" w:rsidRPr="00AF5FD5">
        <w:rPr>
          <w:lang w:val="fr-FR"/>
        </w:rPr>
        <w:t>1</w:t>
      </w:r>
      <w:r w:rsidRPr="00AF5FD5">
        <w:tab/>
      </w:r>
      <w:r w:rsidRPr="00AF5FD5">
        <w:tab/>
      </w:r>
      <w:r w:rsidRPr="00AF5FD5">
        <w:rPr>
          <w:webHidden/>
        </w:rPr>
        <w:t>83</w:t>
      </w:r>
      <w:r w:rsidRPr="00AF5FD5">
        <w:tab/>
      </w:r>
      <w:r w:rsidR="00985A08">
        <w:t>17</w:t>
      </w:r>
    </w:p>
    <w:p w:rsidR="00B25DBE" w:rsidRPr="00AF5FD5" w:rsidRDefault="00B25DBE" w:rsidP="00B25DBE">
      <w:pPr>
        <w:tabs>
          <w:tab w:val="right" w:leader="dot" w:pos="7654"/>
          <w:tab w:val="right" w:pos="8929"/>
          <w:tab w:val="right" w:pos="9638"/>
        </w:tabs>
        <w:spacing w:after="120"/>
        <w:ind w:left="1984" w:hanging="425"/>
      </w:pPr>
      <w:r w:rsidRPr="00AF5FD5">
        <w:t>2.</w:t>
      </w:r>
      <w:r w:rsidRPr="00AF5FD5">
        <w:tab/>
      </w:r>
      <w:r w:rsidR="00501FA5" w:rsidRPr="00AF5FD5">
        <w:rPr>
          <w:lang w:val="fr-FR"/>
        </w:rPr>
        <w:t>Ajout d’un nouveau sous-titre</w:t>
      </w:r>
      <w:r w:rsidRPr="00AF5FD5">
        <w:tab/>
      </w:r>
      <w:r w:rsidRPr="00AF5FD5">
        <w:tab/>
      </w:r>
      <w:r w:rsidRPr="00AF5FD5">
        <w:rPr>
          <w:webHidden/>
        </w:rPr>
        <w:t>84</w:t>
      </w:r>
      <w:r w:rsidRPr="00AF5FD5">
        <w:tab/>
      </w:r>
      <w:r w:rsidR="00985A08">
        <w:t>17</w:t>
      </w:r>
    </w:p>
    <w:p w:rsidR="00B25DBE" w:rsidRPr="00AF5FD5" w:rsidRDefault="00B25DBE" w:rsidP="00B25DBE">
      <w:pPr>
        <w:tabs>
          <w:tab w:val="right" w:leader="dot" w:pos="7654"/>
          <w:tab w:val="right" w:pos="8929"/>
          <w:tab w:val="right" w:pos="9638"/>
        </w:tabs>
        <w:spacing w:after="120"/>
        <w:ind w:left="1984" w:hanging="425"/>
      </w:pPr>
      <w:r w:rsidRPr="00AF5FD5">
        <w:t>3.</w:t>
      </w:r>
      <w:r w:rsidRPr="00AF5FD5">
        <w:tab/>
      </w:r>
      <w:r w:rsidR="00501FA5" w:rsidRPr="00AF5FD5">
        <w:t>Proposition d’amendement à l’ATP visant à introduire des dispositions</w:t>
      </w:r>
      <w:r w:rsidR="00501FA5">
        <w:t xml:space="preserve"> </w:t>
      </w:r>
      <w:r w:rsidR="00501FA5">
        <w:br/>
      </w:r>
      <w:r w:rsidR="00501FA5" w:rsidRPr="00AF5FD5">
        <w:t xml:space="preserve"> spéciales applicables aux colis, véhicules et conteneurs contenant </w:t>
      </w:r>
      <w:r w:rsidR="00501FA5">
        <w:br/>
      </w:r>
      <w:r w:rsidR="00501FA5" w:rsidRPr="00AF5FD5">
        <w:t xml:space="preserve">des matières qui présentent un risque d’asphyxie lorsqu’elles sont </w:t>
      </w:r>
      <w:r w:rsidR="00501FA5">
        <w:br/>
      </w:r>
      <w:r w:rsidR="00501FA5" w:rsidRPr="00AF5FD5">
        <w:t xml:space="preserve">utilisées à des fins de réfrigération ou de conditionnement (telles </w:t>
      </w:r>
      <w:r w:rsidR="00501FA5">
        <w:br/>
      </w:r>
      <w:r w:rsidR="00501FA5" w:rsidRPr="00AF5FD5">
        <w:t>que la neige carbonique (</w:t>
      </w:r>
      <w:r w:rsidR="00501FA5" w:rsidRPr="00AF5FD5">
        <w:rPr>
          <w:rFonts w:eastAsia="MS Mincho"/>
          <w:szCs w:val="22"/>
        </w:rPr>
        <w:t>n</w:t>
      </w:r>
      <w:r w:rsidR="00501FA5" w:rsidRPr="00AF5FD5">
        <w:rPr>
          <w:rFonts w:eastAsia="MS Mincho"/>
          <w:szCs w:val="22"/>
          <w:vertAlign w:val="superscript"/>
        </w:rPr>
        <w:t>o </w:t>
      </w:r>
      <w:r w:rsidR="00501FA5" w:rsidRPr="00AF5FD5">
        <w:t xml:space="preserve">ONU 1845), l’azote liquide réfrigéré </w:t>
      </w:r>
      <w:r w:rsidR="00501FA5">
        <w:br/>
      </w:r>
      <w:r w:rsidR="00501FA5" w:rsidRPr="00AF5FD5">
        <w:t>(</w:t>
      </w:r>
      <w:r w:rsidR="00501FA5" w:rsidRPr="00AF5FD5">
        <w:rPr>
          <w:rFonts w:eastAsia="MS Mincho"/>
          <w:szCs w:val="22"/>
        </w:rPr>
        <w:t>n</w:t>
      </w:r>
      <w:r w:rsidR="00501FA5" w:rsidRPr="00AF5FD5">
        <w:rPr>
          <w:rFonts w:eastAsia="MS Mincho"/>
          <w:szCs w:val="22"/>
          <w:vertAlign w:val="superscript"/>
        </w:rPr>
        <w:t>o </w:t>
      </w:r>
      <w:r w:rsidR="00501FA5" w:rsidRPr="00AF5FD5">
        <w:t>ONU 1977) ou l’argon liquide réfrigéré (</w:t>
      </w:r>
      <w:r w:rsidR="00501FA5" w:rsidRPr="00AF5FD5">
        <w:rPr>
          <w:rFonts w:eastAsia="MS Mincho"/>
          <w:szCs w:val="22"/>
        </w:rPr>
        <w:t>n</w:t>
      </w:r>
      <w:r w:rsidR="00501FA5" w:rsidRPr="00AF5FD5">
        <w:rPr>
          <w:rFonts w:eastAsia="MS Mincho"/>
          <w:szCs w:val="22"/>
          <w:vertAlign w:val="superscript"/>
        </w:rPr>
        <w:t>o </w:t>
      </w:r>
      <w:r w:rsidR="00501FA5" w:rsidRPr="00AF5FD5">
        <w:t>ONU 1951))</w:t>
      </w:r>
      <w:r w:rsidRPr="00AF5FD5">
        <w:tab/>
      </w:r>
      <w:r w:rsidRPr="00AF5FD5">
        <w:tab/>
      </w:r>
      <w:r w:rsidRPr="00AF5FD5">
        <w:rPr>
          <w:webHidden/>
        </w:rPr>
        <w:t>85−86</w:t>
      </w:r>
      <w:r w:rsidRPr="00AF5FD5">
        <w:tab/>
      </w:r>
      <w:r w:rsidR="00985A08">
        <w:t>17</w:t>
      </w:r>
    </w:p>
    <w:p w:rsidR="00B25DBE" w:rsidRPr="00AF5FD5" w:rsidRDefault="00B25DBE" w:rsidP="00B25DBE">
      <w:pPr>
        <w:tabs>
          <w:tab w:val="right" w:leader="dot" w:pos="7654"/>
          <w:tab w:val="right" w:pos="8929"/>
          <w:tab w:val="right" w:pos="9638"/>
        </w:tabs>
        <w:spacing w:after="120"/>
        <w:ind w:left="1984" w:hanging="425"/>
      </w:pPr>
      <w:r w:rsidRPr="00AF5FD5">
        <w:t>4.</w:t>
      </w:r>
      <w:r w:rsidRPr="00AF5FD5">
        <w:tab/>
      </w:r>
      <w:r w:rsidR="00326ED6" w:rsidRPr="00AF5FD5">
        <w:t xml:space="preserve">Proposition de modification du paragraphe 3.4 de l’appendice 2 </w:t>
      </w:r>
      <w:r w:rsidR="00326ED6">
        <w:br/>
      </w:r>
      <w:r w:rsidR="00326ED6" w:rsidRPr="00AF5FD5">
        <w:t>de l’annexe 1 : Mesure de la puissance de chauffage utile</w:t>
      </w:r>
      <w:r w:rsidRPr="00AF5FD5">
        <w:tab/>
      </w:r>
      <w:r w:rsidRPr="00AF5FD5">
        <w:tab/>
        <w:t>87</w:t>
      </w:r>
      <w:r w:rsidRPr="00AF5FD5">
        <w:tab/>
      </w:r>
      <w:r w:rsidR="00985A08">
        <w:t>17</w:t>
      </w:r>
    </w:p>
    <w:p w:rsidR="00B25DBE" w:rsidRPr="00AF5FD5" w:rsidRDefault="00B25DBE" w:rsidP="00B25DBE">
      <w:pPr>
        <w:tabs>
          <w:tab w:val="right" w:leader="dot" w:pos="7654"/>
          <w:tab w:val="right" w:pos="8929"/>
          <w:tab w:val="right" w:pos="9638"/>
        </w:tabs>
        <w:spacing w:after="120"/>
        <w:ind w:left="1984" w:hanging="425"/>
      </w:pPr>
      <w:r w:rsidRPr="00AF5FD5">
        <w:t>5.</w:t>
      </w:r>
      <w:r w:rsidRPr="00AF5FD5">
        <w:tab/>
      </w:r>
      <w:r w:rsidR="00326ED6" w:rsidRPr="00AF5FD5">
        <w:t xml:space="preserve">Proposition de modification du paragraphe 4.3.4 ii) de l’appendice 2 </w:t>
      </w:r>
      <w:r w:rsidR="00326ED6">
        <w:br/>
      </w:r>
      <w:r w:rsidR="00326ED6" w:rsidRPr="00AF5FD5">
        <w:t>de l’annexe 1 : Normes concernant la mesure du débit d’air</w:t>
      </w:r>
      <w:r w:rsidRPr="00AF5FD5">
        <w:tab/>
      </w:r>
      <w:r w:rsidRPr="00AF5FD5">
        <w:tab/>
      </w:r>
      <w:r w:rsidRPr="00AF5FD5">
        <w:rPr>
          <w:webHidden/>
        </w:rPr>
        <w:t>88−89</w:t>
      </w:r>
      <w:r w:rsidRPr="00AF5FD5">
        <w:tab/>
      </w:r>
      <w:r w:rsidR="00985A08">
        <w:t>17</w:t>
      </w:r>
    </w:p>
    <w:p w:rsidR="00B25DBE" w:rsidRPr="00AF5FD5" w:rsidRDefault="00B25DBE" w:rsidP="00B25DBE">
      <w:pPr>
        <w:tabs>
          <w:tab w:val="right" w:leader="dot" w:pos="7654"/>
          <w:tab w:val="right" w:pos="8929"/>
          <w:tab w:val="right" w:pos="9638"/>
        </w:tabs>
        <w:spacing w:after="120"/>
        <w:ind w:left="1984" w:hanging="425"/>
      </w:pPr>
      <w:r w:rsidRPr="00AF5FD5">
        <w:lastRenderedPageBreak/>
        <w:t>6.</w:t>
      </w:r>
      <w:r w:rsidRPr="00AF5FD5">
        <w:tab/>
      </w:r>
      <w:r w:rsidR="00326ED6" w:rsidRPr="00AF5FD5">
        <w:rPr>
          <w:lang w:val="fr-FR"/>
        </w:rPr>
        <w:t xml:space="preserve">Proposition de modification du paragraphe 4.2.1 de l’appendice 2 </w:t>
      </w:r>
      <w:r w:rsidR="00326ED6">
        <w:rPr>
          <w:lang w:val="fr-FR"/>
        </w:rPr>
        <w:br/>
      </w:r>
      <w:r w:rsidR="00326ED6" w:rsidRPr="00AF5FD5">
        <w:rPr>
          <w:lang w:val="fr-FR"/>
        </w:rPr>
        <w:t>de l’annexe 1 : Spécification du caisson calorimétrique</w:t>
      </w:r>
      <w:r w:rsidRPr="00AF5FD5">
        <w:tab/>
      </w:r>
      <w:r w:rsidRPr="00AF5FD5">
        <w:tab/>
      </w:r>
      <w:r w:rsidRPr="00AF5FD5">
        <w:rPr>
          <w:webHidden/>
        </w:rPr>
        <w:t>90</w:t>
      </w:r>
      <w:r w:rsidRPr="00AF5FD5">
        <w:tab/>
      </w:r>
      <w:r w:rsidR="00985A08">
        <w:t>17</w:t>
      </w:r>
    </w:p>
    <w:p w:rsidR="00B25DBE" w:rsidRPr="00AF5FD5" w:rsidRDefault="00B25DBE" w:rsidP="00B25DBE">
      <w:pPr>
        <w:tabs>
          <w:tab w:val="right" w:leader="dot" w:pos="7654"/>
          <w:tab w:val="right" w:pos="8929"/>
          <w:tab w:val="right" w:pos="9638"/>
        </w:tabs>
        <w:spacing w:after="120"/>
        <w:ind w:left="1984" w:hanging="425"/>
      </w:pPr>
      <w:r w:rsidRPr="00AF5FD5">
        <w:t>7.</w:t>
      </w:r>
      <w:r w:rsidRPr="00AF5FD5">
        <w:tab/>
      </w:r>
      <w:r w:rsidR="00326ED6" w:rsidRPr="00AF5FD5">
        <w:rPr>
          <w:lang w:val="fr-FR"/>
        </w:rPr>
        <w:t xml:space="preserve">Modification rédactionnelle concernant une erreur </w:t>
      </w:r>
      <w:r w:rsidR="00326ED6" w:rsidRPr="00AF5FD5">
        <w:rPr>
          <w:lang w:val="fr-FR"/>
        </w:rPr>
        <w:br/>
        <w:t>dans la version anglaise de l’ATP</w:t>
      </w:r>
      <w:r w:rsidRPr="00AF5FD5">
        <w:tab/>
      </w:r>
      <w:r w:rsidRPr="00AF5FD5">
        <w:tab/>
        <w:t>91</w:t>
      </w:r>
      <w:r w:rsidRPr="00AF5FD5">
        <w:tab/>
      </w:r>
      <w:r w:rsidR="00985A08">
        <w:t>17</w:t>
      </w:r>
    </w:p>
    <w:p w:rsidR="00B25DBE" w:rsidRPr="00AF5FD5" w:rsidRDefault="00B25DBE" w:rsidP="00B25DBE">
      <w:pPr>
        <w:tabs>
          <w:tab w:val="right" w:leader="dot" w:pos="7654"/>
          <w:tab w:val="right" w:pos="8929"/>
          <w:tab w:val="right" w:pos="9638"/>
        </w:tabs>
        <w:spacing w:after="120"/>
        <w:ind w:left="1984" w:hanging="425"/>
      </w:pPr>
      <w:r w:rsidRPr="00AF5FD5">
        <w:t>8.</w:t>
      </w:r>
      <w:r w:rsidRPr="00AF5FD5">
        <w:tab/>
      </w:r>
      <w:r w:rsidR="00326ED6" w:rsidRPr="00AF5FD5">
        <w:rPr>
          <w:lang w:val="fr-FR"/>
        </w:rPr>
        <w:t>Amendement au modèle de procès-verbal d’essai n</w:t>
      </w:r>
      <w:r w:rsidR="00326ED6" w:rsidRPr="00AF5FD5">
        <w:rPr>
          <w:vertAlign w:val="superscript"/>
          <w:lang w:val="fr-FR"/>
        </w:rPr>
        <w:t>o</w:t>
      </w:r>
      <w:r w:rsidR="00326ED6" w:rsidRPr="00AF5FD5">
        <w:rPr>
          <w:lang w:val="fr-FR"/>
        </w:rPr>
        <w:t> 12</w:t>
      </w:r>
      <w:r w:rsidRPr="00AF5FD5">
        <w:tab/>
      </w:r>
      <w:r w:rsidRPr="00AF5FD5">
        <w:tab/>
        <w:t>92</w:t>
      </w:r>
      <w:r w:rsidRPr="00AF5FD5">
        <w:tab/>
      </w:r>
      <w:r w:rsidR="00985A08">
        <w:t>18</w:t>
      </w:r>
    </w:p>
    <w:p w:rsidR="00B25DBE" w:rsidRPr="00AF5FD5" w:rsidRDefault="00B25DBE" w:rsidP="00B25DBE">
      <w:pPr>
        <w:tabs>
          <w:tab w:val="right" w:leader="dot" w:pos="7654"/>
          <w:tab w:val="right" w:pos="8929"/>
          <w:tab w:val="right" w:pos="9638"/>
        </w:tabs>
        <w:spacing w:after="120"/>
        <w:ind w:left="1984" w:hanging="425"/>
        <w:rPr>
          <w:webHidden/>
        </w:rPr>
      </w:pPr>
      <w:r w:rsidRPr="00AF5FD5">
        <w:t>9.</w:t>
      </w:r>
      <w:r w:rsidRPr="00AF5FD5">
        <w:tab/>
      </w:r>
      <w:r w:rsidR="00326ED6" w:rsidRPr="00AF5FD5">
        <w:rPr>
          <w:lang w:val="fr-FR"/>
        </w:rPr>
        <w:t xml:space="preserve">Proposition de modification du paragraphe 6 de l’appendice 2 de </w:t>
      </w:r>
      <w:r w:rsidR="00326ED6">
        <w:rPr>
          <w:lang w:val="fr-FR"/>
        </w:rPr>
        <w:br/>
      </w:r>
      <w:r w:rsidR="00326ED6" w:rsidRPr="00AF5FD5">
        <w:rPr>
          <w:lang w:val="fr-FR"/>
        </w:rPr>
        <w:t xml:space="preserve">l’annexe 1 : remplacement des fluides frigorigènes existants par </w:t>
      </w:r>
      <w:r w:rsidR="00326ED6">
        <w:rPr>
          <w:lang w:val="fr-FR"/>
        </w:rPr>
        <w:br/>
      </w:r>
      <w:r w:rsidR="00326ED6" w:rsidRPr="00AF5FD5">
        <w:rPr>
          <w:lang w:val="fr-FR"/>
        </w:rPr>
        <w:t>de nouveaux fluides frigorigènes ayant un potentiel de</w:t>
      </w:r>
      <w:r w:rsidR="00326ED6">
        <w:rPr>
          <w:lang w:val="fr-FR"/>
        </w:rPr>
        <w:br/>
      </w:r>
      <w:r w:rsidR="00326ED6" w:rsidRPr="00AF5FD5">
        <w:rPr>
          <w:lang w:val="fr-FR"/>
        </w:rPr>
        <w:t>réchauffement de la planète réduit</w:t>
      </w:r>
      <w:r w:rsidRPr="00AF5FD5">
        <w:tab/>
      </w:r>
      <w:r w:rsidRPr="00AF5FD5">
        <w:tab/>
      </w:r>
      <w:r w:rsidRPr="00AF5FD5">
        <w:rPr>
          <w:webHidden/>
        </w:rPr>
        <w:t>93−94</w:t>
      </w:r>
      <w:r w:rsidRPr="00AF5FD5">
        <w:rPr>
          <w:webHidden/>
        </w:rPr>
        <w:tab/>
      </w:r>
      <w:r w:rsidR="00985A08">
        <w:rPr>
          <w:webHidden/>
        </w:rPr>
        <w:t>18</w:t>
      </w:r>
    </w:p>
    <w:p w:rsidR="00B25DBE" w:rsidRPr="00AF5FD5" w:rsidRDefault="00B25DBE" w:rsidP="00B25DBE">
      <w:pPr>
        <w:tabs>
          <w:tab w:val="right" w:leader="dot" w:pos="7654"/>
          <w:tab w:val="right" w:pos="8929"/>
          <w:tab w:val="right" w:pos="9638"/>
        </w:tabs>
        <w:spacing w:after="120"/>
        <w:ind w:left="1984" w:hanging="425"/>
        <w:rPr>
          <w:webHidden/>
        </w:rPr>
      </w:pPr>
      <w:r w:rsidRPr="00AF5FD5">
        <w:rPr>
          <w:webHidden/>
        </w:rPr>
        <w:t>10</w:t>
      </w:r>
      <w:r w:rsidRPr="00AF5FD5">
        <w:rPr>
          <w:webHidden/>
        </w:rPr>
        <w:tab/>
      </w:r>
      <w:r w:rsidR="00326ED6" w:rsidRPr="00AF5FD5">
        <w:rPr>
          <w:lang w:val="fr-FR"/>
        </w:rPr>
        <w:t>Proposition de modification du modèle n</w:t>
      </w:r>
      <w:r w:rsidR="00326ED6" w:rsidRPr="00AF5FD5">
        <w:rPr>
          <w:vertAlign w:val="superscript"/>
          <w:lang w:val="fr-FR"/>
        </w:rPr>
        <w:t>o</w:t>
      </w:r>
      <w:r w:rsidR="00326ED6" w:rsidRPr="00AF5FD5">
        <w:rPr>
          <w:lang w:val="fr-FR"/>
        </w:rPr>
        <w:t xml:space="preserve"> 12 de l’appendice 2 </w:t>
      </w:r>
      <w:r w:rsidR="00326ED6">
        <w:rPr>
          <w:lang w:val="fr-FR"/>
        </w:rPr>
        <w:br/>
      </w:r>
      <w:r w:rsidR="00326ED6" w:rsidRPr="00AF5FD5">
        <w:rPr>
          <w:lang w:val="fr-FR"/>
        </w:rPr>
        <w:t xml:space="preserve">de l’annexe 1 : validité des procès-verbaux d’essai pour </w:t>
      </w:r>
      <w:r w:rsidR="00326ED6">
        <w:rPr>
          <w:lang w:val="fr-FR"/>
        </w:rPr>
        <w:br/>
      </w:r>
      <w:r w:rsidR="00326ED6" w:rsidRPr="00AF5FD5">
        <w:rPr>
          <w:lang w:val="fr-FR"/>
        </w:rPr>
        <w:t>les groupes frigorifiques</w:t>
      </w:r>
      <w:r w:rsidRPr="00AF5FD5">
        <w:rPr>
          <w:webHidden/>
        </w:rPr>
        <w:tab/>
      </w:r>
      <w:r w:rsidRPr="00AF5FD5">
        <w:rPr>
          <w:webHidden/>
        </w:rPr>
        <w:tab/>
        <w:t>95</w:t>
      </w:r>
      <w:r w:rsidRPr="00AF5FD5">
        <w:rPr>
          <w:webHidden/>
        </w:rPr>
        <w:tab/>
      </w:r>
      <w:r w:rsidR="00985A08">
        <w:rPr>
          <w:webHidden/>
        </w:rPr>
        <w:t>18</w:t>
      </w:r>
    </w:p>
    <w:p w:rsidR="00B25DBE" w:rsidRPr="00AF5FD5" w:rsidRDefault="00B25DBE" w:rsidP="00B25DBE">
      <w:pPr>
        <w:tabs>
          <w:tab w:val="right" w:leader="dot" w:pos="7654"/>
          <w:tab w:val="right" w:pos="8929"/>
          <w:tab w:val="right" w:pos="9638"/>
        </w:tabs>
        <w:spacing w:after="120"/>
        <w:ind w:left="1984" w:hanging="425"/>
        <w:rPr>
          <w:webHidden/>
        </w:rPr>
      </w:pPr>
      <w:r w:rsidRPr="00AF5FD5">
        <w:rPr>
          <w:webHidden/>
        </w:rPr>
        <w:t>11.</w:t>
      </w:r>
      <w:r w:rsidRPr="00AF5FD5">
        <w:rPr>
          <w:webHidden/>
        </w:rPr>
        <w:tab/>
      </w:r>
      <w:r w:rsidR="00326ED6" w:rsidRPr="0058315B">
        <w:t xml:space="preserve">Correction </w:t>
      </w:r>
      <w:r w:rsidR="0058315B" w:rsidRPr="0058315B">
        <w:t>à l’</w:t>
      </w:r>
      <w:r w:rsidR="00326ED6" w:rsidRPr="0058315B">
        <w:t>ATP</w:t>
      </w:r>
      <w:r w:rsidRPr="00AF5FD5">
        <w:rPr>
          <w:webHidden/>
        </w:rPr>
        <w:tab/>
      </w:r>
      <w:r w:rsidRPr="00AF5FD5">
        <w:rPr>
          <w:webHidden/>
        </w:rPr>
        <w:tab/>
        <w:t>96</w:t>
      </w:r>
      <w:r w:rsidRPr="00AF5FD5">
        <w:rPr>
          <w:webHidden/>
        </w:rPr>
        <w:tab/>
      </w:r>
      <w:r w:rsidR="00985A08">
        <w:rPr>
          <w:webHidden/>
        </w:rPr>
        <w:t>18</w:t>
      </w:r>
    </w:p>
    <w:p w:rsidR="00B25DBE" w:rsidRPr="00AF5FD5" w:rsidRDefault="00B25DBE" w:rsidP="00B25DBE">
      <w:pPr>
        <w:tabs>
          <w:tab w:val="right" w:leader="dot" w:pos="7654"/>
          <w:tab w:val="right" w:pos="8929"/>
          <w:tab w:val="right" w:pos="9638"/>
        </w:tabs>
        <w:spacing w:after="120"/>
        <w:ind w:left="1984" w:hanging="425"/>
        <w:rPr>
          <w:webHidden/>
        </w:rPr>
      </w:pPr>
      <w:r w:rsidRPr="00AF5FD5">
        <w:rPr>
          <w:webHidden/>
        </w:rPr>
        <w:t>12.</w:t>
      </w:r>
      <w:r w:rsidRPr="00AF5FD5">
        <w:rPr>
          <w:webHidden/>
        </w:rPr>
        <w:tab/>
      </w:r>
      <w:r w:rsidR="00326ED6" w:rsidRPr="00AF5FD5">
        <w:t>Certificat temporaire pour la production limitée de prototypes</w:t>
      </w:r>
      <w:r w:rsidRPr="00AF5FD5">
        <w:rPr>
          <w:webHidden/>
        </w:rPr>
        <w:tab/>
      </w:r>
      <w:r w:rsidRPr="00AF5FD5">
        <w:rPr>
          <w:webHidden/>
        </w:rPr>
        <w:tab/>
        <w:t>97−99</w:t>
      </w:r>
      <w:r w:rsidRPr="00AF5FD5">
        <w:rPr>
          <w:webHidden/>
        </w:rPr>
        <w:tab/>
      </w:r>
      <w:r w:rsidR="00985A08">
        <w:rPr>
          <w:webHidden/>
        </w:rPr>
        <w:t>18</w:t>
      </w:r>
    </w:p>
    <w:p w:rsidR="0010162E" w:rsidRPr="00AF5FD5" w:rsidRDefault="00B25DBE" w:rsidP="00B25DBE">
      <w:pPr>
        <w:tabs>
          <w:tab w:val="right" w:leader="dot" w:pos="7654"/>
          <w:tab w:val="right" w:pos="8929"/>
          <w:tab w:val="right" w:pos="9638"/>
        </w:tabs>
        <w:spacing w:after="120"/>
        <w:ind w:left="1984" w:hanging="425"/>
      </w:pPr>
      <w:r w:rsidRPr="00AF5FD5">
        <w:t>13.</w:t>
      </w:r>
      <w:r w:rsidRPr="00AF5FD5">
        <w:tab/>
      </w:r>
      <w:r w:rsidR="00326ED6" w:rsidRPr="00AF5FD5">
        <w:t xml:space="preserve">Correction du libellé de la version française du modèle </w:t>
      </w:r>
      <w:r w:rsidR="00326ED6" w:rsidRPr="00AF5FD5">
        <w:rPr>
          <w:rFonts w:eastAsia="MS Mincho"/>
          <w:szCs w:val="22"/>
        </w:rPr>
        <w:t>n</w:t>
      </w:r>
      <w:r w:rsidR="00326ED6" w:rsidRPr="00AF5FD5">
        <w:rPr>
          <w:rFonts w:eastAsia="MS Mincho"/>
          <w:szCs w:val="22"/>
          <w:vertAlign w:val="superscript"/>
        </w:rPr>
        <w:t>o</w:t>
      </w:r>
      <w:r w:rsidR="00326ED6" w:rsidRPr="00AF5FD5">
        <w:t> 12</w:t>
      </w:r>
      <w:r w:rsidRPr="00AF5FD5">
        <w:tab/>
      </w:r>
      <w:r w:rsidRPr="00AF5FD5">
        <w:tab/>
        <w:t>100</w:t>
      </w:r>
      <w:r w:rsidRPr="00AF5FD5">
        <w:tab/>
      </w:r>
      <w:r w:rsidR="00985A08">
        <w:t>18</w:t>
      </w:r>
    </w:p>
    <w:p w:rsidR="00B25DBE" w:rsidRPr="00AF5FD5" w:rsidRDefault="00B25DBE" w:rsidP="00B25DBE">
      <w:pPr>
        <w:tabs>
          <w:tab w:val="right" w:leader="dot" w:pos="7654"/>
          <w:tab w:val="right" w:pos="8929"/>
          <w:tab w:val="right" w:pos="9638"/>
        </w:tabs>
        <w:spacing w:after="120"/>
        <w:ind w:left="1984" w:hanging="425"/>
      </w:pPr>
      <w:r w:rsidRPr="00AF5FD5">
        <w:t>14.</w:t>
      </w:r>
      <w:r w:rsidRPr="00AF5FD5">
        <w:tab/>
      </w:r>
      <w:r w:rsidR="00326ED6" w:rsidRPr="00AF5FD5">
        <w:t>Degrés Celsius and Kelvin</w:t>
      </w:r>
      <w:r w:rsidRPr="00AF5FD5">
        <w:tab/>
      </w:r>
      <w:r w:rsidRPr="00AF5FD5">
        <w:tab/>
        <w:t>101</w:t>
      </w:r>
      <w:r w:rsidRPr="00AF5FD5">
        <w:tab/>
      </w:r>
      <w:r w:rsidR="00985A08">
        <w:t>18</w:t>
      </w:r>
    </w:p>
    <w:p w:rsidR="00B25DBE" w:rsidRPr="00AF5FD5" w:rsidRDefault="00B25DBE" w:rsidP="00B25DBE">
      <w:pPr>
        <w:tabs>
          <w:tab w:val="right" w:leader="dot" w:pos="7654"/>
          <w:tab w:val="right" w:pos="8929"/>
          <w:tab w:val="right" w:pos="9638"/>
        </w:tabs>
        <w:spacing w:after="120"/>
        <w:ind w:left="1984" w:hanging="425"/>
      </w:pPr>
      <w:r w:rsidRPr="00AF5FD5">
        <w:t>15.</w:t>
      </w:r>
      <w:r w:rsidRPr="00AF5FD5">
        <w:tab/>
      </w:r>
      <w:r w:rsidR="00326ED6" w:rsidRPr="00AF5FD5">
        <w:rPr>
          <w:lang w:val="fr-FR"/>
        </w:rPr>
        <w:t xml:space="preserve">Rapport du groupe de travail informel de l’amélioration du système </w:t>
      </w:r>
      <w:r w:rsidR="00326ED6" w:rsidRPr="00AF5FD5">
        <w:rPr>
          <w:lang w:val="fr-FR"/>
        </w:rPr>
        <w:br/>
        <w:t>d’homologation des engins et unités thermiques ATP</w:t>
      </w:r>
      <w:r w:rsidRPr="00AF5FD5">
        <w:tab/>
      </w:r>
      <w:r w:rsidRPr="00AF5FD5">
        <w:tab/>
        <w:t>102−10</w:t>
      </w:r>
      <w:r w:rsidR="00734C06">
        <w:t>5</w:t>
      </w:r>
      <w:r w:rsidRPr="00AF5FD5">
        <w:tab/>
      </w:r>
      <w:r w:rsidR="00985A08">
        <w:t>19</w:t>
      </w:r>
    </w:p>
    <w:p w:rsidR="00B25DBE" w:rsidRPr="00AF5FD5" w:rsidRDefault="00B25DBE" w:rsidP="00B25DBE">
      <w:pPr>
        <w:tabs>
          <w:tab w:val="right" w:pos="850"/>
          <w:tab w:val="right" w:leader="dot" w:pos="7654"/>
          <w:tab w:val="right" w:pos="8929"/>
          <w:tab w:val="right" w:pos="9638"/>
        </w:tabs>
        <w:spacing w:after="120"/>
        <w:ind w:left="1134" w:hanging="1134"/>
      </w:pPr>
      <w:r w:rsidRPr="00AF5FD5">
        <w:tab/>
        <w:t>VIII.</w:t>
      </w:r>
      <w:r w:rsidRPr="00AF5FD5">
        <w:tab/>
      </w:r>
      <w:r w:rsidR="00326ED6" w:rsidRPr="00AF5FD5">
        <w:t>Manuel ATP (point 7 de l’ordre du jour)</w:t>
      </w:r>
      <w:r w:rsidRPr="00AF5FD5">
        <w:tab/>
      </w:r>
      <w:r w:rsidRPr="00AF5FD5">
        <w:tab/>
        <w:t>106−107</w:t>
      </w:r>
      <w:r w:rsidRPr="00AF5FD5">
        <w:tab/>
      </w:r>
      <w:r w:rsidR="00985A08">
        <w:t>19</w:t>
      </w:r>
    </w:p>
    <w:p w:rsidR="00B25DBE" w:rsidRPr="00AF5FD5" w:rsidRDefault="00B25DBE" w:rsidP="00B25DBE">
      <w:pPr>
        <w:tabs>
          <w:tab w:val="right" w:leader="dot" w:pos="7654"/>
          <w:tab w:val="right" w:pos="8929"/>
          <w:tab w:val="right" w:pos="9638"/>
        </w:tabs>
        <w:spacing w:after="120"/>
        <w:ind w:left="1559" w:hanging="425"/>
      </w:pPr>
      <w:r w:rsidRPr="00AF5FD5">
        <w:t>A.</w:t>
      </w:r>
      <w:r w:rsidRPr="00AF5FD5">
        <w:tab/>
      </w:r>
      <w:r w:rsidR="00326ED6" w:rsidRPr="00AF5FD5">
        <w:t>Manuel ATP : Paragraphe 1.2 de l’appendice 2 de l’annexe 1</w:t>
      </w:r>
      <w:r w:rsidRPr="00AF5FD5">
        <w:tab/>
      </w:r>
      <w:r w:rsidRPr="00AF5FD5">
        <w:tab/>
        <w:t>106</w:t>
      </w:r>
      <w:r w:rsidRPr="00AF5FD5">
        <w:tab/>
      </w:r>
      <w:r w:rsidR="00985A08">
        <w:t>19</w:t>
      </w:r>
    </w:p>
    <w:p w:rsidR="00B25DBE" w:rsidRPr="00AF5FD5" w:rsidRDefault="00B25DBE" w:rsidP="00B25DBE">
      <w:pPr>
        <w:tabs>
          <w:tab w:val="right" w:leader="dot" w:pos="7654"/>
          <w:tab w:val="right" w:pos="8929"/>
          <w:tab w:val="right" w:pos="9638"/>
        </w:tabs>
        <w:spacing w:after="120"/>
        <w:ind w:left="1559" w:hanging="425"/>
      </w:pPr>
      <w:r w:rsidRPr="00AF5FD5">
        <w:t>B.</w:t>
      </w:r>
      <w:r w:rsidRPr="00AF5FD5">
        <w:tab/>
      </w:r>
      <w:r w:rsidR="00326ED6" w:rsidRPr="00AF5FD5">
        <w:rPr>
          <w:lang w:val="fr-FR"/>
        </w:rPr>
        <w:t xml:space="preserve">Précisions dans l’ATP concernant le coefficient global de transmission </w:t>
      </w:r>
      <w:r w:rsidR="00326ED6">
        <w:rPr>
          <w:lang w:val="fr-FR"/>
        </w:rPr>
        <w:br/>
      </w:r>
      <w:r w:rsidR="00326ED6" w:rsidRPr="00AF5FD5">
        <w:rPr>
          <w:lang w:val="fr-FR"/>
        </w:rPr>
        <w:t xml:space="preserve">thermique (coefficient K) de la caisse d’un engin de transport spécial, </w:t>
      </w:r>
      <w:r w:rsidR="00326ED6">
        <w:rPr>
          <w:lang w:val="fr-FR"/>
        </w:rPr>
        <w:br/>
      </w:r>
      <w:r w:rsidR="00326ED6" w:rsidRPr="00AF5FD5">
        <w:rPr>
          <w:lang w:val="fr-FR"/>
        </w:rPr>
        <w:t xml:space="preserve">en remplaçant la marge d’erreur par l’incertitude, ainsi que dans </w:t>
      </w:r>
      <w:r w:rsidR="00326ED6">
        <w:rPr>
          <w:lang w:val="fr-FR"/>
        </w:rPr>
        <w:br/>
      </w:r>
      <w:r w:rsidR="00326ED6" w:rsidRPr="00AF5FD5">
        <w:rPr>
          <w:lang w:val="fr-FR"/>
        </w:rPr>
        <w:t xml:space="preserve">le Manuel ATP concernant les méthodes recommandées pour </w:t>
      </w:r>
      <w:r w:rsidR="00326ED6">
        <w:rPr>
          <w:lang w:val="fr-FR"/>
        </w:rPr>
        <w:br/>
      </w:r>
      <w:r w:rsidR="00326ED6" w:rsidRPr="00AF5FD5">
        <w:rPr>
          <w:lang w:val="fr-FR"/>
        </w:rPr>
        <w:t>déterminer l’incertitude de mesure du coefficient K</w:t>
      </w:r>
      <w:r w:rsidRPr="00AF5FD5">
        <w:tab/>
      </w:r>
      <w:r w:rsidRPr="00AF5FD5">
        <w:tab/>
        <w:t>107</w:t>
      </w:r>
      <w:r w:rsidRPr="00AF5FD5">
        <w:tab/>
      </w:r>
      <w:r w:rsidR="00985A08">
        <w:t>20</w:t>
      </w:r>
    </w:p>
    <w:p w:rsidR="00B25DBE" w:rsidRPr="00AF5FD5" w:rsidRDefault="00B25DBE" w:rsidP="00B25DBE">
      <w:pPr>
        <w:tabs>
          <w:tab w:val="right" w:pos="850"/>
          <w:tab w:val="right" w:leader="dot" w:pos="7654"/>
          <w:tab w:val="right" w:pos="8929"/>
          <w:tab w:val="right" w:pos="9638"/>
        </w:tabs>
        <w:spacing w:after="120"/>
        <w:ind w:left="1134" w:hanging="1134"/>
      </w:pPr>
      <w:r w:rsidRPr="00AF5FD5">
        <w:tab/>
        <w:t>XII.</w:t>
      </w:r>
      <w:r w:rsidRPr="00AF5FD5">
        <w:tab/>
      </w:r>
      <w:r w:rsidR="00D00F71" w:rsidRPr="00AF5FD5">
        <w:t>Élection du Bureau (point 11 de l’</w:t>
      </w:r>
      <w:r w:rsidR="00D00F71">
        <w:t>ordre du jour)</w:t>
      </w:r>
      <w:r w:rsidRPr="00AF5FD5">
        <w:tab/>
      </w:r>
      <w:r w:rsidRPr="00AF5FD5">
        <w:tab/>
        <w:t>108</w:t>
      </w:r>
      <w:r w:rsidRPr="00AF5FD5">
        <w:tab/>
      </w:r>
      <w:r w:rsidR="00985A08">
        <w:t>20</w:t>
      </w:r>
    </w:p>
    <w:p w:rsidR="00B25DBE" w:rsidRPr="00AF5FD5" w:rsidRDefault="00B25DBE" w:rsidP="00B25DBE">
      <w:pPr>
        <w:tabs>
          <w:tab w:val="right" w:pos="850"/>
          <w:tab w:val="right" w:leader="dot" w:pos="7654"/>
          <w:tab w:val="right" w:pos="8929"/>
          <w:tab w:val="right" w:pos="9638"/>
        </w:tabs>
        <w:spacing w:after="120"/>
        <w:ind w:left="1134" w:hanging="1134"/>
      </w:pPr>
      <w:r w:rsidRPr="00AF5FD5">
        <w:tab/>
        <w:t>XIII.</w:t>
      </w:r>
      <w:r w:rsidRPr="00AF5FD5">
        <w:tab/>
      </w:r>
      <w:r w:rsidR="00D00F71" w:rsidRPr="00AF5FD5">
        <w:t>Questions diverses (point 12 de l’ordre du jour)</w:t>
      </w:r>
      <w:r w:rsidRPr="00AF5FD5">
        <w:tab/>
      </w:r>
      <w:r w:rsidRPr="00AF5FD5">
        <w:tab/>
        <w:t>109−112</w:t>
      </w:r>
      <w:r w:rsidRPr="00AF5FD5">
        <w:tab/>
      </w:r>
      <w:r w:rsidR="00985A08">
        <w:t>20</w:t>
      </w:r>
    </w:p>
    <w:p w:rsidR="00B25DBE" w:rsidRPr="00AF5FD5" w:rsidRDefault="00B25DBE" w:rsidP="00B25DBE">
      <w:pPr>
        <w:tabs>
          <w:tab w:val="right" w:pos="850"/>
          <w:tab w:val="right" w:leader="dot" w:pos="7654"/>
          <w:tab w:val="right" w:pos="8929"/>
          <w:tab w:val="right" w:pos="9638"/>
        </w:tabs>
        <w:spacing w:after="120"/>
        <w:ind w:left="1134" w:hanging="1134"/>
      </w:pPr>
      <w:r w:rsidRPr="00AF5FD5">
        <w:tab/>
        <w:t>XIV.</w:t>
      </w:r>
      <w:r w:rsidRPr="00AF5FD5">
        <w:tab/>
      </w:r>
      <w:r w:rsidR="00D00F71" w:rsidRPr="00AF5FD5">
        <w:t>Adoption du rapport (point 13 de l’ordre du jour)</w:t>
      </w:r>
      <w:r w:rsidRPr="00AF5FD5">
        <w:tab/>
      </w:r>
      <w:r w:rsidRPr="00AF5FD5">
        <w:tab/>
        <w:t>113</w:t>
      </w:r>
      <w:r w:rsidRPr="00AF5FD5">
        <w:tab/>
      </w:r>
      <w:r w:rsidR="00985A08">
        <w:t>20</w:t>
      </w:r>
    </w:p>
    <w:p w:rsidR="0010162E" w:rsidRPr="00AF5FD5" w:rsidRDefault="0010162E" w:rsidP="0010162E">
      <w:pPr>
        <w:tabs>
          <w:tab w:val="right" w:pos="850"/>
        </w:tabs>
        <w:spacing w:after="120"/>
      </w:pPr>
      <w:r w:rsidRPr="00AF5FD5">
        <w:tab/>
        <w:t>Annexes</w:t>
      </w:r>
    </w:p>
    <w:p w:rsidR="0010162E" w:rsidRPr="00AF5FD5" w:rsidRDefault="0010162E" w:rsidP="0010162E">
      <w:pPr>
        <w:tabs>
          <w:tab w:val="right" w:pos="850"/>
          <w:tab w:val="right" w:leader="dot" w:pos="8929"/>
          <w:tab w:val="right" w:pos="9638"/>
        </w:tabs>
        <w:spacing w:after="120"/>
        <w:ind w:left="1134" w:hanging="1134"/>
      </w:pPr>
      <w:r w:rsidRPr="00AF5FD5">
        <w:tab/>
        <w:t>I.</w:t>
      </w:r>
      <w:r w:rsidRPr="00AF5FD5">
        <w:tab/>
      </w:r>
      <w:r w:rsidR="00D00F71" w:rsidRPr="00AF5FD5">
        <w:t>Propositions d’amendements à l’ATP</w:t>
      </w:r>
      <w:r w:rsidRPr="00AF5FD5">
        <w:tab/>
      </w:r>
      <w:r w:rsidRPr="00AF5FD5">
        <w:tab/>
      </w:r>
      <w:r w:rsidR="00985A08">
        <w:t>21</w:t>
      </w:r>
    </w:p>
    <w:p w:rsidR="00B25DBE" w:rsidRPr="00AF5FD5" w:rsidRDefault="00B25DBE" w:rsidP="0010162E">
      <w:pPr>
        <w:tabs>
          <w:tab w:val="right" w:pos="850"/>
          <w:tab w:val="right" w:leader="dot" w:pos="8929"/>
          <w:tab w:val="right" w:pos="9638"/>
        </w:tabs>
        <w:spacing w:after="120"/>
        <w:ind w:left="1134" w:hanging="1134"/>
      </w:pPr>
      <w:r w:rsidRPr="00AF5FD5">
        <w:tab/>
        <w:t>II.</w:t>
      </w:r>
      <w:r w:rsidRPr="00AF5FD5">
        <w:tab/>
      </w:r>
      <w:r w:rsidR="00D00F71" w:rsidRPr="00AF5FD5">
        <w:rPr>
          <w:lang w:val="fr-FR"/>
        </w:rPr>
        <w:t>Rectification de l’ATP</w:t>
      </w:r>
      <w:r w:rsidRPr="00AF5FD5">
        <w:tab/>
      </w:r>
      <w:r w:rsidRPr="00AF5FD5">
        <w:tab/>
      </w:r>
      <w:r w:rsidR="00985A08">
        <w:t>25</w:t>
      </w:r>
    </w:p>
    <w:p w:rsidR="00B25DBE" w:rsidRPr="00AF5FD5" w:rsidRDefault="00B25DBE" w:rsidP="0010162E">
      <w:pPr>
        <w:tabs>
          <w:tab w:val="right" w:pos="850"/>
          <w:tab w:val="right" w:leader="dot" w:pos="8929"/>
          <w:tab w:val="right" w:pos="9638"/>
        </w:tabs>
        <w:spacing w:after="120"/>
        <w:ind w:left="1134" w:hanging="1134"/>
      </w:pPr>
      <w:r w:rsidRPr="00AF5FD5">
        <w:tab/>
        <w:t>III.</w:t>
      </w:r>
      <w:r w:rsidRPr="00AF5FD5">
        <w:tab/>
      </w:r>
      <w:r w:rsidR="00D00F71" w:rsidRPr="00AF5FD5">
        <w:t>Ajouts au Manuel ATP</w:t>
      </w:r>
      <w:r w:rsidRPr="00AF5FD5">
        <w:tab/>
      </w:r>
      <w:r w:rsidRPr="00AF5FD5">
        <w:tab/>
      </w:r>
      <w:r w:rsidR="00985A08">
        <w:t>26</w:t>
      </w:r>
    </w:p>
    <w:p w:rsidR="00B25DBE" w:rsidRPr="00AF5FD5" w:rsidRDefault="00B25DBE" w:rsidP="00B25DBE">
      <w:pPr>
        <w:pStyle w:val="HChG"/>
        <w:rPr>
          <w:bCs/>
        </w:rPr>
      </w:pPr>
      <w:r w:rsidRPr="00AF5FD5">
        <w:br w:type="page"/>
      </w:r>
      <w:bookmarkStart w:id="1" w:name="_Toc528146958"/>
      <w:r w:rsidRPr="00AF5FD5">
        <w:lastRenderedPageBreak/>
        <w:tab/>
        <w:t>I.</w:t>
      </w:r>
      <w:r w:rsidRPr="00AF5FD5">
        <w:tab/>
      </w:r>
      <w:r w:rsidRPr="00AF5FD5">
        <w:rPr>
          <w:lang w:val="fr-FR"/>
        </w:rPr>
        <w:t>Participation</w:t>
      </w:r>
      <w:r w:rsidRPr="00AF5FD5">
        <w:t xml:space="preserve"> </w:t>
      </w:r>
    </w:p>
    <w:p w:rsidR="00B25DBE" w:rsidRPr="00AF5FD5" w:rsidRDefault="00B25DBE" w:rsidP="00B25DBE">
      <w:pPr>
        <w:pStyle w:val="SingleTxtG"/>
        <w:rPr>
          <w:lang w:val="fr-FR"/>
        </w:rPr>
      </w:pPr>
      <w:r w:rsidRPr="00AF5FD5">
        <w:t>1.</w:t>
      </w:r>
      <w:r w:rsidRPr="00AF5FD5">
        <w:tab/>
      </w:r>
      <w:r w:rsidRPr="00AF5FD5">
        <w:rPr>
          <w:lang w:val="fr-FR"/>
        </w:rPr>
        <w:t>Le Groupe de travail du transport des denrées périssables (WP.11) a tenu sa soixante-quatorzième session du 8 au 12 octobre 2018, sous la présidence de M. T. Nobre (Portugal) et la vice-présidence de M. K. de Putter (Pays-Bas).</w:t>
      </w:r>
    </w:p>
    <w:p w:rsidR="00B25DBE" w:rsidRPr="00AF5FD5" w:rsidRDefault="00B25DBE" w:rsidP="00B25DBE">
      <w:pPr>
        <w:pStyle w:val="SingleTxtG"/>
        <w:rPr>
          <w:lang w:val="fr-FR"/>
        </w:rPr>
      </w:pPr>
      <w:r w:rsidRPr="00AF5FD5">
        <w:t>2.</w:t>
      </w:r>
      <w:r w:rsidRPr="00AF5FD5">
        <w:tab/>
      </w:r>
      <w:r w:rsidRPr="00AF5FD5">
        <w:rPr>
          <w:lang w:val="fr-FR"/>
        </w:rPr>
        <w:t>Ont participé à la session des représentants des pays suivants : Arménie, Allemagne, Belgique, Croatie, Danemark, Espagne, États-Unis d</w:t>
      </w:r>
      <w:r w:rsidR="00E84113" w:rsidRPr="00AF5FD5">
        <w:rPr>
          <w:lang w:val="fr-FR"/>
        </w:rPr>
        <w:t>’</w:t>
      </w:r>
      <w:r w:rsidRPr="00AF5FD5">
        <w:rPr>
          <w:lang w:val="fr-FR"/>
        </w:rPr>
        <w:t xml:space="preserve">Amérique, Fédération de Russie, Finlande, France, Irlande, Italie, Lettonie, Luxembourg, Maroc, Moldova, Pays-Bas, Pologne, Portugal, </w:t>
      </w:r>
      <w:r w:rsidR="00DE7736">
        <w:rPr>
          <w:lang w:val="fr-FR"/>
        </w:rPr>
        <w:t xml:space="preserve">République tchèque, </w:t>
      </w:r>
      <w:r w:rsidRPr="00AF5FD5">
        <w:rPr>
          <w:lang w:val="fr-FR"/>
        </w:rPr>
        <w:t>Royaume-Uni de Grande-Bretagne et d</w:t>
      </w:r>
      <w:r w:rsidR="00E84113" w:rsidRPr="00AF5FD5">
        <w:rPr>
          <w:lang w:val="fr-FR"/>
        </w:rPr>
        <w:t>’</w:t>
      </w:r>
      <w:r w:rsidRPr="00AF5FD5">
        <w:rPr>
          <w:lang w:val="fr-FR"/>
        </w:rPr>
        <w:t xml:space="preserve">Irlande du Nord, Serbie, Slovénie, Suisse et Turquie. </w:t>
      </w:r>
    </w:p>
    <w:p w:rsidR="00B25DBE" w:rsidRPr="00AF5FD5" w:rsidRDefault="00B25DBE" w:rsidP="00B25DBE">
      <w:pPr>
        <w:pStyle w:val="SingleTxtG"/>
        <w:rPr>
          <w:lang w:val="fr-FR"/>
        </w:rPr>
      </w:pPr>
      <w:r w:rsidRPr="00AF5FD5">
        <w:t>3.</w:t>
      </w:r>
      <w:r w:rsidRPr="00AF5FD5">
        <w:tab/>
      </w:r>
      <w:r w:rsidRPr="00AF5FD5">
        <w:rPr>
          <w:lang w:val="fr-FR"/>
        </w:rPr>
        <w:t>Étaient représentées une organisation intergouvernementale, l</w:t>
      </w:r>
      <w:r w:rsidR="00E84113" w:rsidRPr="00AF5FD5">
        <w:rPr>
          <w:lang w:val="fr-FR"/>
        </w:rPr>
        <w:t>’</w:t>
      </w:r>
      <w:r w:rsidRPr="00AF5FD5">
        <w:rPr>
          <w:lang w:val="fr-FR"/>
        </w:rPr>
        <w:t xml:space="preserve">Institut international du froid (IIF), ainsi que deux organisations non gouvernementales : le Comité de liaison de la construction de carrosseries et de remorques (CLCCR) et Transfrigoroute International (TI). </w:t>
      </w:r>
    </w:p>
    <w:bookmarkEnd w:id="1"/>
    <w:p w:rsidR="00B25DBE" w:rsidRPr="00AF5FD5" w:rsidRDefault="00B25DBE" w:rsidP="00B25DBE">
      <w:pPr>
        <w:pStyle w:val="HChG"/>
      </w:pPr>
      <w:r w:rsidRPr="00AF5FD5">
        <w:tab/>
      </w:r>
      <w:bookmarkStart w:id="2" w:name="_Toc401568230"/>
      <w:bookmarkStart w:id="3" w:name="_Toc401568635"/>
      <w:bookmarkStart w:id="4" w:name="_Toc528146959"/>
      <w:r w:rsidRPr="00AF5FD5">
        <w:t>II.</w:t>
      </w:r>
      <w:r w:rsidRPr="00AF5FD5">
        <w:tab/>
        <w:t>Adoption de l</w:t>
      </w:r>
      <w:r w:rsidR="00E84113" w:rsidRPr="00AF5FD5">
        <w:t>’</w:t>
      </w:r>
      <w:r w:rsidRPr="00AF5FD5">
        <w:t>ordre du jour (point 1 de l</w:t>
      </w:r>
      <w:r w:rsidR="00E84113" w:rsidRPr="00AF5FD5">
        <w:t>’</w:t>
      </w:r>
      <w:r w:rsidRPr="00AF5FD5">
        <w:t xml:space="preserve">ordre du jour) </w:t>
      </w:r>
    </w:p>
    <w:p w:rsidR="00B25DBE" w:rsidRPr="00AF5FD5" w:rsidRDefault="00B25DBE" w:rsidP="002D7AC2">
      <w:pPr>
        <w:pStyle w:val="SingleTxtG"/>
        <w:ind w:left="3119" w:hanging="1985"/>
      </w:pPr>
      <w:r w:rsidRPr="00AF5FD5">
        <w:rPr>
          <w:i/>
        </w:rPr>
        <w:t>Documents </w:t>
      </w:r>
      <w:r w:rsidRPr="00AF5FD5">
        <w:t>:</w:t>
      </w:r>
      <w:r w:rsidRPr="00AF5FD5">
        <w:tab/>
        <w:t xml:space="preserve">ECE/TRANS/WP.11/238 </w:t>
      </w:r>
      <w:r w:rsidRPr="00AF5FD5">
        <w:br/>
        <w:t>ECE/TRANS/WP.11/238/Add.1.</w:t>
      </w:r>
    </w:p>
    <w:p w:rsidR="00B25DBE" w:rsidRPr="00AF5FD5" w:rsidRDefault="00B25DBE" w:rsidP="002D7AC2">
      <w:pPr>
        <w:pStyle w:val="SingleTxtG"/>
        <w:ind w:left="3119" w:hanging="1985"/>
      </w:pPr>
      <w:r w:rsidRPr="00AF5FD5">
        <w:rPr>
          <w:i/>
        </w:rPr>
        <w:t>Document informel </w:t>
      </w:r>
      <w:r w:rsidRPr="00AF5FD5">
        <w:t xml:space="preserve">: </w:t>
      </w:r>
      <w:r w:rsidRPr="00AF5FD5">
        <w:tab/>
        <w:t>INF.1 (Secrétariat).</w:t>
      </w:r>
    </w:p>
    <w:p w:rsidR="00B25DBE" w:rsidRPr="00AF5FD5" w:rsidRDefault="00B25DBE" w:rsidP="00B25DBE">
      <w:pPr>
        <w:pStyle w:val="SingleTxtG"/>
        <w:rPr>
          <w:lang w:val="fr-FR"/>
        </w:rPr>
      </w:pPr>
      <w:r w:rsidRPr="00AF5FD5">
        <w:t>4.</w:t>
      </w:r>
      <w:r w:rsidRPr="00AF5FD5">
        <w:tab/>
      </w:r>
      <w:r w:rsidRPr="00AF5FD5">
        <w:rPr>
          <w:lang w:val="fr-FR"/>
        </w:rPr>
        <w:t>L</w:t>
      </w:r>
      <w:r w:rsidR="00E84113" w:rsidRPr="00AF5FD5">
        <w:rPr>
          <w:lang w:val="fr-FR"/>
        </w:rPr>
        <w:t>’</w:t>
      </w:r>
      <w:r w:rsidRPr="00AF5FD5">
        <w:rPr>
          <w:lang w:val="fr-FR"/>
        </w:rPr>
        <w:t>ordre du jour provisoire (ECE/TRANS/WP.11/238 et Add.1) a été adopté tel que modifié par le document informel INF.1 afin de tenir compte des documents INF.1 à 15.</w:t>
      </w:r>
    </w:p>
    <w:bookmarkEnd w:id="2"/>
    <w:bookmarkEnd w:id="3"/>
    <w:bookmarkEnd w:id="4"/>
    <w:p w:rsidR="00B25DBE" w:rsidRPr="00AF5FD5" w:rsidRDefault="00B25DBE" w:rsidP="00B25DBE">
      <w:pPr>
        <w:pStyle w:val="HChG"/>
      </w:pPr>
      <w:r w:rsidRPr="00AF5FD5">
        <w:tab/>
      </w:r>
      <w:bookmarkStart w:id="5" w:name="_Toc401568231"/>
      <w:bookmarkStart w:id="6" w:name="_Toc401568636"/>
      <w:bookmarkStart w:id="7" w:name="_Toc528146960"/>
      <w:r w:rsidRPr="00AF5FD5">
        <w:t>III.</w:t>
      </w:r>
      <w:r w:rsidRPr="00AF5FD5">
        <w:tab/>
      </w:r>
      <w:bookmarkStart w:id="8" w:name="_Hlk511311763"/>
      <w:bookmarkEnd w:id="5"/>
      <w:bookmarkEnd w:id="6"/>
      <w:r w:rsidRPr="00AF5FD5">
        <w:t>Table ronde sur les moyens d</w:t>
      </w:r>
      <w:r w:rsidR="00E84113" w:rsidRPr="00AF5FD5">
        <w:t>’</w:t>
      </w:r>
      <w:r w:rsidRPr="00AF5FD5">
        <w:t xml:space="preserve">améliorer le fonctionnement </w:t>
      </w:r>
      <w:r w:rsidRPr="00AF5FD5">
        <w:br/>
        <w:t>du Groupe de travail (point 2 de l</w:t>
      </w:r>
      <w:r w:rsidR="00E84113" w:rsidRPr="00AF5FD5">
        <w:t>’</w:t>
      </w:r>
      <w:r w:rsidRPr="00AF5FD5">
        <w:t>ordre du jour)</w:t>
      </w:r>
      <w:bookmarkEnd w:id="7"/>
      <w:bookmarkEnd w:id="8"/>
    </w:p>
    <w:p w:rsidR="00B25DBE" w:rsidRPr="00AF5FD5" w:rsidRDefault="00B25DBE" w:rsidP="00B25DBE">
      <w:pPr>
        <w:pStyle w:val="SingleTxtG"/>
      </w:pPr>
      <w:r w:rsidRPr="00AF5FD5">
        <w:rPr>
          <w:i/>
        </w:rPr>
        <w:t>Document </w:t>
      </w:r>
      <w:r w:rsidRPr="00AF5FD5">
        <w:t>:</w:t>
      </w:r>
      <w:r w:rsidRPr="00AF5FD5">
        <w:tab/>
      </w:r>
      <w:r w:rsidRPr="00AF5FD5">
        <w:tab/>
        <w:t>ECE/TRANS/WP.11/2018/4.</w:t>
      </w:r>
    </w:p>
    <w:p w:rsidR="00B25DBE" w:rsidRPr="00AF5FD5" w:rsidRDefault="00B25DBE" w:rsidP="00B25DBE">
      <w:pPr>
        <w:pStyle w:val="SingleTxtG"/>
      </w:pPr>
      <w:r w:rsidRPr="00AF5FD5">
        <w:t>5.</w:t>
      </w:r>
      <w:r w:rsidRPr="00AF5FD5">
        <w:tab/>
        <w:t>Le Groupe de travail a examin</w:t>
      </w:r>
      <w:r w:rsidR="00DE7736">
        <w:t>é le document ECE/TRANS/WP.11/</w:t>
      </w:r>
      <w:r w:rsidRPr="00AF5FD5">
        <w:t>2018/4 dans lequel la Fédération de Russie proposait de débattre des points suivants en vue d</w:t>
      </w:r>
      <w:r w:rsidR="00E84113" w:rsidRPr="00AF5FD5">
        <w:t>’</w:t>
      </w:r>
      <w:r w:rsidRPr="00AF5FD5">
        <w:t>améliorer le texte de l</w:t>
      </w:r>
      <w:r w:rsidR="00E84113" w:rsidRPr="00AF5FD5">
        <w:t>’</w:t>
      </w:r>
      <w:r w:rsidRPr="00AF5FD5">
        <w:t xml:space="preserve">Accord ATP : </w:t>
      </w:r>
    </w:p>
    <w:p w:rsidR="00B25DBE" w:rsidRPr="00AF5FD5" w:rsidRDefault="00B25DBE" w:rsidP="00B25DBE">
      <w:pPr>
        <w:pStyle w:val="SingleTxtG"/>
        <w:ind w:firstLine="567"/>
      </w:pPr>
      <w:r w:rsidRPr="00AF5FD5">
        <w:t>a)</w:t>
      </w:r>
      <w:r w:rsidRPr="00AF5FD5">
        <w:tab/>
        <w:t>Préserver la qualité de toutes les denrées périssables qui nécessitent au cours de leur transport le maintien de conditions de température spécifiées dans les textes réglementaires, et pas seulement des denrées mentionnées dans la version actuelle de l</w:t>
      </w:r>
      <w:r w:rsidR="00E84113" w:rsidRPr="00AF5FD5">
        <w:t>’</w:t>
      </w:r>
      <w:r w:rsidRPr="00AF5FD5">
        <w:t>ATP ;</w:t>
      </w:r>
    </w:p>
    <w:p w:rsidR="00B25DBE" w:rsidRPr="00AF5FD5" w:rsidRDefault="00B25DBE" w:rsidP="00B25DBE">
      <w:pPr>
        <w:pStyle w:val="SingleTxtG"/>
        <w:ind w:firstLine="567"/>
      </w:pPr>
      <w:bookmarkStart w:id="9" w:name="_Hlk527639281"/>
      <w:r w:rsidRPr="00AF5FD5">
        <w:t>b)</w:t>
      </w:r>
      <w:r w:rsidRPr="00AF5FD5">
        <w:tab/>
        <w:t>Adapter les normes et prescriptions de l</w:t>
      </w:r>
      <w:r w:rsidR="00E84113" w:rsidRPr="00AF5FD5">
        <w:t>’</w:t>
      </w:r>
      <w:r w:rsidRPr="00AF5FD5">
        <w:t>ATP aux conditions climatiques et techniques rencontrées pendant le transport des denrées périssables dans différentes zones climatiques</w:t>
      </w:r>
      <w:r w:rsidR="0048024C" w:rsidRPr="00AF5FD5">
        <w:t> ;</w:t>
      </w:r>
      <w:bookmarkEnd w:id="9"/>
    </w:p>
    <w:p w:rsidR="00B25DBE" w:rsidRPr="00AF5FD5" w:rsidRDefault="00B25DBE" w:rsidP="00B25DBE">
      <w:pPr>
        <w:pStyle w:val="SingleTxtG"/>
        <w:ind w:firstLine="567"/>
      </w:pPr>
      <w:r w:rsidRPr="00AF5FD5">
        <w:t>c)</w:t>
      </w:r>
      <w:r w:rsidRPr="00AF5FD5">
        <w:tab/>
        <w:t>Ne plus tolérer les différences d</w:t>
      </w:r>
      <w:r w:rsidR="00E84113" w:rsidRPr="00AF5FD5">
        <w:t>’</w:t>
      </w:r>
      <w:r w:rsidRPr="00AF5FD5">
        <w:t>interprétation des articles et des annexes de l</w:t>
      </w:r>
      <w:r w:rsidR="00E84113" w:rsidRPr="00AF5FD5">
        <w:t>’</w:t>
      </w:r>
      <w:r w:rsidRPr="00AF5FD5">
        <w:t>ATP par les Parties à l</w:t>
      </w:r>
      <w:r w:rsidR="00E84113" w:rsidRPr="00AF5FD5">
        <w:t>’</w:t>
      </w:r>
      <w:r w:rsidRPr="00AF5FD5">
        <w:t>Accord et par les organisations nationales et internationales.</w:t>
      </w:r>
    </w:p>
    <w:p w:rsidR="00B25DBE" w:rsidRPr="00AF5FD5" w:rsidRDefault="00B25DBE" w:rsidP="00B25DBE">
      <w:pPr>
        <w:pStyle w:val="SingleTxtG"/>
      </w:pPr>
      <w:r w:rsidRPr="00AF5FD5">
        <w:t>6.</w:t>
      </w:r>
      <w:r w:rsidRPr="00AF5FD5">
        <w:tab/>
        <w:t>S</w:t>
      </w:r>
      <w:r w:rsidR="00E84113" w:rsidRPr="00AF5FD5">
        <w:t>’</w:t>
      </w:r>
      <w:r w:rsidRPr="00AF5FD5">
        <w:t>agissant du point a), certains représentants ont été d</w:t>
      </w:r>
      <w:r w:rsidR="00E84113" w:rsidRPr="00AF5FD5">
        <w:t>’</w:t>
      </w:r>
      <w:r w:rsidRPr="00AF5FD5">
        <w:t>avis que le champ d</w:t>
      </w:r>
      <w:r w:rsidR="00E84113" w:rsidRPr="00AF5FD5">
        <w:t>’</w:t>
      </w:r>
      <w:r w:rsidRPr="00AF5FD5">
        <w:t>application de l</w:t>
      </w:r>
      <w:r w:rsidR="00E84113" w:rsidRPr="00AF5FD5">
        <w:t>’</w:t>
      </w:r>
      <w:r w:rsidRPr="00AF5FD5">
        <w:t>ATP ne devait pas être élargi, car il permet déjà de s</w:t>
      </w:r>
      <w:r w:rsidR="00E84113" w:rsidRPr="00AF5FD5">
        <w:t>’</w:t>
      </w:r>
      <w:r w:rsidRPr="00AF5FD5">
        <w:t>assurer que les denrées alimentaires restaient propres à la consommation après leur transport. D</w:t>
      </w:r>
      <w:r w:rsidR="00E84113" w:rsidRPr="00AF5FD5">
        <w:t>’</w:t>
      </w:r>
      <w:r w:rsidRPr="00AF5FD5">
        <w:t>autres ont salué la possibilité d</w:t>
      </w:r>
      <w:r w:rsidR="00E84113" w:rsidRPr="00AF5FD5">
        <w:t>’</w:t>
      </w:r>
      <w:r w:rsidRPr="00AF5FD5">
        <w:t>étendre la portée de l</w:t>
      </w:r>
      <w:r w:rsidR="00E84113" w:rsidRPr="00AF5FD5">
        <w:t>’</w:t>
      </w:r>
      <w:r w:rsidRPr="00AF5FD5">
        <w:t>Accord afin de protéger les consommateurs contre des produits de mauvaise qualité et de réduire considérablement le gaspillage des denrées alimentaires tout en préservant des ressources très rares ou non renouvelables qui sont nécessaires pour produire les aliments, comme la terre, l</w:t>
      </w:r>
      <w:r w:rsidR="00E84113" w:rsidRPr="00AF5FD5">
        <w:t>’</w:t>
      </w:r>
      <w:r w:rsidRPr="00AF5FD5">
        <w:t>eau et l</w:t>
      </w:r>
      <w:r w:rsidR="00E84113" w:rsidRPr="00AF5FD5">
        <w:t>’</w:t>
      </w:r>
      <w:r w:rsidRPr="00AF5FD5">
        <w:t>énergie.</w:t>
      </w:r>
    </w:p>
    <w:p w:rsidR="00B25DBE" w:rsidRPr="00AF5FD5" w:rsidRDefault="00B25DBE" w:rsidP="00B25DBE">
      <w:pPr>
        <w:pStyle w:val="SingleTxtG"/>
      </w:pPr>
      <w:r w:rsidRPr="00AF5FD5">
        <w:t>7.</w:t>
      </w:r>
      <w:r w:rsidRPr="00AF5FD5">
        <w:tab/>
        <w:t>Lors de la mise aux voix, 6 pays ont voté en faveur de la proposition (Espagne, France, Luxembourg, Portugal, Russie et Serbie) contre 5 s</w:t>
      </w:r>
      <w:r w:rsidR="00E84113" w:rsidRPr="00AF5FD5">
        <w:t>’</w:t>
      </w:r>
      <w:r w:rsidRPr="00AF5FD5">
        <w:t>y sont opposés (Allemagne, Danemark, États-Unis d</w:t>
      </w:r>
      <w:r w:rsidR="00E84113" w:rsidRPr="00AF5FD5">
        <w:t>’</w:t>
      </w:r>
      <w:r w:rsidRPr="00AF5FD5">
        <w:t xml:space="preserve">Amérique, Pays-Bas et Royaume-Uni). </w:t>
      </w:r>
    </w:p>
    <w:p w:rsidR="00B25DBE" w:rsidRPr="00AF5FD5" w:rsidRDefault="00B25DBE" w:rsidP="00712B58">
      <w:pPr>
        <w:pStyle w:val="SingleTxtG"/>
        <w:keepNext/>
        <w:keepLines/>
        <w:ind w:left="3119" w:hanging="1985"/>
      </w:pPr>
      <w:r w:rsidRPr="00AF5FD5">
        <w:rPr>
          <w:i/>
          <w:iCs/>
        </w:rPr>
        <w:t>Document </w:t>
      </w:r>
      <w:r w:rsidRPr="00AF5FD5">
        <w:t>:</w:t>
      </w:r>
      <w:r w:rsidRPr="00AF5FD5">
        <w:tab/>
        <w:t>ECE/TRANS/WP.11/2018/17.</w:t>
      </w:r>
    </w:p>
    <w:p w:rsidR="00B25DBE" w:rsidRPr="00AF5FD5" w:rsidRDefault="00B25DBE" w:rsidP="00B25DBE">
      <w:pPr>
        <w:pStyle w:val="SingleTxtG"/>
      </w:pPr>
      <w:r w:rsidRPr="00AF5FD5">
        <w:t>8.</w:t>
      </w:r>
      <w:r w:rsidRPr="00AF5FD5">
        <w:tab/>
        <w:t>Reprenant les propositions énoncées dans le document ECE/TRANS/WP.11/2018/17, le WP.11 a examiné certains points supplémentaires qui pourraient l</w:t>
      </w:r>
      <w:r w:rsidR="00E84113" w:rsidRPr="00AF5FD5">
        <w:t>’</w:t>
      </w:r>
      <w:r w:rsidRPr="00AF5FD5">
        <w:t>aider à améliorer ses méthodes de travail et à tenir le texte de l</w:t>
      </w:r>
      <w:r w:rsidR="00E84113" w:rsidRPr="00AF5FD5">
        <w:t>’</w:t>
      </w:r>
      <w:r w:rsidRPr="00AF5FD5">
        <w:t xml:space="preserve">Accord à jour : </w:t>
      </w:r>
    </w:p>
    <w:p w:rsidR="00B25DBE" w:rsidRPr="00AF5FD5" w:rsidRDefault="00B25DBE" w:rsidP="00712B58">
      <w:pPr>
        <w:pStyle w:val="SingleTxtG"/>
        <w:keepNext/>
        <w:keepLines/>
        <w:ind w:firstLine="567"/>
        <w:rPr>
          <w:b/>
          <w:bCs/>
        </w:rPr>
      </w:pPr>
      <w:r w:rsidRPr="00AF5FD5">
        <w:rPr>
          <w:b/>
          <w:bCs/>
        </w:rPr>
        <w:lastRenderedPageBreak/>
        <w:t>Points </w:t>
      </w:r>
      <w:r w:rsidR="00712B58" w:rsidRPr="00AF5FD5">
        <w:rPr>
          <w:b/>
          <w:bCs/>
        </w:rPr>
        <w:t>a) à d) :</w:t>
      </w:r>
    </w:p>
    <w:p w:rsidR="00B25DBE" w:rsidRPr="00AF5FD5" w:rsidRDefault="00B25DBE" w:rsidP="00B25DBE">
      <w:pPr>
        <w:pStyle w:val="SingleTxtG"/>
        <w:ind w:left="2268" w:hanging="567"/>
        <w:rPr>
          <w:i/>
        </w:rPr>
      </w:pPr>
      <w:bookmarkStart w:id="10" w:name="_Hlk527639142"/>
      <w:r w:rsidRPr="00F44CBD">
        <w:t>a)</w:t>
      </w:r>
      <w:r w:rsidRPr="00AF5FD5">
        <w:rPr>
          <w:i/>
        </w:rPr>
        <w:tab/>
        <w:t>Définir clairement la portée de l</w:t>
      </w:r>
      <w:r w:rsidR="00E84113" w:rsidRPr="00AF5FD5">
        <w:rPr>
          <w:i/>
        </w:rPr>
        <w:t>’</w:t>
      </w:r>
      <w:r w:rsidRPr="00AF5FD5">
        <w:rPr>
          <w:i/>
        </w:rPr>
        <w:t>ATP, notamment en prévoyant une clause d</w:t>
      </w:r>
      <w:r w:rsidR="00E84113" w:rsidRPr="00AF5FD5">
        <w:rPr>
          <w:i/>
        </w:rPr>
        <w:t>’</w:t>
      </w:r>
      <w:r w:rsidRPr="00AF5FD5">
        <w:rPr>
          <w:i/>
        </w:rPr>
        <w:t>ouverture ou d</w:t>
      </w:r>
      <w:r w:rsidR="00E84113" w:rsidRPr="00AF5FD5">
        <w:rPr>
          <w:i/>
        </w:rPr>
        <w:t>’</w:t>
      </w:r>
      <w:r w:rsidRPr="00AF5FD5">
        <w:rPr>
          <w:i/>
        </w:rPr>
        <w:t>extension permettant d</w:t>
      </w:r>
      <w:r w:rsidR="00E84113" w:rsidRPr="00AF5FD5">
        <w:rPr>
          <w:i/>
        </w:rPr>
        <w:t>’</w:t>
      </w:r>
      <w:r w:rsidRPr="00AF5FD5">
        <w:rPr>
          <w:i/>
        </w:rPr>
        <w:t>étendre le champ d</w:t>
      </w:r>
      <w:r w:rsidR="00E84113" w:rsidRPr="00AF5FD5">
        <w:rPr>
          <w:i/>
        </w:rPr>
        <w:t>’</w:t>
      </w:r>
      <w:r w:rsidRPr="00AF5FD5">
        <w:rPr>
          <w:i/>
        </w:rPr>
        <w:t>application en cas de besoin.</w:t>
      </w:r>
    </w:p>
    <w:p w:rsidR="00B25DBE" w:rsidRPr="00AF5FD5" w:rsidRDefault="00B25DBE" w:rsidP="00B25DBE">
      <w:pPr>
        <w:pStyle w:val="SingleTxtG"/>
        <w:ind w:left="2268" w:hanging="567"/>
        <w:rPr>
          <w:i/>
        </w:rPr>
      </w:pPr>
      <w:r w:rsidRPr="00F44CBD">
        <w:t>b)</w:t>
      </w:r>
      <w:r w:rsidRPr="00AF5FD5">
        <w:rPr>
          <w:i/>
        </w:rPr>
        <w:tab/>
        <w:t>Faire figurer dans le texte de l</w:t>
      </w:r>
      <w:r w:rsidR="00E84113" w:rsidRPr="00AF5FD5">
        <w:rPr>
          <w:i/>
        </w:rPr>
        <w:t>’</w:t>
      </w:r>
      <w:r w:rsidRPr="00AF5FD5">
        <w:rPr>
          <w:i/>
        </w:rPr>
        <w:t xml:space="preserve">Accord une définition du terme </w:t>
      </w:r>
      <w:r w:rsidR="00712B58" w:rsidRPr="00AF5FD5">
        <w:rPr>
          <w:i/>
        </w:rPr>
        <w:t>« denrées périssables »</w:t>
      </w:r>
      <w:r w:rsidRPr="00AF5FD5">
        <w:rPr>
          <w:i/>
        </w:rPr>
        <w:t>.</w:t>
      </w:r>
    </w:p>
    <w:p w:rsidR="00B25DBE" w:rsidRPr="00AF5FD5" w:rsidRDefault="00B25DBE" w:rsidP="00B25DBE">
      <w:pPr>
        <w:pStyle w:val="SingleTxtG"/>
        <w:ind w:left="2268" w:hanging="567"/>
        <w:rPr>
          <w:i/>
        </w:rPr>
      </w:pPr>
      <w:r w:rsidRPr="00F44CBD">
        <w:t>c)</w:t>
      </w:r>
      <w:r w:rsidRPr="00AF5FD5">
        <w:rPr>
          <w:i/>
        </w:rPr>
        <w:tab/>
        <w:t>S</w:t>
      </w:r>
      <w:r w:rsidR="00E84113" w:rsidRPr="00AF5FD5">
        <w:rPr>
          <w:i/>
        </w:rPr>
        <w:t>’</w:t>
      </w:r>
      <w:r w:rsidRPr="00AF5FD5">
        <w:rPr>
          <w:i/>
        </w:rPr>
        <w:t>entendre sur une interprétation commune du préambule de l</w:t>
      </w:r>
      <w:r w:rsidR="00E84113" w:rsidRPr="00AF5FD5">
        <w:rPr>
          <w:i/>
        </w:rPr>
        <w:t>’</w:t>
      </w:r>
      <w:r w:rsidRPr="00AF5FD5">
        <w:rPr>
          <w:i/>
        </w:rPr>
        <w:t>Accord, notamment en ce qui concerne la question de la qualité par rapport à la sécurité alimentaire.</w:t>
      </w:r>
    </w:p>
    <w:p w:rsidR="00B25DBE" w:rsidRPr="00AF5FD5" w:rsidRDefault="00B25DBE" w:rsidP="00B25DBE">
      <w:pPr>
        <w:pStyle w:val="SingleTxtG"/>
        <w:ind w:left="2268" w:hanging="567"/>
        <w:rPr>
          <w:i/>
        </w:rPr>
      </w:pPr>
      <w:r w:rsidRPr="00F44CBD">
        <w:t>d)</w:t>
      </w:r>
      <w:r w:rsidRPr="00AF5FD5">
        <w:rPr>
          <w:i/>
        </w:rPr>
        <w:tab/>
        <w:t>S</w:t>
      </w:r>
      <w:r w:rsidR="00E84113" w:rsidRPr="00AF5FD5">
        <w:rPr>
          <w:i/>
        </w:rPr>
        <w:t>’</w:t>
      </w:r>
      <w:r w:rsidRPr="00AF5FD5">
        <w:rPr>
          <w:i/>
        </w:rPr>
        <w:t>entendre sur l</w:t>
      </w:r>
      <w:r w:rsidR="00E84113" w:rsidRPr="00AF5FD5">
        <w:rPr>
          <w:i/>
        </w:rPr>
        <w:t>’</w:t>
      </w:r>
      <w:r w:rsidRPr="00AF5FD5">
        <w:rPr>
          <w:i/>
        </w:rPr>
        <w:t>établissement d</w:t>
      </w:r>
      <w:r w:rsidR="00E84113" w:rsidRPr="00AF5FD5">
        <w:rPr>
          <w:i/>
        </w:rPr>
        <w:t>’</w:t>
      </w:r>
      <w:r w:rsidRPr="00AF5FD5">
        <w:rPr>
          <w:i/>
        </w:rPr>
        <w:t>une liste de denrées entrant dans le champ d</w:t>
      </w:r>
      <w:r w:rsidR="00E84113" w:rsidRPr="00AF5FD5">
        <w:rPr>
          <w:i/>
        </w:rPr>
        <w:t>’</w:t>
      </w:r>
      <w:r w:rsidRPr="00AF5FD5">
        <w:rPr>
          <w:i/>
        </w:rPr>
        <w:t>application de l</w:t>
      </w:r>
      <w:r w:rsidR="00E84113" w:rsidRPr="00AF5FD5">
        <w:rPr>
          <w:i/>
        </w:rPr>
        <w:t>’</w:t>
      </w:r>
      <w:r w:rsidRPr="00AF5FD5">
        <w:rPr>
          <w:i/>
        </w:rPr>
        <w:t>Accord (sur le modèle de la Liste des marchandises dangereuses (tableau A) de l</w:t>
      </w:r>
      <w:r w:rsidR="00E84113" w:rsidRPr="00AF5FD5">
        <w:rPr>
          <w:i/>
        </w:rPr>
        <w:t>’</w:t>
      </w:r>
      <w:r w:rsidRPr="00AF5FD5">
        <w:rPr>
          <w:i/>
        </w:rPr>
        <w:t xml:space="preserve">ADR). </w:t>
      </w:r>
    </w:p>
    <w:bookmarkEnd w:id="10"/>
    <w:p w:rsidR="00B25DBE" w:rsidRPr="00AF5FD5" w:rsidRDefault="00B25DBE" w:rsidP="00B25DBE">
      <w:pPr>
        <w:pStyle w:val="SingleTxtG"/>
      </w:pPr>
      <w:r w:rsidRPr="00AF5FD5">
        <w:t>9.</w:t>
      </w:r>
      <w:r w:rsidRPr="00AF5FD5">
        <w:tab/>
        <w:t>S</w:t>
      </w:r>
      <w:r w:rsidR="00E84113" w:rsidRPr="00AF5FD5">
        <w:t>’</w:t>
      </w:r>
      <w:r w:rsidRPr="00AF5FD5">
        <w:t>agissant de l</w:t>
      </w:r>
      <w:r w:rsidR="00E84113" w:rsidRPr="00AF5FD5">
        <w:t>’</w:t>
      </w:r>
      <w:r w:rsidRPr="00AF5FD5">
        <w:t>extension du champ d</w:t>
      </w:r>
      <w:r w:rsidR="00E84113" w:rsidRPr="00AF5FD5">
        <w:t>’</w:t>
      </w:r>
      <w:r w:rsidRPr="00AF5FD5">
        <w:t>application de l</w:t>
      </w:r>
      <w:r w:rsidR="00E84113" w:rsidRPr="00AF5FD5">
        <w:t>’</w:t>
      </w:r>
      <w:r w:rsidRPr="00AF5FD5">
        <w:t>ATP, on se repor</w:t>
      </w:r>
      <w:r w:rsidR="00712B58" w:rsidRPr="00AF5FD5">
        <w:t>tera aux paragraphes 6 et </w:t>
      </w:r>
      <w:r w:rsidRPr="00AF5FD5">
        <w:t xml:space="preserve">7 du présent rapport. </w:t>
      </w:r>
    </w:p>
    <w:p w:rsidR="00B25DBE" w:rsidRPr="00AF5FD5" w:rsidRDefault="00712B58" w:rsidP="00B25DBE">
      <w:pPr>
        <w:pStyle w:val="SingleTxtG"/>
      </w:pPr>
      <w:r w:rsidRPr="00AF5FD5">
        <w:t>10.</w:t>
      </w:r>
      <w:r w:rsidRPr="00AF5FD5">
        <w:tab/>
      </w:r>
      <w:r w:rsidR="00B25DBE" w:rsidRPr="00AF5FD5">
        <w:t>Les Parties contractantes n</w:t>
      </w:r>
      <w:r w:rsidR="00E84113" w:rsidRPr="00AF5FD5">
        <w:t>’</w:t>
      </w:r>
      <w:r w:rsidR="00B25DBE" w:rsidRPr="00AF5FD5">
        <w:t>étant pas parvenues à un consensus sur la question de l</w:t>
      </w:r>
      <w:r w:rsidR="00E84113" w:rsidRPr="00AF5FD5">
        <w:t>’</w:t>
      </w:r>
      <w:r w:rsidR="00B25DBE" w:rsidRPr="00AF5FD5">
        <w:t>inclusion des fruits</w:t>
      </w:r>
      <w:r w:rsidRPr="00AF5FD5">
        <w:t xml:space="preserve"> et légumes frais dans l</w:t>
      </w:r>
      <w:r w:rsidR="00E84113" w:rsidRPr="00AF5FD5">
        <w:t>’</w:t>
      </w:r>
      <w:r w:rsidRPr="00AF5FD5">
        <w:t>annexe </w:t>
      </w:r>
      <w:r w:rsidR="00B25DBE" w:rsidRPr="00AF5FD5">
        <w:t>3, certaines d</w:t>
      </w:r>
      <w:r w:rsidR="00E84113" w:rsidRPr="00AF5FD5">
        <w:t>’</w:t>
      </w:r>
      <w:r w:rsidR="00B25DBE" w:rsidRPr="00AF5FD5">
        <w:t>entre elles considérant que leur transport devait être soumis aux conditions de l</w:t>
      </w:r>
      <w:r w:rsidR="00E84113" w:rsidRPr="00AF5FD5">
        <w:t>’</w:t>
      </w:r>
      <w:r w:rsidR="00B25DBE" w:rsidRPr="00AF5FD5">
        <w:t>ATP, d</w:t>
      </w:r>
      <w:r w:rsidR="00E84113" w:rsidRPr="00AF5FD5">
        <w:t>’</w:t>
      </w:r>
      <w:r w:rsidR="00B25DBE" w:rsidRPr="00AF5FD5">
        <w:t>autres estimant que ces denrées ne présentaient aucun risque pour la santé publique et qu</w:t>
      </w:r>
      <w:r w:rsidR="00E84113" w:rsidRPr="00AF5FD5">
        <w:t>’</w:t>
      </w:r>
      <w:r w:rsidR="00B25DBE" w:rsidRPr="00AF5FD5">
        <w:t>il n</w:t>
      </w:r>
      <w:r w:rsidR="00E84113" w:rsidRPr="00AF5FD5">
        <w:t>’</w:t>
      </w:r>
      <w:r w:rsidR="00B25DBE" w:rsidRPr="00AF5FD5">
        <w:t>était donc pas nécessaire d</w:t>
      </w:r>
      <w:r w:rsidR="00E84113" w:rsidRPr="00AF5FD5">
        <w:t>’</w:t>
      </w:r>
      <w:r w:rsidR="00B25DBE" w:rsidRPr="00AF5FD5">
        <w:t>imposer des prescriptions de régulation de la température dans le cadre de leur transport, le Groupe de travail a décidé d</w:t>
      </w:r>
      <w:r w:rsidR="00E84113" w:rsidRPr="00AF5FD5">
        <w:t>’</w:t>
      </w:r>
      <w:r w:rsidR="00B25DBE" w:rsidRPr="00AF5FD5">
        <w:t>étudier la possibilité d</w:t>
      </w:r>
      <w:r w:rsidR="00E84113" w:rsidRPr="00AF5FD5">
        <w:t>’</w:t>
      </w:r>
      <w:r w:rsidR="00B25DBE" w:rsidRPr="00AF5FD5">
        <w:t xml:space="preserve">introduire les dispositions sur le transport des fruits et légumes frais en tant que recommandations que les pays pourraient appliquer en fonction de leurs besoins, sans y être contraints. </w:t>
      </w:r>
    </w:p>
    <w:p w:rsidR="00B25DBE" w:rsidRPr="00AF5FD5" w:rsidRDefault="00B25DBE" w:rsidP="00B25DBE">
      <w:pPr>
        <w:pStyle w:val="SingleTxtG"/>
        <w:rPr>
          <w:lang w:val="fr-FR"/>
        </w:rPr>
      </w:pPr>
      <w:r w:rsidRPr="00AF5FD5">
        <w:t>11.</w:t>
      </w:r>
      <w:r w:rsidRPr="00AF5FD5">
        <w:tab/>
      </w:r>
      <w:r w:rsidRPr="00AF5FD5">
        <w:rPr>
          <w:lang w:val="fr-FR"/>
        </w:rPr>
        <w:t>Il a été demandé au secrétariat de trouver un emplacement approprié pour l</w:t>
      </w:r>
      <w:r w:rsidR="00E84113" w:rsidRPr="00AF5FD5">
        <w:rPr>
          <w:lang w:val="fr-FR"/>
        </w:rPr>
        <w:t>’</w:t>
      </w:r>
      <w:r w:rsidRPr="00AF5FD5">
        <w:rPr>
          <w:lang w:val="fr-FR"/>
        </w:rPr>
        <w:t>introduction de ces recommandations dans le texte de l</w:t>
      </w:r>
      <w:r w:rsidR="00E84113" w:rsidRPr="00AF5FD5">
        <w:rPr>
          <w:lang w:val="fr-FR"/>
        </w:rPr>
        <w:t>’</w:t>
      </w:r>
      <w:r w:rsidRPr="00AF5FD5">
        <w:rPr>
          <w:lang w:val="fr-FR"/>
        </w:rPr>
        <w:t xml:space="preserve">Accord et de le proposer en vue de la prochaine session. Comme il a été </w:t>
      </w:r>
      <w:r w:rsidR="00712B58" w:rsidRPr="00AF5FD5">
        <w:rPr>
          <w:lang w:val="fr-FR"/>
        </w:rPr>
        <w:t>dit précédemment (voir l</w:t>
      </w:r>
      <w:r w:rsidR="00E84113" w:rsidRPr="00AF5FD5">
        <w:rPr>
          <w:lang w:val="fr-FR"/>
        </w:rPr>
        <w:t>’</w:t>
      </w:r>
      <w:r w:rsidR="00712B58" w:rsidRPr="00AF5FD5">
        <w:rPr>
          <w:lang w:val="fr-FR"/>
        </w:rPr>
        <w:t>annexe </w:t>
      </w:r>
      <w:r w:rsidRPr="00AF5FD5">
        <w:rPr>
          <w:lang w:val="fr-FR"/>
        </w:rPr>
        <w:t>IV du document ECE/TRANS/WP.11/235),</w:t>
      </w:r>
      <w:r w:rsidR="00712B58" w:rsidRPr="00AF5FD5">
        <w:rPr>
          <w:lang w:val="fr-FR"/>
        </w:rPr>
        <w:t xml:space="preserve"> on pourrait inclure à l</w:t>
      </w:r>
      <w:r w:rsidR="00E84113" w:rsidRPr="00AF5FD5">
        <w:rPr>
          <w:lang w:val="fr-FR"/>
        </w:rPr>
        <w:t>’</w:t>
      </w:r>
      <w:r w:rsidR="00712B58" w:rsidRPr="00AF5FD5">
        <w:rPr>
          <w:lang w:val="fr-FR"/>
        </w:rPr>
        <w:t>annexe </w:t>
      </w:r>
      <w:r w:rsidRPr="00AF5FD5">
        <w:rPr>
          <w:lang w:val="fr-FR"/>
        </w:rPr>
        <w:t>3 une liste des denrées alimentaires susceptibles d</w:t>
      </w:r>
      <w:r w:rsidR="00E84113" w:rsidRPr="00AF5FD5">
        <w:rPr>
          <w:lang w:val="fr-FR"/>
        </w:rPr>
        <w:t>’</w:t>
      </w:r>
      <w:r w:rsidRPr="00AF5FD5">
        <w:rPr>
          <w:lang w:val="fr-FR"/>
        </w:rPr>
        <w:t>être réglementées de façon facultative, ainsi que des dispositions relatives aux conditions applicables pour le transport international dans le cas où une Partie contractante souhaiterait appliquer cette liste, ou bien ajouter une nouvelle annexe à l</w:t>
      </w:r>
      <w:r w:rsidR="00E84113" w:rsidRPr="00AF5FD5">
        <w:rPr>
          <w:lang w:val="fr-FR"/>
        </w:rPr>
        <w:t>’</w:t>
      </w:r>
      <w:r w:rsidRPr="00AF5FD5">
        <w:rPr>
          <w:lang w:val="fr-FR"/>
        </w:rPr>
        <w:t>Accord.</w:t>
      </w:r>
    </w:p>
    <w:p w:rsidR="00B25DBE" w:rsidRPr="00AF5FD5" w:rsidRDefault="00B25DBE" w:rsidP="00B25DBE">
      <w:pPr>
        <w:pStyle w:val="SingleTxtG"/>
      </w:pPr>
      <w:r w:rsidRPr="00AF5FD5">
        <w:t>12.</w:t>
      </w:r>
      <w:r w:rsidRPr="00AF5FD5">
        <w:tab/>
      </w:r>
      <w:r w:rsidRPr="00AF5FD5">
        <w:rPr>
          <w:lang w:val="fr-FR"/>
        </w:rPr>
        <w:t xml:space="preserve">Le Groupe de travail a </w:t>
      </w:r>
      <w:r w:rsidRPr="00AF5FD5">
        <w:t>été</w:t>
      </w:r>
      <w:r w:rsidRPr="00AF5FD5">
        <w:rPr>
          <w:lang w:val="fr-FR"/>
        </w:rPr>
        <w:t xml:space="preserve"> invité à se pencher sur la liste des denrées alimentaires et sur les conditions qui seraient applicables dans le cadre du transport international.</w:t>
      </w:r>
    </w:p>
    <w:p w:rsidR="00B25DBE" w:rsidRPr="00AF5FD5" w:rsidRDefault="00B25DBE" w:rsidP="00B25DBE">
      <w:pPr>
        <w:pStyle w:val="SingleTxtG"/>
        <w:rPr>
          <w:lang w:val="fr-FR"/>
        </w:rPr>
      </w:pPr>
      <w:r w:rsidRPr="00AF5FD5">
        <w:t>13.</w:t>
      </w:r>
      <w:r w:rsidRPr="00AF5FD5">
        <w:tab/>
      </w:r>
      <w:r w:rsidRPr="00AF5FD5">
        <w:rPr>
          <w:lang w:val="fr-FR"/>
        </w:rPr>
        <w:t>D</w:t>
      </w:r>
      <w:r w:rsidR="00E84113" w:rsidRPr="00AF5FD5">
        <w:rPr>
          <w:lang w:val="fr-FR"/>
        </w:rPr>
        <w:t>’</w:t>
      </w:r>
      <w:r w:rsidRPr="00AF5FD5">
        <w:rPr>
          <w:lang w:val="fr-FR"/>
        </w:rPr>
        <w:t>autres propositions, notamment celles visant à s</w:t>
      </w:r>
      <w:r w:rsidR="00E84113" w:rsidRPr="00AF5FD5">
        <w:rPr>
          <w:lang w:val="fr-FR"/>
        </w:rPr>
        <w:t>’</w:t>
      </w:r>
      <w:r w:rsidRPr="00AF5FD5">
        <w:rPr>
          <w:lang w:val="fr-FR"/>
        </w:rPr>
        <w:t xml:space="preserve">entendre sur un ensemble de définitions générales ou à établir des prescriptions de température minimales pour les denrées alimentaires </w:t>
      </w:r>
      <w:r w:rsidRPr="00AF5FD5">
        <w:t>figurant</w:t>
      </w:r>
      <w:r w:rsidR="00712B58" w:rsidRPr="00AF5FD5">
        <w:rPr>
          <w:lang w:val="fr-FR"/>
        </w:rPr>
        <w:t xml:space="preserve"> dans l</w:t>
      </w:r>
      <w:r w:rsidR="00E84113" w:rsidRPr="00AF5FD5">
        <w:rPr>
          <w:lang w:val="fr-FR"/>
        </w:rPr>
        <w:t>’</w:t>
      </w:r>
      <w:r w:rsidR="00712B58" w:rsidRPr="00AF5FD5">
        <w:rPr>
          <w:lang w:val="fr-FR"/>
        </w:rPr>
        <w:t>annexe </w:t>
      </w:r>
      <w:r w:rsidRPr="00AF5FD5">
        <w:rPr>
          <w:lang w:val="fr-FR"/>
        </w:rPr>
        <w:t>3, seront examinées lors de prochaines sessions.</w:t>
      </w:r>
    </w:p>
    <w:p w:rsidR="00B25DBE" w:rsidRPr="00AF5FD5" w:rsidRDefault="00712B58" w:rsidP="00712B58">
      <w:pPr>
        <w:pStyle w:val="SingleTxtG"/>
        <w:keepNext/>
        <w:keepLines/>
        <w:ind w:firstLine="567"/>
      </w:pPr>
      <w:r w:rsidRPr="00AF5FD5">
        <w:rPr>
          <w:b/>
          <w:bCs/>
        </w:rPr>
        <w:t>Point </w:t>
      </w:r>
      <w:r w:rsidR="00B25DBE" w:rsidRPr="00AF5FD5">
        <w:rPr>
          <w:b/>
          <w:bCs/>
        </w:rPr>
        <w:t>e)</w:t>
      </w:r>
      <w:r w:rsidRPr="00AF5FD5">
        <w:rPr>
          <w:b/>
          <w:bCs/>
        </w:rPr>
        <w:t> </w:t>
      </w:r>
      <w:r w:rsidR="00B25DBE" w:rsidRPr="00AF5FD5">
        <w:rPr>
          <w:b/>
          <w:bCs/>
        </w:rPr>
        <w:t>:</w:t>
      </w:r>
    </w:p>
    <w:p w:rsidR="00B25DBE" w:rsidRPr="00AF5FD5" w:rsidRDefault="00712B58" w:rsidP="00712B58">
      <w:pPr>
        <w:pStyle w:val="SingleTxtG"/>
        <w:ind w:left="2268" w:hanging="567"/>
        <w:rPr>
          <w:i/>
          <w:iCs/>
        </w:rPr>
      </w:pPr>
      <w:r w:rsidRPr="00F44CBD">
        <w:t>e)</w:t>
      </w:r>
      <w:r w:rsidRPr="00AF5FD5">
        <w:rPr>
          <w:i/>
          <w:iCs/>
          <w:lang w:val="fr-FR"/>
        </w:rPr>
        <w:tab/>
      </w:r>
      <w:r w:rsidR="00B25DBE" w:rsidRPr="00AF5FD5">
        <w:rPr>
          <w:i/>
          <w:iCs/>
          <w:lang w:val="fr-FR"/>
        </w:rPr>
        <w:t>Étudier les meilleures pratiques d</w:t>
      </w:r>
      <w:r w:rsidR="00E84113" w:rsidRPr="00AF5FD5">
        <w:rPr>
          <w:i/>
          <w:iCs/>
          <w:lang w:val="fr-FR"/>
        </w:rPr>
        <w:t>’</w:t>
      </w:r>
      <w:r w:rsidR="00B25DBE" w:rsidRPr="00AF5FD5">
        <w:rPr>
          <w:i/>
          <w:iCs/>
          <w:lang w:val="fr-FR"/>
        </w:rPr>
        <w:t>autres groupes de travail et les enseignements tirés de le</w:t>
      </w:r>
      <w:r w:rsidRPr="00AF5FD5">
        <w:rPr>
          <w:i/>
          <w:iCs/>
          <w:lang w:val="fr-FR"/>
        </w:rPr>
        <w:t>urs travaux (réunions communes/</w:t>
      </w:r>
      <w:r w:rsidR="00B25DBE" w:rsidRPr="00AF5FD5">
        <w:rPr>
          <w:i/>
          <w:iCs/>
          <w:lang w:val="fr-FR"/>
        </w:rPr>
        <w:t>réunions d</w:t>
      </w:r>
      <w:r w:rsidR="00E84113" w:rsidRPr="00AF5FD5">
        <w:rPr>
          <w:i/>
          <w:iCs/>
          <w:lang w:val="fr-FR"/>
        </w:rPr>
        <w:t>’</w:t>
      </w:r>
      <w:r w:rsidR="00B25DBE" w:rsidRPr="00AF5FD5">
        <w:rPr>
          <w:i/>
          <w:iCs/>
          <w:lang w:val="fr-FR"/>
        </w:rPr>
        <w:t>harmonisation).</w:t>
      </w:r>
    </w:p>
    <w:p w:rsidR="00B25DBE" w:rsidRPr="00AF5FD5" w:rsidRDefault="00B25DBE" w:rsidP="00B25DBE">
      <w:pPr>
        <w:pStyle w:val="SingleTxtG"/>
        <w:rPr>
          <w:lang w:val="fr-FR"/>
        </w:rPr>
      </w:pPr>
      <w:r w:rsidRPr="00AF5FD5">
        <w:t>14.</w:t>
      </w:r>
      <w:r w:rsidRPr="00AF5FD5">
        <w:tab/>
      </w:r>
      <w:r w:rsidRPr="00AF5FD5">
        <w:rPr>
          <w:lang w:val="fr-FR"/>
        </w:rPr>
        <w:t>Le WP.11 est disposé à examiner les meilleures pratiques d</w:t>
      </w:r>
      <w:r w:rsidR="00E84113" w:rsidRPr="00AF5FD5">
        <w:rPr>
          <w:lang w:val="fr-FR"/>
        </w:rPr>
        <w:t>’</w:t>
      </w:r>
      <w:r w:rsidRPr="00AF5FD5">
        <w:rPr>
          <w:lang w:val="fr-FR"/>
        </w:rPr>
        <w:t xml:space="preserve">autres groupes de travail et à organiser des </w:t>
      </w:r>
      <w:r w:rsidRPr="00AF5FD5">
        <w:t>réunions</w:t>
      </w:r>
      <w:r w:rsidRPr="00AF5FD5">
        <w:rPr>
          <w:lang w:val="fr-FR"/>
        </w:rPr>
        <w:t xml:space="preserve"> communes, des réunions d</w:t>
      </w:r>
      <w:r w:rsidR="00E84113" w:rsidRPr="00AF5FD5">
        <w:rPr>
          <w:lang w:val="fr-FR"/>
        </w:rPr>
        <w:t>’</w:t>
      </w:r>
      <w:r w:rsidRPr="00AF5FD5">
        <w:rPr>
          <w:lang w:val="fr-FR"/>
        </w:rPr>
        <w:t>experts ou des tables rondes avec des groupes travaillant dans des domaines pertinents pour l</w:t>
      </w:r>
      <w:r w:rsidR="00E84113" w:rsidRPr="00AF5FD5">
        <w:rPr>
          <w:lang w:val="fr-FR"/>
        </w:rPr>
        <w:t>’</w:t>
      </w:r>
      <w:r w:rsidRPr="00AF5FD5">
        <w:rPr>
          <w:lang w:val="fr-FR"/>
        </w:rPr>
        <w:t>ATP.</w:t>
      </w:r>
    </w:p>
    <w:p w:rsidR="00B25DBE" w:rsidRPr="00AF5FD5" w:rsidRDefault="00712B58" w:rsidP="00712B58">
      <w:pPr>
        <w:pStyle w:val="SingleTxtG"/>
        <w:keepNext/>
        <w:keepLines/>
        <w:ind w:firstLine="567"/>
      </w:pPr>
      <w:r w:rsidRPr="00AF5FD5">
        <w:rPr>
          <w:b/>
          <w:bCs/>
        </w:rPr>
        <w:t>Point </w:t>
      </w:r>
      <w:r w:rsidR="00B25DBE" w:rsidRPr="00AF5FD5">
        <w:rPr>
          <w:b/>
          <w:bCs/>
        </w:rPr>
        <w:t>f)</w:t>
      </w:r>
      <w:r w:rsidRPr="00AF5FD5">
        <w:rPr>
          <w:b/>
          <w:bCs/>
        </w:rPr>
        <w:t> :</w:t>
      </w:r>
    </w:p>
    <w:p w:rsidR="00B25DBE" w:rsidRPr="00AF5FD5" w:rsidRDefault="00712B58" w:rsidP="00712B58">
      <w:pPr>
        <w:pStyle w:val="SingleTxtG"/>
        <w:ind w:left="2268" w:hanging="567"/>
        <w:rPr>
          <w:i/>
          <w:iCs/>
        </w:rPr>
      </w:pPr>
      <w:r w:rsidRPr="00F44CBD">
        <w:t>f)</w:t>
      </w:r>
      <w:r w:rsidRPr="00AF5FD5">
        <w:rPr>
          <w:i/>
          <w:iCs/>
          <w:lang w:val="fr-FR"/>
        </w:rPr>
        <w:tab/>
      </w:r>
      <w:r w:rsidR="00B25DBE" w:rsidRPr="00AF5FD5">
        <w:rPr>
          <w:i/>
          <w:iCs/>
          <w:lang w:val="fr-FR"/>
        </w:rPr>
        <w:t>Établir des groupes de travail informels pour les sujets nécessitant des connaissances particulières (par exemple les prescriptions techniques pour les systèmes de refroidissement ou de contrôle).</w:t>
      </w:r>
    </w:p>
    <w:p w:rsidR="00B25DBE" w:rsidRPr="00AF5FD5" w:rsidRDefault="00B25DBE" w:rsidP="00B25DBE">
      <w:pPr>
        <w:pStyle w:val="SingleTxtG"/>
        <w:rPr>
          <w:lang w:val="fr-FR"/>
        </w:rPr>
      </w:pPr>
      <w:r w:rsidRPr="00AF5FD5">
        <w:t>15.</w:t>
      </w:r>
      <w:r w:rsidRPr="00AF5FD5">
        <w:tab/>
      </w:r>
      <w:r w:rsidRPr="00AF5FD5">
        <w:rPr>
          <w:lang w:val="fr-FR"/>
        </w:rPr>
        <w:t>Il a été précisé que ces groupes de travail informels seraient chargés d</w:t>
      </w:r>
      <w:r w:rsidR="00E84113" w:rsidRPr="00AF5FD5">
        <w:rPr>
          <w:lang w:val="fr-FR"/>
        </w:rPr>
        <w:t>’</w:t>
      </w:r>
      <w:r w:rsidRPr="00AF5FD5">
        <w:rPr>
          <w:lang w:val="fr-FR"/>
        </w:rPr>
        <w:t>examiner des questions techniques complexes qui ne se prêtent pas à un débat en séance plénière, et de rendre compte ensuite de leurs conclusions au WP.11.</w:t>
      </w:r>
    </w:p>
    <w:p w:rsidR="00B25DBE" w:rsidRPr="00AF5FD5" w:rsidRDefault="00B25DBE" w:rsidP="00712B58">
      <w:pPr>
        <w:pStyle w:val="SingleTxtG"/>
        <w:keepNext/>
        <w:keepLines/>
        <w:ind w:firstLine="567"/>
      </w:pPr>
      <w:r w:rsidRPr="00AF5FD5">
        <w:rPr>
          <w:b/>
          <w:bCs/>
        </w:rPr>
        <w:lastRenderedPageBreak/>
        <w:t>Points g) et h)</w:t>
      </w:r>
      <w:r w:rsidR="00712B58" w:rsidRPr="00AF5FD5">
        <w:rPr>
          <w:b/>
          <w:bCs/>
        </w:rPr>
        <w:t> :</w:t>
      </w:r>
    </w:p>
    <w:p w:rsidR="00B25DBE" w:rsidRPr="00AF5FD5" w:rsidRDefault="00712B58" w:rsidP="00712B58">
      <w:pPr>
        <w:pStyle w:val="SingleTxtG"/>
        <w:ind w:left="2268" w:hanging="567"/>
        <w:rPr>
          <w:i/>
          <w:iCs/>
        </w:rPr>
      </w:pPr>
      <w:r w:rsidRPr="00F44CBD">
        <w:t>g)</w:t>
      </w:r>
      <w:r w:rsidRPr="00AF5FD5">
        <w:rPr>
          <w:i/>
          <w:iCs/>
          <w:lang w:val="fr-FR"/>
        </w:rPr>
        <w:tab/>
      </w:r>
      <w:r w:rsidR="00B25DBE" w:rsidRPr="00AF5FD5">
        <w:rPr>
          <w:i/>
          <w:iCs/>
          <w:lang w:val="fr-FR"/>
        </w:rPr>
        <w:t>Vérifier de manière générale la pertinence des normes ISO pour l</w:t>
      </w:r>
      <w:r w:rsidR="00E84113" w:rsidRPr="00AF5FD5">
        <w:rPr>
          <w:i/>
          <w:iCs/>
          <w:lang w:val="fr-FR"/>
        </w:rPr>
        <w:t>’</w:t>
      </w:r>
      <w:r w:rsidR="00B25DBE" w:rsidRPr="00AF5FD5">
        <w:rPr>
          <w:i/>
          <w:iCs/>
          <w:lang w:val="fr-FR"/>
        </w:rPr>
        <w:t>ATP, en se demandant s</w:t>
      </w:r>
      <w:r w:rsidR="00E84113" w:rsidRPr="00AF5FD5">
        <w:rPr>
          <w:i/>
          <w:iCs/>
          <w:lang w:val="fr-FR"/>
        </w:rPr>
        <w:t>’</w:t>
      </w:r>
      <w:r w:rsidR="00B25DBE" w:rsidRPr="00AF5FD5">
        <w:rPr>
          <w:i/>
          <w:iCs/>
          <w:lang w:val="fr-FR"/>
        </w:rPr>
        <w:t>il est plus utile de citer les normes existantes ou d</w:t>
      </w:r>
      <w:r w:rsidR="00E84113" w:rsidRPr="00AF5FD5">
        <w:rPr>
          <w:i/>
          <w:iCs/>
          <w:lang w:val="fr-FR"/>
        </w:rPr>
        <w:t>’</w:t>
      </w:r>
      <w:r w:rsidR="00B25DBE" w:rsidRPr="00AF5FD5">
        <w:rPr>
          <w:i/>
          <w:iCs/>
          <w:lang w:val="fr-FR"/>
        </w:rPr>
        <w:t>en élaborer de nouvelles.</w:t>
      </w:r>
    </w:p>
    <w:p w:rsidR="00B25DBE" w:rsidRPr="00AF5FD5" w:rsidRDefault="00712B58" w:rsidP="00712B58">
      <w:pPr>
        <w:pStyle w:val="SingleTxtG"/>
        <w:ind w:left="2268" w:hanging="567"/>
        <w:rPr>
          <w:i/>
          <w:iCs/>
        </w:rPr>
      </w:pPr>
      <w:r w:rsidRPr="00F44CBD">
        <w:t>h)</w:t>
      </w:r>
      <w:r w:rsidRPr="00F44CBD">
        <w:tab/>
      </w:r>
      <w:r w:rsidR="00B25DBE" w:rsidRPr="00AF5FD5">
        <w:rPr>
          <w:i/>
          <w:iCs/>
          <w:lang w:val="fr-FR"/>
        </w:rPr>
        <w:t>Envisager l</w:t>
      </w:r>
      <w:r w:rsidR="00E84113" w:rsidRPr="00AF5FD5">
        <w:rPr>
          <w:i/>
          <w:iCs/>
          <w:lang w:val="fr-FR"/>
        </w:rPr>
        <w:t>’</w:t>
      </w:r>
      <w:r w:rsidR="00B25DBE" w:rsidRPr="00AF5FD5">
        <w:rPr>
          <w:i/>
          <w:iCs/>
          <w:lang w:val="fr-FR"/>
        </w:rPr>
        <w:t>établissement d</w:t>
      </w:r>
      <w:r w:rsidR="00E84113" w:rsidRPr="00AF5FD5">
        <w:rPr>
          <w:i/>
          <w:iCs/>
          <w:lang w:val="fr-FR"/>
        </w:rPr>
        <w:t>’</w:t>
      </w:r>
      <w:r w:rsidR="00B25DBE" w:rsidRPr="00AF5FD5">
        <w:rPr>
          <w:i/>
          <w:iCs/>
          <w:lang w:val="fr-FR"/>
        </w:rPr>
        <w:t>un groupe de travail permanent sur les normes qui réviserait et actualiserait celles qui sont ou pourraient être citées dans l</w:t>
      </w:r>
      <w:r w:rsidR="00E84113" w:rsidRPr="00AF5FD5">
        <w:rPr>
          <w:i/>
          <w:iCs/>
          <w:lang w:val="fr-FR"/>
        </w:rPr>
        <w:t>’</w:t>
      </w:r>
      <w:r w:rsidR="00B25DBE" w:rsidRPr="00AF5FD5">
        <w:rPr>
          <w:i/>
          <w:iCs/>
          <w:lang w:val="fr-FR"/>
        </w:rPr>
        <w:t>ATP.</w:t>
      </w:r>
    </w:p>
    <w:p w:rsidR="00B25DBE" w:rsidRPr="00AF5FD5" w:rsidRDefault="00B25DBE" w:rsidP="00B25DBE">
      <w:pPr>
        <w:pStyle w:val="SingleTxtG"/>
        <w:rPr>
          <w:lang w:val="fr-FR"/>
        </w:rPr>
      </w:pPr>
      <w:r w:rsidRPr="00AF5FD5">
        <w:t>16.</w:t>
      </w:r>
      <w:r w:rsidRPr="00AF5FD5">
        <w:tab/>
      </w:r>
      <w:r w:rsidRPr="00AF5FD5">
        <w:rPr>
          <w:lang w:val="fr-FR"/>
        </w:rPr>
        <w:t>Le WP.11 a convenu d</w:t>
      </w:r>
      <w:r w:rsidR="00E84113" w:rsidRPr="00AF5FD5">
        <w:rPr>
          <w:lang w:val="fr-FR"/>
        </w:rPr>
        <w:t>’</w:t>
      </w:r>
      <w:r w:rsidRPr="00AF5FD5">
        <w:rPr>
          <w:lang w:val="fr-FR"/>
        </w:rPr>
        <w:t>établir un groupe de travail permanent sur les normes, jugeant que la gestion des difficultés de mise en œuvre des normes auxquelles il est fait référence dans le texte de l</w:t>
      </w:r>
      <w:r w:rsidR="00E84113" w:rsidRPr="00AF5FD5">
        <w:rPr>
          <w:lang w:val="fr-FR"/>
        </w:rPr>
        <w:t>’</w:t>
      </w:r>
      <w:r w:rsidRPr="00AF5FD5">
        <w:rPr>
          <w:lang w:val="fr-FR"/>
        </w:rPr>
        <w:t>Accord ou qui y sont introduites pour application est obligatoire, constitue un travail très important.</w:t>
      </w:r>
    </w:p>
    <w:p w:rsidR="00B25DBE" w:rsidRPr="00AF5FD5" w:rsidRDefault="00712B58" w:rsidP="00712B58">
      <w:pPr>
        <w:pStyle w:val="SingleTxtG"/>
        <w:keepNext/>
        <w:keepLines/>
        <w:ind w:firstLine="567"/>
      </w:pPr>
      <w:r w:rsidRPr="00AF5FD5">
        <w:rPr>
          <w:b/>
          <w:bCs/>
        </w:rPr>
        <w:t>Point </w:t>
      </w:r>
      <w:r w:rsidR="00B25DBE" w:rsidRPr="00AF5FD5">
        <w:rPr>
          <w:b/>
          <w:bCs/>
        </w:rPr>
        <w:t>i)</w:t>
      </w:r>
      <w:r w:rsidRPr="00AF5FD5">
        <w:rPr>
          <w:b/>
          <w:bCs/>
        </w:rPr>
        <w:t> :</w:t>
      </w:r>
    </w:p>
    <w:p w:rsidR="00B25DBE" w:rsidRPr="00AF5FD5" w:rsidRDefault="00712B58" w:rsidP="00712B58">
      <w:pPr>
        <w:pStyle w:val="SingleTxtG"/>
        <w:ind w:left="2268" w:hanging="567"/>
        <w:rPr>
          <w:i/>
          <w:iCs/>
        </w:rPr>
      </w:pPr>
      <w:r w:rsidRPr="00F44CBD">
        <w:t>i)</w:t>
      </w:r>
      <w:r w:rsidRPr="00AF5FD5">
        <w:rPr>
          <w:i/>
          <w:iCs/>
          <w:lang w:val="fr-FR"/>
        </w:rPr>
        <w:tab/>
      </w:r>
      <w:r w:rsidR="00B25DBE" w:rsidRPr="00AF5FD5">
        <w:rPr>
          <w:i/>
          <w:iCs/>
          <w:lang w:val="fr-FR"/>
        </w:rPr>
        <w:t>S</w:t>
      </w:r>
      <w:r w:rsidR="00E84113" w:rsidRPr="00AF5FD5">
        <w:rPr>
          <w:i/>
          <w:iCs/>
          <w:lang w:val="fr-FR"/>
        </w:rPr>
        <w:t>’</w:t>
      </w:r>
      <w:r w:rsidR="00B25DBE" w:rsidRPr="00AF5FD5">
        <w:rPr>
          <w:i/>
          <w:iCs/>
          <w:lang w:val="fr-FR"/>
        </w:rPr>
        <w:t>entendre sur le fait que l</w:t>
      </w:r>
      <w:r w:rsidR="00E84113" w:rsidRPr="00AF5FD5">
        <w:rPr>
          <w:i/>
          <w:iCs/>
          <w:lang w:val="fr-FR"/>
        </w:rPr>
        <w:t>’</w:t>
      </w:r>
      <w:r w:rsidR="00B25DBE" w:rsidRPr="00AF5FD5">
        <w:rPr>
          <w:i/>
          <w:iCs/>
          <w:lang w:val="fr-FR"/>
        </w:rPr>
        <w:t>Accord est l</w:t>
      </w:r>
      <w:r w:rsidR="00E84113" w:rsidRPr="00AF5FD5">
        <w:rPr>
          <w:i/>
          <w:iCs/>
          <w:lang w:val="fr-FR"/>
        </w:rPr>
        <w:t>’</w:t>
      </w:r>
      <w:r w:rsidR="00B25DBE" w:rsidRPr="00AF5FD5">
        <w:rPr>
          <w:i/>
          <w:iCs/>
          <w:lang w:val="fr-FR"/>
        </w:rPr>
        <w:t>instrument qui permet de garantir la haute qualité des produits et la protection de la santé partout dans le monde. Il est nécessaire de l</w:t>
      </w:r>
      <w:r w:rsidR="00E84113" w:rsidRPr="00AF5FD5">
        <w:rPr>
          <w:i/>
          <w:iCs/>
          <w:lang w:val="fr-FR"/>
        </w:rPr>
        <w:t>’</w:t>
      </w:r>
      <w:r w:rsidR="00B25DBE" w:rsidRPr="00AF5FD5">
        <w:rPr>
          <w:i/>
          <w:iCs/>
          <w:lang w:val="fr-FR"/>
        </w:rPr>
        <w:t>adapter aux évolutions économiques, technologiques et politiques pour maintenir son attractivité, ou le rendre plus attrayant afin d</w:t>
      </w:r>
      <w:r w:rsidR="00E84113" w:rsidRPr="00AF5FD5">
        <w:rPr>
          <w:i/>
          <w:iCs/>
          <w:lang w:val="fr-FR"/>
        </w:rPr>
        <w:t>’</w:t>
      </w:r>
      <w:r w:rsidR="00B25DBE" w:rsidRPr="00AF5FD5">
        <w:rPr>
          <w:i/>
          <w:iCs/>
          <w:lang w:val="fr-FR"/>
        </w:rPr>
        <w:t>augmenter le nombre de Parties contractantes au niveau mondial et d</w:t>
      </w:r>
      <w:r w:rsidR="00E84113" w:rsidRPr="00AF5FD5">
        <w:rPr>
          <w:i/>
          <w:iCs/>
          <w:lang w:val="fr-FR"/>
        </w:rPr>
        <w:t>’</w:t>
      </w:r>
      <w:r w:rsidR="00B25DBE" w:rsidRPr="00AF5FD5">
        <w:rPr>
          <w:i/>
          <w:iCs/>
          <w:lang w:val="fr-FR"/>
        </w:rPr>
        <w:t>accroître la portée géographique des normes de l</w:t>
      </w:r>
      <w:r w:rsidR="00E84113" w:rsidRPr="00AF5FD5">
        <w:rPr>
          <w:i/>
          <w:iCs/>
          <w:lang w:val="fr-FR"/>
        </w:rPr>
        <w:t>’</w:t>
      </w:r>
      <w:r w:rsidR="00B25DBE" w:rsidRPr="00AF5FD5">
        <w:rPr>
          <w:i/>
          <w:iCs/>
          <w:lang w:val="fr-FR"/>
        </w:rPr>
        <w:t>ATP. Il importe d</w:t>
      </w:r>
      <w:r w:rsidR="00E84113" w:rsidRPr="00AF5FD5">
        <w:rPr>
          <w:i/>
          <w:iCs/>
          <w:lang w:val="fr-FR"/>
        </w:rPr>
        <w:t>’</w:t>
      </w:r>
      <w:r w:rsidR="00B25DBE" w:rsidRPr="00AF5FD5">
        <w:rPr>
          <w:i/>
          <w:iCs/>
          <w:lang w:val="fr-FR"/>
        </w:rPr>
        <w:t>avoir à l</w:t>
      </w:r>
      <w:r w:rsidR="00E84113" w:rsidRPr="00AF5FD5">
        <w:rPr>
          <w:i/>
          <w:iCs/>
          <w:lang w:val="fr-FR"/>
        </w:rPr>
        <w:t>’</w:t>
      </w:r>
      <w:r w:rsidR="00B25DBE" w:rsidRPr="00AF5FD5">
        <w:rPr>
          <w:i/>
          <w:iCs/>
          <w:lang w:val="fr-FR"/>
        </w:rPr>
        <w:t>esprit que d</w:t>
      </w:r>
      <w:r w:rsidR="00E84113" w:rsidRPr="00AF5FD5">
        <w:rPr>
          <w:i/>
          <w:iCs/>
          <w:lang w:val="fr-FR"/>
        </w:rPr>
        <w:t>’</w:t>
      </w:r>
      <w:r w:rsidR="00B25DBE" w:rsidRPr="00AF5FD5">
        <w:rPr>
          <w:i/>
          <w:iCs/>
          <w:lang w:val="fr-FR"/>
        </w:rPr>
        <w:t>autres régions ont aujourd</w:t>
      </w:r>
      <w:r w:rsidR="00E84113" w:rsidRPr="00AF5FD5">
        <w:rPr>
          <w:i/>
          <w:iCs/>
          <w:lang w:val="fr-FR"/>
        </w:rPr>
        <w:t>’</w:t>
      </w:r>
      <w:r w:rsidR="00B25DBE" w:rsidRPr="00AF5FD5">
        <w:rPr>
          <w:i/>
          <w:iCs/>
          <w:lang w:val="fr-FR"/>
        </w:rPr>
        <w:t>hui l</w:t>
      </w:r>
      <w:r w:rsidR="00E84113" w:rsidRPr="00AF5FD5">
        <w:rPr>
          <w:i/>
          <w:iCs/>
          <w:lang w:val="fr-FR"/>
        </w:rPr>
        <w:t>’</w:t>
      </w:r>
      <w:r w:rsidR="00B25DBE" w:rsidRPr="00AF5FD5">
        <w:rPr>
          <w:i/>
          <w:iCs/>
          <w:lang w:val="fr-FR"/>
        </w:rPr>
        <w:t>ambition de jouer un rôle prépondérant dans l</w:t>
      </w:r>
      <w:r w:rsidR="00E84113" w:rsidRPr="00AF5FD5">
        <w:rPr>
          <w:i/>
          <w:iCs/>
          <w:lang w:val="fr-FR"/>
        </w:rPr>
        <w:t>’</w:t>
      </w:r>
      <w:r w:rsidR="00B25DBE" w:rsidRPr="00AF5FD5">
        <w:rPr>
          <w:i/>
          <w:iCs/>
          <w:lang w:val="fr-FR"/>
        </w:rPr>
        <w:t>élaboration des normes. Les Parties contractantes souhaiteront donc sans doute continuer à contribuer activement à l</w:t>
      </w:r>
      <w:r w:rsidR="00E84113" w:rsidRPr="00AF5FD5">
        <w:rPr>
          <w:i/>
          <w:iCs/>
          <w:lang w:val="fr-FR"/>
        </w:rPr>
        <w:t>’</w:t>
      </w:r>
      <w:r w:rsidR="00B25DBE" w:rsidRPr="00AF5FD5">
        <w:rPr>
          <w:i/>
          <w:iCs/>
          <w:lang w:val="fr-FR"/>
        </w:rPr>
        <w:t>amélioration des normes relatives au transport des denrées périssables.</w:t>
      </w:r>
    </w:p>
    <w:p w:rsidR="00B25DBE" w:rsidRPr="00AF5FD5" w:rsidRDefault="00B25DBE" w:rsidP="00B25DBE">
      <w:pPr>
        <w:pStyle w:val="SingleTxtG"/>
      </w:pPr>
      <w:r w:rsidRPr="00AF5FD5">
        <w:t>17.</w:t>
      </w:r>
      <w:r w:rsidRPr="00AF5FD5">
        <w:tab/>
      </w:r>
      <w:r w:rsidRPr="00AF5FD5">
        <w:rPr>
          <w:lang w:val="fr-FR"/>
        </w:rPr>
        <w:t>Le Groupe de travail a estimé que s</w:t>
      </w:r>
      <w:r w:rsidR="00E84113" w:rsidRPr="00AF5FD5">
        <w:rPr>
          <w:lang w:val="fr-FR"/>
        </w:rPr>
        <w:t>’</w:t>
      </w:r>
      <w:r w:rsidRPr="00AF5FD5">
        <w:rPr>
          <w:lang w:val="fr-FR"/>
        </w:rPr>
        <w:t>il pouvait être très avantageux de s</w:t>
      </w:r>
      <w:r w:rsidR="00E84113" w:rsidRPr="00AF5FD5">
        <w:rPr>
          <w:lang w:val="fr-FR"/>
        </w:rPr>
        <w:t>’</w:t>
      </w:r>
      <w:r w:rsidRPr="00AF5FD5">
        <w:rPr>
          <w:lang w:val="fr-FR"/>
        </w:rPr>
        <w:t>entendre sur la portée et les objectifs de l</w:t>
      </w:r>
      <w:r w:rsidR="00E84113" w:rsidRPr="00AF5FD5">
        <w:rPr>
          <w:lang w:val="fr-FR"/>
        </w:rPr>
        <w:t>’</w:t>
      </w:r>
      <w:r w:rsidRPr="00AF5FD5">
        <w:rPr>
          <w:lang w:val="fr-FR"/>
        </w:rPr>
        <w:t>Accord ATP, la formulation dépassait le champ d</w:t>
      </w:r>
      <w:r w:rsidR="00E84113" w:rsidRPr="00AF5FD5">
        <w:rPr>
          <w:lang w:val="fr-FR"/>
        </w:rPr>
        <w:t>’</w:t>
      </w:r>
      <w:r w:rsidRPr="00AF5FD5">
        <w:rPr>
          <w:lang w:val="fr-FR"/>
        </w:rPr>
        <w:t>application et était trop ambitieuse. C</w:t>
      </w:r>
      <w:r w:rsidRPr="00AF5FD5">
        <w:t>e point n</w:t>
      </w:r>
      <w:r w:rsidR="00E84113" w:rsidRPr="00AF5FD5">
        <w:t>’</w:t>
      </w:r>
      <w:r w:rsidRPr="00AF5FD5">
        <w:t>a donc pas été adopté.</w:t>
      </w:r>
    </w:p>
    <w:p w:rsidR="00B25DBE" w:rsidRPr="00AF5FD5" w:rsidRDefault="00712B58" w:rsidP="00712B58">
      <w:pPr>
        <w:pStyle w:val="SingleTxtG"/>
        <w:keepNext/>
        <w:keepLines/>
        <w:ind w:firstLine="567"/>
      </w:pPr>
      <w:r w:rsidRPr="00AF5FD5">
        <w:rPr>
          <w:b/>
          <w:bCs/>
        </w:rPr>
        <w:t>Points </w:t>
      </w:r>
      <w:r w:rsidR="00B25DBE" w:rsidRPr="00AF5FD5">
        <w:rPr>
          <w:b/>
          <w:bCs/>
        </w:rPr>
        <w:t>j) et k)</w:t>
      </w:r>
      <w:r w:rsidRPr="00AF5FD5">
        <w:rPr>
          <w:b/>
          <w:bCs/>
        </w:rPr>
        <w:t> :</w:t>
      </w:r>
    </w:p>
    <w:p w:rsidR="00B25DBE" w:rsidRPr="00AF5FD5" w:rsidRDefault="00712B58" w:rsidP="00712B58">
      <w:pPr>
        <w:pStyle w:val="SingleTxtG"/>
        <w:ind w:left="2268" w:hanging="567"/>
        <w:rPr>
          <w:i/>
          <w:iCs/>
        </w:rPr>
      </w:pPr>
      <w:r w:rsidRPr="00F44CBD">
        <w:t>j)</w:t>
      </w:r>
      <w:r w:rsidRPr="00AF5FD5">
        <w:rPr>
          <w:i/>
          <w:iCs/>
        </w:rPr>
        <w:tab/>
      </w:r>
      <w:r w:rsidR="00B25DBE" w:rsidRPr="00AF5FD5">
        <w:rPr>
          <w:i/>
          <w:iCs/>
        </w:rPr>
        <w:t xml:space="preserve">Convenir de modifier le cycle annuel de réunions en organisant des </w:t>
      </w:r>
      <w:r w:rsidR="00B25DBE" w:rsidRPr="00AF5FD5">
        <w:rPr>
          <w:i/>
          <w:iCs/>
        </w:rPr>
        <w:tab/>
        <w:t xml:space="preserve">réunions plus courtes, par exemple deux fois par an pendant deux ou trois </w:t>
      </w:r>
      <w:r w:rsidR="00B25DBE" w:rsidRPr="00AF5FD5">
        <w:rPr>
          <w:i/>
          <w:iCs/>
        </w:rPr>
        <w:tab/>
        <w:t>jours, ce qui favoriserait l</w:t>
      </w:r>
      <w:r w:rsidR="00E84113" w:rsidRPr="00AF5FD5">
        <w:rPr>
          <w:i/>
          <w:iCs/>
        </w:rPr>
        <w:t>’</w:t>
      </w:r>
      <w:r w:rsidR="00B25DBE" w:rsidRPr="00AF5FD5">
        <w:rPr>
          <w:i/>
          <w:iCs/>
        </w:rPr>
        <w:t xml:space="preserve">élaboration de propositions par les participants, </w:t>
      </w:r>
      <w:r w:rsidR="00B25DBE" w:rsidRPr="00AF5FD5">
        <w:rPr>
          <w:i/>
          <w:iCs/>
        </w:rPr>
        <w:tab/>
        <w:t>grâce à des débats plus rigoureux et réguliers.</w:t>
      </w:r>
    </w:p>
    <w:p w:rsidR="00B25DBE" w:rsidRPr="00AF5FD5" w:rsidRDefault="00712B58" w:rsidP="00712B58">
      <w:pPr>
        <w:pStyle w:val="SingleTxtG"/>
        <w:ind w:left="2268" w:hanging="567"/>
        <w:rPr>
          <w:i/>
          <w:iCs/>
        </w:rPr>
      </w:pPr>
      <w:r w:rsidRPr="00F44CBD">
        <w:t>k)</w:t>
      </w:r>
      <w:r w:rsidRPr="00AF5FD5">
        <w:rPr>
          <w:i/>
          <w:iCs/>
        </w:rPr>
        <w:tab/>
      </w:r>
      <w:r w:rsidR="00B25DBE" w:rsidRPr="00AF5FD5">
        <w:rPr>
          <w:i/>
          <w:iCs/>
        </w:rPr>
        <w:t>Convenir de porter la durée du cycle d</w:t>
      </w:r>
      <w:r w:rsidR="00E84113" w:rsidRPr="00AF5FD5">
        <w:rPr>
          <w:i/>
          <w:iCs/>
        </w:rPr>
        <w:t>’</w:t>
      </w:r>
      <w:r w:rsidR="00B25DBE" w:rsidRPr="00AF5FD5">
        <w:rPr>
          <w:i/>
          <w:iCs/>
        </w:rPr>
        <w:t xml:space="preserve">amendements à deux ans pour que </w:t>
      </w:r>
      <w:r w:rsidR="00B25DBE" w:rsidRPr="00AF5FD5">
        <w:rPr>
          <w:i/>
          <w:iCs/>
        </w:rPr>
        <w:tab/>
        <w:t xml:space="preserve">tous les amendements approuvés au cours des deux années précédentes </w:t>
      </w:r>
      <w:r w:rsidR="00B25DBE" w:rsidRPr="00AF5FD5">
        <w:rPr>
          <w:i/>
          <w:iCs/>
        </w:rPr>
        <w:tab/>
        <w:t xml:space="preserve">entrent en vigueur simultanément et que les dates des nouvelles versions de </w:t>
      </w:r>
      <w:r w:rsidR="00B25DBE" w:rsidRPr="00AF5FD5">
        <w:rPr>
          <w:i/>
          <w:iCs/>
        </w:rPr>
        <w:tab/>
        <w:t>l</w:t>
      </w:r>
      <w:r w:rsidR="00E84113" w:rsidRPr="00AF5FD5">
        <w:rPr>
          <w:i/>
          <w:iCs/>
        </w:rPr>
        <w:t>’</w:t>
      </w:r>
      <w:r w:rsidR="00B25DBE" w:rsidRPr="00AF5FD5">
        <w:rPr>
          <w:i/>
          <w:iCs/>
        </w:rPr>
        <w:t>ATP soient prévisibles (par exemple, le 1</w:t>
      </w:r>
      <w:r w:rsidR="00B25DBE" w:rsidRPr="00AF5FD5">
        <w:rPr>
          <w:i/>
          <w:iCs/>
          <w:vertAlign w:val="superscript"/>
        </w:rPr>
        <w:t>er</w:t>
      </w:r>
      <w:r w:rsidRPr="00AF5FD5">
        <w:rPr>
          <w:i/>
          <w:iCs/>
          <w:vertAlign w:val="superscript"/>
        </w:rPr>
        <w:t> </w:t>
      </w:r>
      <w:r w:rsidR="00B25DBE" w:rsidRPr="00AF5FD5">
        <w:rPr>
          <w:i/>
          <w:iCs/>
        </w:rPr>
        <w:t>janvier tous les deux ans).</w:t>
      </w:r>
    </w:p>
    <w:p w:rsidR="00B25DBE" w:rsidRPr="00AF5FD5" w:rsidRDefault="00B25DBE" w:rsidP="00B25DBE">
      <w:pPr>
        <w:pStyle w:val="SingleTxtG"/>
      </w:pPr>
      <w:r w:rsidRPr="00AF5FD5">
        <w:t>18.</w:t>
      </w:r>
      <w:r w:rsidRPr="00AF5FD5">
        <w:tab/>
        <w:t xml:space="preserve">Après avoir passé en revue plusieurs options, le Groupe </w:t>
      </w:r>
      <w:r w:rsidR="00712B58" w:rsidRPr="00AF5FD5">
        <w:t>de travail a décidé de porter à </w:t>
      </w:r>
      <w:r w:rsidRPr="00AF5FD5">
        <w:t xml:space="preserve">3 le nombre de sessions sur la période biennale, une session étant organisée au </w:t>
      </w:r>
      <w:r w:rsidR="00712B58" w:rsidRPr="00AF5FD5">
        <w:t>cours de la première année et 2 </w:t>
      </w:r>
      <w:r w:rsidRPr="00AF5FD5">
        <w:t>au cours de la seconde. Il a également décidé de porter la durée du cycle d</w:t>
      </w:r>
      <w:r w:rsidR="00E84113" w:rsidRPr="00AF5FD5">
        <w:t>’</w:t>
      </w:r>
      <w:r w:rsidRPr="00AF5FD5">
        <w:t xml:space="preserve">amendements à </w:t>
      </w:r>
      <w:r w:rsidR="00712B58" w:rsidRPr="00AF5FD5">
        <w:t xml:space="preserve">deux </w:t>
      </w:r>
      <w:r w:rsidRPr="00AF5FD5">
        <w:t>ans, moyennant la possibilité d</w:t>
      </w:r>
      <w:r w:rsidR="00E84113" w:rsidRPr="00AF5FD5">
        <w:t>’</w:t>
      </w:r>
      <w:r w:rsidRPr="00AF5FD5">
        <w:t>annoncer des amendements relatifs à des questions urgentes à tout moment durant le cycle.</w:t>
      </w:r>
    </w:p>
    <w:p w:rsidR="00B25DBE" w:rsidRPr="00AF5FD5" w:rsidRDefault="00B25DBE" w:rsidP="00B25DBE">
      <w:pPr>
        <w:pStyle w:val="SingleTxtG"/>
      </w:pPr>
      <w:r w:rsidRPr="00AF5FD5">
        <w:t>19.</w:t>
      </w:r>
      <w:r w:rsidRPr="00AF5FD5">
        <w:tab/>
      </w:r>
      <w:r w:rsidRPr="00AF5FD5">
        <w:rPr>
          <w:lang w:val="fr-FR"/>
        </w:rPr>
        <w:t>D</w:t>
      </w:r>
      <w:r w:rsidR="00E84113" w:rsidRPr="00AF5FD5">
        <w:rPr>
          <w:lang w:val="fr-FR"/>
        </w:rPr>
        <w:t>’</w:t>
      </w:r>
      <w:r w:rsidRPr="00AF5FD5">
        <w:rPr>
          <w:lang w:val="fr-FR"/>
        </w:rPr>
        <w:t>autres façons d</w:t>
      </w:r>
      <w:r w:rsidR="00E84113" w:rsidRPr="00AF5FD5">
        <w:rPr>
          <w:lang w:val="fr-FR"/>
        </w:rPr>
        <w:t>’</w:t>
      </w:r>
      <w:r w:rsidRPr="00AF5FD5">
        <w:rPr>
          <w:lang w:val="fr-FR"/>
        </w:rPr>
        <w:t>améliorer le fonctionnement et d</w:t>
      </w:r>
      <w:r w:rsidR="00E84113" w:rsidRPr="00AF5FD5">
        <w:rPr>
          <w:lang w:val="fr-FR"/>
        </w:rPr>
        <w:t>’</w:t>
      </w:r>
      <w:r w:rsidRPr="00AF5FD5">
        <w:rPr>
          <w:lang w:val="fr-FR"/>
        </w:rPr>
        <w:t>accroître l</w:t>
      </w:r>
      <w:r w:rsidR="00E84113" w:rsidRPr="00AF5FD5">
        <w:rPr>
          <w:lang w:val="fr-FR"/>
        </w:rPr>
        <w:t>’</w:t>
      </w:r>
      <w:r w:rsidRPr="00AF5FD5">
        <w:rPr>
          <w:lang w:val="fr-FR"/>
        </w:rPr>
        <w:t xml:space="preserve">efficacité du WP.11 ont été évoquées : </w:t>
      </w:r>
    </w:p>
    <w:p w:rsidR="00B25DBE" w:rsidRPr="00AF5FD5" w:rsidRDefault="00B25DBE" w:rsidP="00712B58">
      <w:pPr>
        <w:pStyle w:val="SingleTxtG"/>
        <w:ind w:firstLine="567"/>
      </w:pPr>
      <w:r w:rsidRPr="00AF5FD5">
        <w:t>a)</w:t>
      </w:r>
      <w:r w:rsidRPr="00AF5FD5">
        <w:tab/>
      </w:r>
      <w:r w:rsidRPr="00AF5FD5">
        <w:rPr>
          <w:lang w:val="fr-FR"/>
        </w:rPr>
        <w:t>Augmenter le nombre des amendements adoptés en prenant la responsabilité de négocier des propositions avec d</w:t>
      </w:r>
      <w:r w:rsidR="00E84113" w:rsidRPr="00AF5FD5">
        <w:rPr>
          <w:lang w:val="fr-FR"/>
        </w:rPr>
        <w:t>’</w:t>
      </w:r>
      <w:r w:rsidRPr="00AF5FD5">
        <w:rPr>
          <w:lang w:val="fr-FR"/>
        </w:rPr>
        <w:t xml:space="preserve">autres Parties contractantes avant de les soumettre. Les </w:t>
      </w:r>
      <w:r w:rsidRPr="00AF5FD5">
        <w:t>représentants ont également été encouragés à faire le nécessaire pour venir aux réunions en étant prêts à prendre des décisions sur les propositions et à faire preuve d</w:t>
      </w:r>
      <w:r w:rsidR="00E84113" w:rsidRPr="00AF5FD5">
        <w:t>’</w:t>
      </w:r>
      <w:r w:rsidRPr="00AF5FD5">
        <w:t>une certaine souplesse lorsque d</w:t>
      </w:r>
      <w:r w:rsidR="00712B58" w:rsidRPr="00AF5FD5">
        <w:t>es modifications sont proposées ;</w:t>
      </w:r>
    </w:p>
    <w:p w:rsidR="00B25DBE" w:rsidRPr="00AF5FD5" w:rsidRDefault="00B25DBE" w:rsidP="00712B58">
      <w:pPr>
        <w:pStyle w:val="SingleTxtG"/>
        <w:ind w:firstLine="567"/>
        <w:rPr>
          <w:lang w:val="fr-FR"/>
        </w:rPr>
      </w:pPr>
      <w:r w:rsidRPr="00AF5FD5">
        <w:t>b)</w:t>
      </w:r>
      <w:r w:rsidRPr="00AF5FD5">
        <w:tab/>
        <w:t>S</w:t>
      </w:r>
      <w:r w:rsidR="00E84113" w:rsidRPr="00AF5FD5">
        <w:t>’</w:t>
      </w:r>
      <w:r w:rsidRPr="00AF5FD5">
        <w:t>entendre sur l</w:t>
      </w:r>
      <w:r w:rsidR="00E84113" w:rsidRPr="00AF5FD5">
        <w:t>’</w:t>
      </w:r>
      <w:r w:rsidRPr="00AF5FD5">
        <w:t>utilisation efficace des outils de communication tels que les documents de travail, les documents informels et les débats sur les propositions au cours des réunions</w:t>
      </w:r>
      <w:r w:rsidR="00712B58" w:rsidRPr="00AF5FD5">
        <w:rPr>
          <w:lang w:val="fr-FR"/>
        </w:rPr>
        <w:t>, comme indiqué au point 6 </w:t>
      </w:r>
      <w:r w:rsidRPr="00AF5FD5">
        <w:rPr>
          <w:lang w:val="fr-FR"/>
        </w:rPr>
        <w:t>b) du document.</w:t>
      </w:r>
    </w:p>
    <w:p w:rsidR="00B25DBE" w:rsidRPr="00AF5FD5" w:rsidRDefault="00B25DBE" w:rsidP="00B25DBE">
      <w:pPr>
        <w:pStyle w:val="SingleTxtG"/>
        <w:rPr>
          <w:lang w:val="fr-FR"/>
        </w:rPr>
      </w:pPr>
      <w:r w:rsidRPr="00AF5FD5">
        <w:t>20.</w:t>
      </w:r>
      <w:r w:rsidRPr="00AF5FD5">
        <w:tab/>
      </w:r>
      <w:r w:rsidRPr="00AF5FD5">
        <w:rPr>
          <w:lang w:val="fr-FR"/>
        </w:rPr>
        <w:t>S</w:t>
      </w:r>
      <w:r w:rsidR="00E84113" w:rsidRPr="00AF5FD5">
        <w:rPr>
          <w:lang w:val="fr-FR"/>
        </w:rPr>
        <w:t>’</w:t>
      </w:r>
      <w:r w:rsidRPr="00AF5FD5">
        <w:rPr>
          <w:lang w:val="fr-FR"/>
        </w:rPr>
        <w:t>agissant du recours aux accords multilatéraux ou bilatéraux, le Groupe de travail a décidé qu</w:t>
      </w:r>
      <w:r w:rsidR="00E84113" w:rsidRPr="00AF5FD5">
        <w:rPr>
          <w:lang w:val="fr-FR"/>
        </w:rPr>
        <w:t>’</w:t>
      </w:r>
      <w:r w:rsidRPr="00AF5FD5">
        <w:rPr>
          <w:lang w:val="fr-FR"/>
        </w:rPr>
        <w:t>en vue de mo</w:t>
      </w:r>
      <w:r w:rsidR="00712B58" w:rsidRPr="00AF5FD5">
        <w:rPr>
          <w:lang w:val="fr-FR"/>
        </w:rPr>
        <w:t>difier l</w:t>
      </w:r>
      <w:r w:rsidR="00E84113" w:rsidRPr="00AF5FD5">
        <w:rPr>
          <w:lang w:val="fr-FR"/>
        </w:rPr>
        <w:t>’</w:t>
      </w:r>
      <w:r w:rsidR="00712B58" w:rsidRPr="00AF5FD5">
        <w:rPr>
          <w:lang w:val="fr-FR"/>
        </w:rPr>
        <w:t>article </w:t>
      </w:r>
      <w:r w:rsidRPr="00AF5FD5">
        <w:rPr>
          <w:lang w:val="fr-FR"/>
        </w:rPr>
        <w:t>7 de l</w:t>
      </w:r>
      <w:r w:rsidR="00E84113" w:rsidRPr="00AF5FD5">
        <w:rPr>
          <w:lang w:val="fr-FR"/>
        </w:rPr>
        <w:t>’</w:t>
      </w:r>
      <w:r w:rsidRPr="00AF5FD5">
        <w:rPr>
          <w:lang w:val="fr-FR"/>
        </w:rPr>
        <w:t>ATP, une proposition officielle devrait être soumise par une partie intéressée et examinée avec soin lors d</w:t>
      </w:r>
      <w:r w:rsidR="00E84113" w:rsidRPr="00AF5FD5">
        <w:rPr>
          <w:lang w:val="fr-FR"/>
        </w:rPr>
        <w:t>’</w:t>
      </w:r>
      <w:r w:rsidRPr="00AF5FD5">
        <w:rPr>
          <w:lang w:val="fr-FR"/>
        </w:rPr>
        <w:t>une prochaine session.</w:t>
      </w:r>
    </w:p>
    <w:p w:rsidR="00B25DBE" w:rsidRPr="00AF5FD5" w:rsidRDefault="00B25DBE" w:rsidP="00B25DBE">
      <w:pPr>
        <w:pStyle w:val="SingleTxtG"/>
        <w:rPr>
          <w:lang w:val="fr-FR"/>
        </w:rPr>
      </w:pPr>
      <w:r w:rsidRPr="00AF5FD5">
        <w:lastRenderedPageBreak/>
        <w:t>21.</w:t>
      </w:r>
      <w:r w:rsidRPr="00AF5FD5">
        <w:tab/>
      </w:r>
      <w:r w:rsidRPr="00AF5FD5">
        <w:rPr>
          <w:lang w:val="fr-FR"/>
        </w:rPr>
        <w:t>Le WP.11 a décidé de ne pas modifier son r</w:t>
      </w:r>
      <w:r w:rsidR="00712B58" w:rsidRPr="00AF5FD5">
        <w:rPr>
          <w:lang w:val="fr-FR"/>
        </w:rPr>
        <w:t>èglement intérieur ni l</w:t>
      </w:r>
      <w:r w:rsidR="00E84113" w:rsidRPr="00AF5FD5">
        <w:rPr>
          <w:lang w:val="fr-FR"/>
        </w:rPr>
        <w:t>’</w:t>
      </w:r>
      <w:r w:rsidR="00712B58" w:rsidRPr="00AF5FD5">
        <w:rPr>
          <w:lang w:val="fr-FR"/>
        </w:rPr>
        <w:t>article </w:t>
      </w:r>
      <w:r w:rsidRPr="00AF5FD5">
        <w:rPr>
          <w:lang w:val="fr-FR"/>
        </w:rPr>
        <w:t>18 de l</w:t>
      </w:r>
      <w:r w:rsidR="00E84113" w:rsidRPr="00AF5FD5">
        <w:rPr>
          <w:lang w:val="fr-FR"/>
        </w:rPr>
        <w:t>’</w:t>
      </w:r>
      <w:r w:rsidRPr="00AF5FD5">
        <w:rPr>
          <w:lang w:val="fr-FR"/>
        </w:rPr>
        <w:t>ATP en vue de supprimer la clause de consensus, estimant qu</w:t>
      </w:r>
      <w:r w:rsidR="00E84113" w:rsidRPr="00AF5FD5">
        <w:rPr>
          <w:lang w:val="fr-FR"/>
        </w:rPr>
        <w:t>’</w:t>
      </w:r>
      <w:r w:rsidRPr="00AF5FD5">
        <w:rPr>
          <w:lang w:val="fr-FR"/>
        </w:rPr>
        <w:t>il y avait d</w:t>
      </w:r>
      <w:r w:rsidR="00E84113" w:rsidRPr="00AF5FD5">
        <w:rPr>
          <w:lang w:val="fr-FR"/>
        </w:rPr>
        <w:t>’</w:t>
      </w:r>
      <w:r w:rsidRPr="00AF5FD5">
        <w:rPr>
          <w:lang w:val="fr-FR"/>
        </w:rPr>
        <w:t>autres moyens d</w:t>
      </w:r>
      <w:r w:rsidR="00E84113" w:rsidRPr="00AF5FD5">
        <w:rPr>
          <w:lang w:val="fr-FR"/>
        </w:rPr>
        <w:t>’</w:t>
      </w:r>
      <w:r w:rsidRPr="00AF5FD5">
        <w:rPr>
          <w:lang w:val="fr-FR"/>
        </w:rPr>
        <w:t>augmenter le nombre des amendements adoptés et de maintenir la pertinence de l</w:t>
      </w:r>
      <w:r w:rsidR="00E84113" w:rsidRPr="00AF5FD5">
        <w:rPr>
          <w:lang w:val="fr-FR"/>
        </w:rPr>
        <w:t>’</w:t>
      </w:r>
      <w:r w:rsidRPr="00AF5FD5">
        <w:rPr>
          <w:lang w:val="fr-FR"/>
        </w:rPr>
        <w:t>Accord. Il a encouragé ses membres à faire davantage d</w:t>
      </w:r>
      <w:r w:rsidR="00E84113" w:rsidRPr="00AF5FD5">
        <w:rPr>
          <w:lang w:val="fr-FR"/>
        </w:rPr>
        <w:t>’</w:t>
      </w:r>
      <w:r w:rsidRPr="00AF5FD5">
        <w:rPr>
          <w:lang w:val="fr-FR"/>
        </w:rPr>
        <w:t>efforts entre les sessions pour négocier les propositions et à expliquer clairement les raisons de leurs refus, de sorte que les propositions puissent être améliorées. Il a également été suggéré de faire une distinction claire entre les articles de l</w:t>
      </w:r>
      <w:r w:rsidR="00E84113" w:rsidRPr="00AF5FD5">
        <w:rPr>
          <w:lang w:val="fr-FR"/>
        </w:rPr>
        <w:t>’</w:t>
      </w:r>
      <w:r w:rsidRPr="00AF5FD5">
        <w:rPr>
          <w:lang w:val="fr-FR"/>
        </w:rPr>
        <w:t>Accord et les dispositions ou conditions techniques, pour faciliter l</w:t>
      </w:r>
      <w:r w:rsidR="00E84113" w:rsidRPr="00AF5FD5">
        <w:rPr>
          <w:lang w:val="fr-FR"/>
        </w:rPr>
        <w:t>’</w:t>
      </w:r>
      <w:r w:rsidRPr="00AF5FD5">
        <w:rPr>
          <w:lang w:val="fr-FR"/>
        </w:rPr>
        <w:t>adoption des amendements à caractère technique.</w:t>
      </w:r>
    </w:p>
    <w:p w:rsidR="00B25DBE" w:rsidRPr="00AF5FD5" w:rsidRDefault="00B25DBE" w:rsidP="0048024C">
      <w:pPr>
        <w:pStyle w:val="SingleTxtG"/>
        <w:keepNext/>
        <w:keepLines/>
      </w:pPr>
      <w:r w:rsidRPr="00AF5FD5">
        <w:rPr>
          <w:lang w:val="fr-FR"/>
        </w:rPr>
        <w:t>22.</w:t>
      </w:r>
      <w:r w:rsidRPr="00AF5FD5">
        <w:rPr>
          <w:lang w:val="fr-FR"/>
        </w:rPr>
        <w:tab/>
      </w:r>
      <w:bookmarkStart w:id="11" w:name="_Hlk527640385"/>
      <w:r w:rsidRPr="00AF5FD5">
        <w:rPr>
          <w:lang w:val="fr-FR"/>
        </w:rPr>
        <w:t>Il a été décidé que les mesures suivantes devraient être prises pour appliquer de façon plu</w:t>
      </w:r>
      <w:r w:rsidR="00712B58" w:rsidRPr="00AF5FD5">
        <w:rPr>
          <w:lang w:val="fr-FR"/>
        </w:rPr>
        <w:t>s uniforme le texte de l</w:t>
      </w:r>
      <w:r w:rsidR="00E84113" w:rsidRPr="00AF5FD5">
        <w:rPr>
          <w:lang w:val="fr-FR"/>
        </w:rPr>
        <w:t>’</w:t>
      </w:r>
      <w:r w:rsidR="00712B58" w:rsidRPr="00AF5FD5">
        <w:rPr>
          <w:lang w:val="fr-FR"/>
        </w:rPr>
        <w:t>Accord :</w:t>
      </w:r>
    </w:p>
    <w:p w:rsidR="00B25DBE" w:rsidRPr="00AF5FD5" w:rsidRDefault="00B25DBE" w:rsidP="00712B58">
      <w:pPr>
        <w:pStyle w:val="SingleTxtG"/>
        <w:ind w:firstLine="567"/>
        <w:rPr>
          <w:lang w:val="fr-FR"/>
        </w:rPr>
      </w:pPr>
      <w:r w:rsidRPr="00AF5FD5">
        <w:t>a)</w:t>
      </w:r>
      <w:r w:rsidRPr="00AF5FD5">
        <w:tab/>
      </w:r>
      <w:r w:rsidRPr="00AF5FD5">
        <w:rPr>
          <w:lang w:val="fr-FR"/>
        </w:rPr>
        <w:t>Une base de données unique contenant les modèles d</w:t>
      </w:r>
      <w:r w:rsidR="00E84113" w:rsidRPr="00AF5FD5">
        <w:rPr>
          <w:lang w:val="fr-FR"/>
        </w:rPr>
        <w:t>’</w:t>
      </w:r>
      <w:r w:rsidRPr="00AF5FD5">
        <w:rPr>
          <w:lang w:val="fr-FR"/>
        </w:rPr>
        <w:t>attestation ATP pourrait être établie pour réduire les possibilités de falsification et d</w:t>
      </w:r>
      <w:r w:rsidR="00E84113" w:rsidRPr="00AF5FD5">
        <w:rPr>
          <w:lang w:val="fr-FR"/>
        </w:rPr>
        <w:t>’</w:t>
      </w:r>
      <w:r w:rsidRPr="00AF5FD5">
        <w:rPr>
          <w:lang w:val="fr-FR"/>
        </w:rPr>
        <w:t>abus, ainsi que pour simplifier la procédure de délivrance de nouvelles attestations ATP en cas de transfert d</w:t>
      </w:r>
      <w:r w:rsidR="00E84113" w:rsidRPr="00AF5FD5">
        <w:rPr>
          <w:lang w:val="fr-FR"/>
        </w:rPr>
        <w:t>’</w:t>
      </w:r>
      <w:r w:rsidRPr="00AF5FD5">
        <w:rPr>
          <w:lang w:val="fr-FR"/>
        </w:rPr>
        <w:t>un engin spécial à un autre État ;</w:t>
      </w:r>
    </w:p>
    <w:p w:rsidR="00B25DBE" w:rsidRPr="00AF5FD5" w:rsidRDefault="00B25DBE" w:rsidP="00712B58">
      <w:pPr>
        <w:pStyle w:val="SingleTxtG"/>
        <w:ind w:firstLine="567"/>
      </w:pPr>
      <w:r w:rsidRPr="00AF5FD5">
        <w:rPr>
          <w:lang w:val="fr-FR"/>
        </w:rPr>
        <w:t>b)</w:t>
      </w:r>
      <w:r w:rsidRPr="00AF5FD5">
        <w:rPr>
          <w:lang w:val="fr-FR"/>
        </w:rPr>
        <w:tab/>
        <w:t>Les Parties contractantes devraient s</w:t>
      </w:r>
      <w:r w:rsidR="00E84113" w:rsidRPr="00AF5FD5">
        <w:rPr>
          <w:lang w:val="fr-FR"/>
        </w:rPr>
        <w:t>’</w:t>
      </w:r>
      <w:r w:rsidRPr="00AF5FD5">
        <w:rPr>
          <w:lang w:val="fr-FR"/>
        </w:rPr>
        <w:t>efforcer d</w:t>
      </w:r>
      <w:r w:rsidR="00E84113" w:rsidRPr="00AF5FD5">
        <w:rPr>
          <w:lang w:val="fr-FR"/>
        </w:rPr>
        <w:t>’</w:t>
      </w:r>
      <w:r w:rsidRPr="00AF5FD5">
        <w:rPr>
          <w:lang w:val="fr-FR"/>
        </w:rPr>
        <w:t>uniformiser les procédures d</w:t>
      </w:r>
      <w:r w:rsidR="00E84113" w:rsidRPr="00AF5FD5">
        <w:rPr>
          <w:lang w:val="fr-FR"/>
        </w:rPr>
        <w:t>’</w:t>
      </w:r>
      <w:r w:rsidRPr="00AF5FD5">
        <w:rPr>
          <w:lang w:val="fr-FR"/>
        </w:rPr>
        <w:t>application effective, de contrôle et de sanction des différents pays. Le WP.11 a été encouragé à étudier la façon dont d</w:t>
      </w:r>
      <w:r w:rsidR="00E84113" w:rsidRPr="00AF5FD5">
        <w:rPr>
          <w:lang w:val="fr-FR"/>
        </w:rPr>
        <w:t>’</w:t>
      </w:r>
      <w:r w:rsidRPr="00AF5FD5">
        <w:rPr>
          <w:lang w:val="fr-FR"/>
        </w:rPr>
        <w:t>autres groupes de travail gèrent des problèmes semblables d</w:t>
      </w:r>
      <w:r w:rsidR="00E84113" w:rsidRPr="00AF5FD5">
        <w:rPr>
          <w:lang w:val="fr-FR"/>
        </w:rPr>
        <w:t>’</w:t>
      </w:r>
      <w:r w:rsidRPr="00AF5FD5">
        <w:rPr>
          <w:lang w:val="fr-FR"/>
        </w:rPr>
        <w:t>harmonisation et de mise en œuvre ainsi qu</w:t>
      </w:r>
      <w:r w:rsidR="00E84113" w:rsidRPr="00AF5FD5">
        <w:rPr>
          <w:lang w:val="fr-FR"/>
        </w:rPr>
        <w:t>’</w:t>
      </w:r>
      <w:r w:rsidRPr="00AF5FD5">
        <w:rPr>
          <w:lang w:val="fr-FR"/>
        </w:rPr>
        <w:t>à prendre note des meilleures pratiques.</w:t>
      </w:r>
    </w:p>
    <w:bookmarkEnd w:id="11"/>
    <w:p w:rsidR="00B25DBE" w:rsidRPr="00AF5FD5" w:rsidRDefault="00B25DBE" w:rsidP="00712B58">
      <w:pPr>
        <w:pStyle w:val="HChG"/>
        <w:rPr>
          <w:lang w:val="fr-FR"/>
        </w:rPr>
      </w:pPr>
      <w:r w:rsidRPr="00AF5FD5">
        <w:tab/>
      </w:r>
      <w:bookmarkStart w:id="12" w:name="_Toc528146961"/>
      <w:r w:rsidRPr="00AF5FD5">
        <w:t>IV.</w:t>
      </w:r>
      <w:r w:rsidRPr="00AF5FD5">
        <w:tab/>
      </w:r>
      <w:r w:rsidRPr="00AF5FD5">
        <w:rPr>
          <w:lang w:val="fr-FR"/>
        </w:rPr>
        <w:t>Activités des organes de la CEE intéressa</w:t>
      </w:r>
      <w:r w:rsidR="00712B58" w:rsidRPr="00AF5FD5">
        <w:rPr>
          <w:lang w:val="fr-FR"/>
        </w:rPr>
        <w:t xml:space="preserve">nt le Groupe </w:t>
      </w:r>
      <w:r w:rsidR="00712B58" w:rsidRPr="00AF5FD5">
        <w:rPr>
          <w:lang w:val="fr-FR"/>
        </w:rPr>
        <w:br/>
        <w:t>de travail (point </w:t>
      </w:r>
      <w:r w:rsidRPr="00AF5FD5">
        <w:rPr>
          <w:lang w:val="fr-FR"/>
        </w:rPr>
        <w:t>3 de l</w:t>
      </w:r>
      <w:r w:rsidR="00E84113" w:rsidRPr="00AF5FD5">
        <w:rPr>
          <w:lang w:val="fr-FR"/>
        </w:rPr>
        <w:t>’</w:t>
      </w:r>
      <w:r w:rsidRPr="00AF5FD5">
        <w:rPr>
          <w:lang w:val="fr-FR"/>
        </w:rPr>
        <w:t>ordre du jour)</w:t>
      </w:r>
      <w:bookmarkEnd w:id="12"/>
    </w:p>
    <w:p w:rsidR="00B25DBE" w:rsidRPr="00AF5FD5" w:rsidRDefault="00B25DBE" w:rsidP="00712B58">
      <w:pPr>
        <w:pStyle w:val="H1G"/>
      </w:pPr>
      <w:r w:rsidRPr="00AF5FD5">
        <w:tab/>
      </w:r>
      <w:bookmarkStart w:id="13" w:name="_Toc528146962"/>
      <w:r w:rsidRPr="00AF5FD5">
        <w:t>A.</w:t>
      </w:r>
      <w:r w:rsidRPr="00AF5FD5">
        <w:tab/>
      </w:r>
      <w:r w:rsidRPr="00AF5FD5">
        <w:rPr>
          <w:lang w:val="fr-FR"/>
        </w:rPr>
        <w:t>Comité des transports intérieurs</w:t>
      </w:r>
      <w:bookmarkEnd w:id="13"/>
    </w:p>
    <w:p w:rsidR="00B25DBE" w:rsidRPr="00AF5FD5" w:rsidRDefault="00B25DBE" w:rsidP="00B25DBE">
      <w:pPr>
        <w:pStyle w:val="SingleTxtG"/>
      </w:pPr>
      <w:r w:rsidRPr="00AF5FD5">
        <w:t>23.</w:t>
      </w:r>
      <w:r w:rsidRPr="00AF5FD5">
        <w:tab/>
        <w:t>Le Groupe de travail a été informé des résultats de la quatre-vingtième session du Comité des tra</w:t>
      </w:r>
      <w:r w:rsidR="00712B58" w:rsidRPr="00AF5FD5">
        <w:t>nsports intérieurs (CTI) (20-23 </w:t>
      </w:r>
      <w:r w:rsidRPr="00AF5FD5">
        <w:t>février 2018) qui sont présentés dans le rapport</w:t>
      </w:r>
      <w:r w:rsidR="00712B58" w:rsidRPr="00AF5FD5">
        <w:t xml:space="preserve"> du Groupe (ECE/TRANS/274, par. </w:t>
      </w:r>
      <w:r w:rsidRPr="00AF5FD5">
        <w:t>104 à 108).</w:t>
      </w:r>
    </w:p>
    <w:p w:rsidR="00B25DBE" w:rsidRPr="00AF5FD5" w:rsidRDefault="00B25DBE" w:rsidP="00B25DBE">
      <w:pPr>
        <w:pStyle w:val="SingleTxtG"/>
      </w:pPr>
      <w:r w:rsidRPr="00AF5FD5">
        <w:t>24.</w:t>
      </w:r>
      <w:r w:rsidRPr="00AF5FD5">
        <w:tab/>
      </w:r>
      <w:r w:rsidRPr="00AF5FD5">
        <w:rPr>
          <w:lang w:val="fr-FR"/>
        </w:rPr>
        <w:t>Le Comité des transports intérieurs a adopté les rapports de ses organes subsidiaires (ECE/TRANS/274, par. </w:t>
      </w:r>
      <w:r w:rsidR="00E22585">
        <w:rPr>
          <w:lang w:val="fr-FR"/>
        </w:rPr>
        <w:t>118</w:t>
      </w:r>
      <w:r w:rsidRPr="00AF5FD5">
        <w:rPr>
          <w:lang w:val="fr-FR"/>
        </w:rPr>
        <w:t>).</w:t>
      </w:r>
    </w:p>
    <w:p w:rsidR="00B25DBE" w:rsidRPr="00AF5FD5" w:rsidRDefault="00B25DBE" w:rsidP="002D7AC2">
      <w:pPr>
        <w:pStyle w:val="SingleTxtG"/>
        <w:ind w:left="3119" w:hanging="1985"/>
      </w:pPr>
      <w:r w:rsidRPr="00AF5FD5">
        <w:rPr>
          <w:i/>
        </w:rPr>
        <w:t>Document</w:t>
      </w:r>
      <w:r w:rsidR="00712B58" w:rsidRPr="00AF5FD5">
        <w:rPr>
          <w:i/>
        </w:rPr>
        <w:t> </w:t>
      </w:r>
      <w:r w:rsidR="00712B58" w:rsidRPr="00AF5FD5">
        <w:t>:</w:t>
      </w:r>
      <w:r w:rsidR="002D7AC2" w:rsidRPr="00AF5FD5">
        <w:tab/>
      </w:r>
      <w:r w:rsidRPr="00AF5FD5">
        <w:t>ECE/TRANS/WP.11/2018/2 (secrétariat)</w:t>
      </w:r>
      <w:r w:rsidR="00712B58" w:rsidRPr="00AF5FD5">
        <w:t>.</w:t>
      </w:r>
    </w:p>
    <w:p w:rsidR="00B25DBE" w:rsidRPr="00AF5FD5" w:rsidRDefault="00B25DBE" w:rsidP="00B25DBE">
      <w:pPr>
        <w:pStyle w:val="SingleTxtG"/>
        <w:rPr>
          <w:lang w:val="fr-FR"/>
        </w:rPr>
      </w:pPr>
      <w:r w:rsidRPr="00AF5FD5">
        <w:t>25.</w:t>
      </w:r>
      <w:r w:rsidRPr="00AF5FD5">
        <w:tab/>
      </w:r>
      <w:r w:rsidRPr="00AF5FD5">
        <w:rPr>
          <w:lang w:val="fr-FR"/>
        </w:rPr>
        <w:t>Le WP.11 a été informé que le CTI avait pris note des changements qu</w:t>
      </w:r>
      <w:r w:rsidR="00E84113" w:rsidRPr="00AF5FD5">
        <w:rPr>
          <w:lang w:val="fr-FR"/>
        </w:rPr>
        <w:t>’</w:t>
      </w:r>
      <w:r w:rsidRPr="00AF5FD5">
        <w:rPr>
          <w:lang w:val="fr-FR"/>
        </w:rPr>
        <w:t>il était proposé d</w:t>
      </w:r>
      <w:r w:rsidR="00E84113" w:rsidRPr="00AF5FD5">
        <w:rPr>
          <w:lang w:val="fr-FR"/>
        </w:rPr>
        <w:t>’</w:t>
      </w:r>
      <w:r w:rsidRPr="00AF5FD5">
        <w:rPr>
          <w:lang w:val="fr-FR"/>
        </w:rPr>
        <w:t>apporter au Règlement intérieur, comme indiqué dans le document ECE/TRANS/WP.11/237, et qu</w:t>
      </w:r>
      <w:r w:rsidR="00E84113" w:rsidRPr="00AF5FD5">
        <w:rPr>
          <w:lang w:val="fr-FR"/>
        </w:rPr>
        <w:t>’</w:t>
      </w:r>
      <w:r w:rsidRPr="00AF5FD5">
        <w:rPr>
          <w:lang w:val="fr-FR"/>
        </w:rPr>
        <w:t>il avait recommandé, à la demande de la Fédération de Russie, que cette question soit examinée plus avant au sein du WP.11. Au cours de la table ronde, il a été décidé de ne pas modifier le Règlement intérieur à ce stade.</w:t>
      </w:r>
    </w:p>
    <w:p w:rsidR="00B25DBE" w:rsidRPr="00AF5FD5" w:rsidRDefault="00B25DBE" w:rsidP="002D7AC2">
      <w:pPr>
        <w:pStyle w:val="SingleTxtG"/>
        <w:ind w:left="3119" w:hanging="1985"/>
      </w:pPr>
      <w:r w:rsidRPr="00AF5FD5">
        <w:rPr>
          <w:i/>
        </w:rPr>
        <w:t>Document informel</w:t>
      </w:r>
      <w:r w:rsidR="00712B58" w:rsidRPr="00AF5FD5">
        <w:rPr>
          <w:i/>
        </w:rPr>
        <w:t> </w:t>
      </w:r>
      <w:r w:rsidRPr="00AF5FD5">
        <w:t>:</w:t>
      </w:r>
      <w:r w:rsidRPr="00AF5FD5">
        <w:tab/>
        <w:t>INF.15 (secrétariat)</w:t>
      </w:r>
      <w:r w:rsidR="00712B58" w:rsidRPr="00AF5FD5">
        <w:t>.</w:t>
      </w:r>
    </w:p>
    <w:p w:rsidR="00B25DBE" w:rsidRPr="00AF5FD5" w:rsidRDefault="00B25DBE" w:rsidP="00B25DBE">
      <w:pPr>
        <w:pStyle w:val="SingleTxtG"/>
        <w:rPr>
          <w:lang w:val="fr-FR"/>
        </w:rPr>
      </w:pPr>
      <w:r w:rsidRPr="00AF5FD5">
        <w:t>26.</w:t>
      </w:r>
      <w:r w:rsidRPr="00AF5FD5">
        <w:tab/>
      </w:r>
      <w:r w:rsidRPr="00AF5FD5">
        <w:rPr>
          <w:lang w:val="fr-FR"/>
        </w:rPr>
        <w:t>Le Secrétaire du CTI a présenté la proposition de nouvelle stratégie du Comité en faveur de la mobilité durable. Il a expliqué que cette stratégie était fondée sur la résolution ministérielle (ECE/TRANS/2017/2) adoptée lors du soixante-dixième anniversaire du CTI et qu</w:t>
      </w:r>
      <w:r w:rsidR="00E84113" w:rsidRPr="00AF5FD5">
        <w:rPr>
          <w:lang w:val="fr-FR"/>
        </w:rPr>
        <w:t>’</w:t>
      </w:r>
      <w:r w:rsidRPr="00AF5FD5">
        <w:rPr>
          <w:lang w:val="fr-FR"/>
        </w:rPr>
        <w:t>elle avait été examinée à sa quatre-vingtième session, en février 2018. Il a ajouté qu</w:t>
      </w:r>
      <w:r w:rsidR="00E84113" w:rsidRPr="00AF5FD5">
        <w:rPr>
          <w:lang w:val="fr-FR"/>
        </w:rPr>
        <w:t>’</w:t>
      </w:r>
      <w:r w:rsidRPr="00AF5FD5">
        <w:rPr>
          <w:lang w:val="fr-FR"/>
        </w:rPr>
        <w:t>à l</w:t>
      </w:r>
      <w:r w:rsidR="00E84113" w:rsidRPr="00AF5FD5">
        <w:rPr>
          <w:lang w:val="fr-FR"/>
        </w:rPr>
        <w:t>’</w:t>
      </w:r>
      <w:r w:rsidRPr="00AF5FD5">
        <w:rPr>
          <w:lang w:val="fr-FR"/>
        </w:rPr>
        <w:t>issue d</w:t>
      </w:r>
      <w:r w:rsidR="00E84113" w:rsidRPr="00AF5FD5">
        <w:rPr>
          <w:lang w:val="fr-FR"/>
        </w:rPr>
        <w:t>’</w:t>
      </w:r>
      <w:r w:rsidRPr="00AF5FD5">
        <w:rPr>
          <w:lang w:val="fr-FR"/>
        </w:rPr>
        <w:t>un processus de consultation associant tous le</w:t>
      </w:r>
      <w:r w:rsidR="0048024C" w:rsidRPr="00AF5FD5">
        <w:rPr>
          <w:lang w:val="fr-FR"/>
        </w:rPr>
        <w:t>s groupes de travail du CTI, la </w:t>
      </w:r>
      <w:r w:rsidRPr="00AF5FD5">
        <w:rPr>
          <w:lang w:val="fr-FR"/>
        </w:rPr>
        <w:t>stratégie serait soumise pour adoption à la quatre-vin</w:t>
      </w:r>
      <w:r w:rsidR="0048024C" w:rsidRPr="00AF5FD5">
        <w:rPr>
          <w:lang w:val="fr-FR"/>
        </w:rPr>
        <w:t>gt-unième session du Comité, en </w:t>
      </w:r>
      <w:r w:rsidRPr="00AF5FD5">
        <w:rPr>
          <w:lang w:val="fr-FR"/>
        </w:rPr>
        <w:t>2019. Tous les membres du Groupe de travail ont été encouragés à envoyer leurs contributions à la nouvelle stratégie du CTI avant la fin du mois d</w:t>
      </w:r>
      <w:r w:rsidR="00E84113" w:rsidRPr="00AF5FD5">
        <w:rPr>
          <w:lang w:val="fr-FR"/>
        </w:rPr>
        <w:t>’</w:t>
      </w:r>
      <w:r w:rsidRPr="00AF5FD5">
        <w:rPr>
          <w:lang w:val="fr-FR"/>
        </w:rPr>
        <w:t>octobre 2018.</w:t>
      </w:r>
    </w:p>
    <w:p w:rsidR="00B25DBE" w:rsidRPr="00AF5FD5" w:rsidRDefault="00B25DBE" w:rsidP="00B25DBE">
      <w:pPr>
        <w:pStyle w:val="SingleTxtG"/>
        <w:rPr>
          <w:lang w:val="fr-FR"/>
        </w:rPr>
      </w:pPr>
      <w:r w:rsidRPr="00AF5FD5">
        <w:t>27.</w:t>
      </w:r>
      <w:r w:rsidRPr="00AF5FD5">
        <w:tab/>
      </w:r>
      <w:r w:rsidRPr="00AF5FD5">
        <w:rPr>
          <w:lang w:val="fr-FR"/>
        </w:rPr>
        <w:t>Le Secrétaire du CTI a également présenté les principaux changements qui interviendraient dans le système budgétaire des Nations Unies à partir de 2020. Le nouveau système sera fondé sur une planification budgétaire annuelle et comportera un certain nombre de nouveautés, tant sur le plan des procédures que sur celui du contenu. Il a insisté sur le fait que la mise en place de nouveaux indicateurs pour l</w:t>
      </w:r>
      <w:r w:rsidR="00E84113" w:rsidRPr="00AF5FD5">
        <w:rPr>
          <w:lang w:val="fr-FR"/>
        </w:rPr>
        <w:t>’</w:t>
      </w:r>
      <w:r w:rsidRPr="00AF5FD5">
        <w:rPr>
          <w:lang w:val="fr-FR"/>
        </w:rPr>
        <w:t xml:space="preserve">évaluation des résultats aurait un impact considérable sur le nombre de produits attendus. </w:t>
      </w:r>
    </w:p>
    <w:p w:rsidR="00B25DBE" w:rsidRPr="00AF5FD5" w:rsidRDefault="00B25DBE" w:rsidP="00B25DBE">
      <w:pPr>
        <w:pStyle w:val="SingleTxtG"/>
        <w:rPr>
          <w:lang w:val="fr-FR"/>
        </w:rPr>
      </w:pPr>
      <w:r w:rsidRPr="00AF5FD5">
        <w:t>28.</w:t>
      </w:r>
      <w:r w:rsidRPr="00AF5FD5">
        <w:tab/>
      </w:r>
      <w:r w:rsidRPr="00AF5FD5">
        <w:rPr>
          <w:lang w:val="fr-FR"/>
        </w:rPr>
        <w:t>Il a également souligné qu</w:t>
      </w:r>
      <w:r w:rsidR="00E84113" w:rsidRPr="00AF5FD5">
        <w:rPr>
          <w:lang w:val="fr-FR"/>
        </w:rPr>
        <w:t>’</w:t>
      </w:r>
      <w:r w:rsidRPr="00AF5FD5">
        <w:rPr>
          <w:lang w:val="fr-FR"/>
        </w:rPr>
        <w:t xml:space="preserve">il importait de prendre, au niveau de la CEE, des mesures permettant de mieux aligner ses activités sur les objectifs de développement durable des </w:t>
      </w:r>
      <w:r w:rsidRPr="00AF5FD5">
        <w:rPr>
          <w:lang w:val="fr-FR"/>
        </w:rPr>
        <w:lastRenderedPageBreak/>
        <w:t>Nations Unies en définissant des domaines d</w:t>
      </w:r>
      <w:r w:rsidR="00E84113" w:rsidRPr="00AF5FD5">
        <w:rPr>
          <w:lang w:val="fr-FR"/>
        </w:rPr>
        <w:t>’</w:t>
      </w:r>
      <w:r w:rsidRPr="00AF5FD5">
        <w:rPr>
          <w:lang w:val="fr-FR"/>
        </w:rPr>
        <w:t>action interdépendants faisant le lien entre la mobilité durable, la connectivité intelligente, l</w:t>
      </w:r>
      <w:r w:rsidR="00E84113" w:rsidRPr="00AF5FD5">
        <w:rPr>
          <w:lang w:val="fr-FR"/>
        </w:rPr>
        <w:t>’</w:t>
      </w:r>
      <w:r w:rsidRPr="00AF5FD5">
        <w:rPr>
          <w:lang w:val="fr-FR"/>
        </w:rPr>
        <w:t>exploitation durable des ressources naturelles et l</w:t>
      </w:r>
      <w:r w:rsidR="00E84113" w:rsidRPr="00AF5FD5">
        <w:rPr>
          <w:lang w:val="fr-FR"/>
        </w:rPr>
        <w:t>’</w:t>
      </w:r>
      <w:r w:rsidRPr="00AF5FD5">
        <w:rPr>
          <w:lang w:val="fr-FR"/>
        </w:rPr>
        <w:t>élaboration d</w:t>
      </w:r>
      <w:r w:rsidR="00E84113" w:rsidRPr="00AF5FD5">
        <w:rPr>
          <w:lang w:val="fr-FR"/>
        </w:rPr>
        <w:t>’</w:t>
      </w:r>
      <w:r w:rsidRPr="00AF5FD5">
        <w:rPr>
          <w:lang w:val="fr-FR"/>
        </w:rPr>
        <w:t>un nouveau programme pour les villes.</w:t>
      </w:r>
    </w:p>
    <w:p w:rsidR="00B25DBE" w:rsidRPr="00AF5FD5" w:rsidRDefault="00B25DBE" w:rsidP="00B25DBE">
      <w:pPr>
        <w:pStyle w:val="SingleTxtG"/>
        <w:rPr>
          <w:lang w:val="fr-FR"/>
        </w:rPr>
      </w:pPr>
      <w:r w:rsidRPr="00AF5FD5">
        <w:t>29.</w:t>
      </w:r>
      <w:r w:rsidRPr="00AF5FD5">
        <w:tab/>
      </w:r>
      <w:r w:rsidRPr="00AF5FD5">
        <w:rPr>
          <w:lang w:val="fr-FR"/>
        </w:rPr>
        <w:t>Le Président du WP.11 a également souligné que les travaux du Groupe de travail devaient faciliter la réalisation des objectifs de développement durable (ODD) des Nations</w:t>
      </w:r>
      <w:r w:rsidR="0048024C" w:rsidRPr="00AF5FD5">
        <w:rPr>
          <w:lang w:val="fr-FR"/>
        </w:rPr>
        <w:t> </w:t>
      </w:r>
      <w:r w:rsidRPr="00AF5FD5">
        <w:rPr>
          <w:lang w:val="fr-FR"/>
        </w:rPr>
        <w:t>Unies.</w:t>
      </w:r>
    </w:p>
    <w:p w:rsidR="00B25DBE" w:rsidRPr="00AF5FD5" w:rsidRDefault="00B25DBE" w:rsidP="0048024C">
      <w:pPr>
        <w:pStyle w:val="H1G"/>
      </w:pPr>
      <w:r w:rsidRPr="00AF5FD5">
        <w:tab/>
      </w:r>
      <w:bookmarkStart w:id="14" w:name="_Toc528146963"/>
      <w:r w:rsidRPr="00AF5FD5">
        <w:t>B.</w:t>
      </w:r>
      <w:r w:rsidRPr="00AF5FD5">
        <w:tab/>
      </w:r>
      <w:r w:rsidRPr="00AF5FD5">
        <w:rPr>
          <w:lang w:val="fr-FR"/>
        </w:rPr>
        <w:t>Groupe de travail des normes de qualité des produits agricoles</w:t>
      </w:r>
      <w:r w:rsidRPr="00AF5FD5">
        <w:t xml:space="preserve"> </w:t>
      </w:r>
      <w:bookmarkEnd w:id="14"/>
    </w:p>
    <w:p w:rsidR="00B25DBE" w:rsidRPr="00AF5FD5" w:rsidRDefault="00B25DBE" w:rsidP="0048024C">
      <w:pPr>
        <w:pStyle w:val="SingleTxtG"/>
        <w:keepNext/>
        <w:keepLines/>
        <w:rPr>
          <w:lang w:val="fr-FR"/>
        </w:rPr>
      </w:pPr>
      <w:r w:rsidRPr="00AF5FD5">
        <w:t>30.</w:t>
      </w:r>
      <w:r w:rsidRPr="00AF5FD5">
        <w:tab/>
      </w:r>
      <w:r w:rsidRPr="00AF5FD5">
        <w:rPr>
          <w:lang w:val="fr-FR"/>
        </w:rPr>
        <w:t>Les activités du Groupe de travail des normes de qualité des produits agricoles (WP.7) qui présentent un intérêt pour le WP.11 sont les suivantes :</w:t>
      </w:r>
    </w:p>
    <w:p w:rsidR="00B25DBE" w:rsidRPr="00AF5FD5" w:rsidRDefault="00B25DBE" w:rsidP="0048024C">
      <w:pPr>
        <w:pStyle w:val="SingleTxtG"/>
        <w:ind w:firstLine="567"/>
        <w:rPr>
          <w:spacing w:val="-3"/>
          <w:lang w:val="fr-FR"/>
        </w:rPr>
      </w:pPr>
      <w:r w:rsidRPr="00AF5FD5">
        <w:rPr>
          <w:spacing w:val="-3"/>
        </w:rPr>
        <w:t>a)</w:t>
      </w:r>
      <w:r w:rsidRPr="00AF5FD5">
        <w:rPr>
          <w:spacing w:val="-3"/>
        </w:rPr>
        <w:tab/>
      </w:r>
      <w:r w:rsidRPr="00AF5FD5">
        <w:rPr>
          <w:spacing w:val="-3"/>
          <w:lang w:val="fr-FR"/>
        </w:rPr>
        <w:t>Atelier sur l</w:t>
      </w:r>
      <w:r w:rsidR="00E84113" w:rsidRPr="00AF5FD5">
        <w:rPr>
          <w:spacing w:val="-3"/>
          <w:lang w:val="fr-FR"/>
        </w:rPr>
        <w:t>’</w:t>
      </w:r>
      <w:r w:rsidRPr="00AF5FD5">
        <w:rPr>
          <w:spacing w:val="-3"/>
          <w:lang w:val="fr-FR"/>
        </w:rPr>
        <w:t>importance de la qualité pour le commerce durable des fruits, des lé</w:t>
      </w:r>
      <w:r w:rsidR="0048024C" w:rsidRPr="00AF5FD5">
        <w:rPr>
          <w:spacing w:val="-3"/>
          <w:lang w:val="fr-FR"/>
        </w:rPr>
        <w:t>gumes et des fruits à coque, du </w:t>
      </w:r>
      <w:r w:rsidRPr="00AF5FD5">
        <w:rPr>
          <w:spacing w:val="-3"/>
          <w:lang w:val="fr-FR"/>
        </w:rPr>
        <w:t xml:space="preserve">11 au 13 septembre </w:t>
      </w:r>
      <w:r w:rsidR="0048024C" w:rsidRPr="00AF5FD5">
        <w:rPr>
          <w:spacing w:val="-3"/>
          <w:lang w:val="fr-FR"/>
        </w:rPr>
        <w:t>2018 à Tachkent, en Ouzbékistan ;</w:t>
      </w:r>
    </w:p>
    <w:p w:rsidR="00B25DBE" w:rsidRPr="00AF5FD5" w:rsidRDefault="00B25DBE" w:rsidP="0048024C">
      <w:pPr>
        <w:pStyle w:val="SingleTxtG"/>
        <w:ind w:firstLine="567"/>
        <w:rPr>
          <w:lang w:val="fr-FR"/>
        </w:rPr>
      </w:pPr>
      <w:r w:rsidRPr="00AF5FD5">
        <w:t>b)</w:t>
      </w:r>
      <w:r w:rsidRPr="00AF5FD5">
        <w:tab/>
      </w:r>
      <w:r w:rsidRPr="00AF5FD5">
        <w:rPr>
          <w:lang w:val="fr-FR"/>
        </w:rPr>
        <w:t>Soixante-quatorzième session du Groupe de travail des normes de qualité des produits agricoles (WP.7), du 12 au14 novembre 2018 au Palais des Nations à Genève.</w:t>
      </w:r>
    </w:p>
    <w:p w:rsidR="00B25DBE" w:rsidRPr="00AF5FD5" w:rsidRDefault="00B25DBE" w:rsidP="00B25DBE">
      <w:pPr>
        <w:pStyle w:val="SingleTxtG"/>
      </w:pPr>
      <w:r w:rsidRPr="00AF5FD5">
        <w:t>31.</w:t>
      </w:r>
      <w:r w:rsidRPr="00AF5FD5">
        <w:tab/>
      </w:r>
      <w:r w:rsidRPr="00AF5FD5">
        <w:rPr>
          <w:lang w:val="fr-FR"/>
        </w:rPr>
        <w:t>On trouvera de plus amples informations sur ces activités et d</w:t>
      </w:r>
      <w:r w:rsidR="00E84113" w:rsidRPr="00AF5FD5">
        <w:rPr>
          <w:lang w:val="fr-FR"/>
        </w:rPr>
        <w:t>’</w:t>
      </w:r>
      <w:r w:rsidRPr="00AF5FD5">
        <w:rPr>
          <w:lang w:val="fr-FR"/>
        </w:rPr>
        <w:t>autres sur le site du WP.7, à l</w:t>
      </w:r>
      <w:r w:rsidR="00E84113" w:rsidRPr="00AF5FD5">
        <w:rPr>
          <w:lang w:val="fr-FR"/>
        </w:rPr>
        <w:t>’</w:t>
      </w:r>
      <w:r w:rsidRPr="00AF5FD5">
        <w:rPr>
          <w:lang w:val="fr-FR"/>
        </w:rPr>
        <w:t xml:space="preserve">adresse </w:t>
      </w:r>
      <w:hyperlink r:id="rId9" w:history="1">
        <w:r w:rsidRPr="00AF5FD5">
          <w:rPr>
            <w:rStyle w:val="Hyperlink"/>
            <w:color w:val="auto"/>
          </w:rPr>
          <w:t>http://www.unece.org/trade/agr/welcome.html</w:t>
        </w:r>
      </w:hyperlink>
      <w:r w:rsidRPr="00AF5FD5">
        <w:t>.</w:t>
      </w:r>
    </w:p>
    <w:p w:rsidR="00B25DBE" w:rsidRPr="00AF5FD5" w:rsidRDefault="00B25DBE" w:rsidP="0048024C">
      <w:pPr>
        <w:pStyle w:val="HChG"/>
      </w:pPr>
      <w:r w:rsidRPr="00AF5FD5">
        <w:tab/>
      </w:r>
      <w:bookmarkStart w:id="15" w:name="_Toc528146964"/>
      <w:r w:rsidRPr="00AF5FD5">
        <w:t>V.</w:t>
      </w:r>
      <w:r w:rsidRPr="00AF5FD5">
        <w:tab/>
      </w:r>
      <w:r w:rsidRPr="00AF5FD5">
        <w:rPr>
          <w:lang w:val="fr-FR"/>
        </w:rPr>
        <w:t>Activités d</w:t>
      </w:r>
      <w:r w:rsidR="00E84113" w:rsidRPr="00AF5FD5">
        <w:rPr>
          <w:lang w:val="fr-FR"/>
        </w:rPr>
        <w:t>’</w:t>
      </w:r>
      <w:r w:rsidRPr="00AF5FD5">
        <w:rPr>
          <w:lang w:val="fr-FR"/>
        </w:rPr>
        <w:t xml:space="preserve">autres organisations internationales </w:t>
      </w:r>
      <w:r w:rsidR="00936B02">
        <w:rPr>
          <w:lang w:val="fr-FR"/>
        </w:rPr>
        <w:br/>
      </w:r>
      <w:r w:rsidRPr="00AF5FD5">
        <w:rPr>
          <w:lang w:val="fr-FR"/>
        </w:rPr>
        <w:t>qui s</w:t>
      </w:r>
      <w:r w:rsidR="00E84113" w:rsidRPr="00AF5FD5">
        <w:rPr>
          <w:lang w:val="fr-FR"/>
        </w:rPr>
        <w:t>’</w:t>
      </w:r>
      <w:r w:rsidRPr="00AF5FD5">
        <w:rPr>
          <w:lang w:val="fr-FR"/>
        </w:rPr>
        <w:t>occupent de problèmes intéressa</w:t>
      </w:r>
      <w:r w:rsidR="0048024C" w:rsidRPr="00AF5FD5">
        <w:rPr>
          <w:lang w:val="fr-FR"/>
        </w:rPr>
        <w:t xml:space="preserve">nt </w:t>
      </w:r>
      <w:r w:rsidR="00936B02">
        <w:rPr>
          <w:lang w:val="fr-FR"/>
        </w:rPr>
        <w:br/>
      </w:r>
      <w:r w:rsidR="0048024C" w:rsidRPr="00AF5FD5">
        <w:rPr>
          <w:lang w:val="fr-FR"/>
        </w:rPr>
        <w:t>le Groupe de travail (point </w:t>
      </w:r>
      <w:r w:rsidRPr="00AF5FD5">
        <w:rPr>
          <w:lang w:val="fr-FR"/>
        </w:rPr>
        <w:t>4 de l</w:t>
      </w:r>
      <w:r w:rsidR="00E84113" w:rsidRPr="00AF5FD5">
        <w:rPr>
          <w:lang w:val="fr-FR"/>
        </w:rPr>
        <w:t>’</w:t>
      </w:r>
      <w:r w:rsidRPr="00AF5FD5">
        <w:rPr>
          <w:lang w:val="fr-FR"/>
        </w:rPr>
        <w:t>ordre du jour)</w:t>
      </w:r>
      <w:bookmarkEnd w:id="15"/>
    </w:p>
    <w:p w:rsidR="00B25DBE" w:rsidRPr="00AF5FD5" w:rsidRDefault="00B25DBE" w:rsidP="0048024C">
      <w:pPr>
        <w:pStyle w:val="H1G"/>
      </w:pPr>
      <w:r w:rsidRPr="00AF5FD5">
        <w:tab/>
      </w:r>
      <w:bookmarkStart w:id="16" w:name="_Toc528146965"/>
      <w:r w:rsidRPr="00AF5FD5">
        <w:t>A.</w:t>
      </w:r>
      <w:r w:rsidRPr="00AF5FD5">
        <w:tab/>
        <w:t>Institut international du froid (IIF)</w:t>
      </w:r>
      <w:bookmarkEnd w:id="16"/>
    </w:p>
    <w:p w:rsidR="00B25DBE" w:rsidRPr="00AF5FD5" w:rsidRDefault="00B25DBE" w:rsidP="002D7AC2">
      <w:pPr>
        <w:pStyle w:val="SingleTxtG"/>
        <w:ind w:left="3119" w:hanging="1985"/>
      </w:pPr>
      <w:r w:rsidRPr="00AF5FD5">
        <w:rPr>
          <w:i/>
        </w:rPr>
        <w:t>Document informel</w:t>
      </w:r>
      <w:r w:rsidR="0048024C" w:rsidRPr="00AF5FD5">
        <w:rPr>
          <w:i/>
        </w:rPr>
        <w:t> </w:t>
      </w:r>
      <w:r w:rsidR="002D7AC2" w:rsidRPr="00AF5FD5">
        <w:t>:</w:t>
      </w:r>
      <w:r w:rsidR="002D7AC2" w:rsidRPr="00AF5FD5">
        <w:tab/>
      </w:r>
      <w:r w:rsidRPr="00AF5FD5">
        <w:t>INF.3 (IIR)</w:t>
      </w:r>
      <w:r w:rsidR="0048024C" w:rsidRPr="00AF5FD5">
        <w:t>.</w:t>
      </w:r>
    </w:p>
    <w:p w:rsidR="00B25DBE" w:rsidRPr="00AF5FD5" w:rsidRDefault="00B25DBE" w:rsidP="00B25DBE">
      <w:pPr>
        <w:pStyle w:val="SingleTxtG"/>
      </w:pPr>
      <w:r w:rsidRPr="00AF5FD5">
        <w:t>32.</w:t>
      </w:r>
      <w:r w:rsidRPr="00AF5FD5">
        <w:tab/>
      </w:r>
      <w:r w:rsidRPr="00AF5FD5">
        <w:rPr>
          <w:lang w:val="fr-FR"/>
        </w:rPr>
        <w:t>Le Groupe de travail a été informé des résultats de la réunion de la sous-commission du transport réfrigéré de l</w:t>
      </w:r>
      <w:r w:rsidR="00E84113" w:rsidRPr="00AF5FD5">
        <w:rPr>
          <w:lang w:val="fr-FR"/>
        </w:rPr>
        <w:t>’</w:t>
      </w:r>
      <w:r w:rsidRPr="00AF5FD5">
        <w:rPr>
          <w:lang w:val="fr-FR"/>
        </w:rPr>
        <w:t>IIF qui s</w:t>
      </w:r>
      <w:r w:rsidR="00E84113" w:rsidRPr="00AF5FD5">
        <w:rPr>
          <w:lang w:val="fr-FR"/>
        </w:rPr>
        <w:t>’</w:t>
      </w:r>
      <w:r w:rsidRPr="00AF5FD5">
        <w:rPr>
          <w:lang w:val="fr-FR"/>
        </w:rPr>
        <w:t xml:space="preserve">est tenue à Munich (Allemagne) les 18 et 19 avril 2018. </w:t>
      </w:r>
      <w:r w:rsidRPr="00AF5FD5">
        <w:t>La sous-commission avait appuyé les propositions adressées au WP.11, notamment sur les points suivants :</w:t>
      </w:r>
    </w:p>
    <w:p w:rsidR="00B25DBE" w:rsidRPr="00AF5FD5" w:rsidRDefault="00B25DBE" w:rsidP="0048024C">
      <w:pPr>
        <w:pStyle w:val="Bullet1G"/>
      </w:pPr>
      <w:r w:rsidRPr="00AF5FD5">
        <w:t>Spécifications minimales des mousses isolantes</w:t>
      </w:r>
      <w:r w:rsidR="0048024C" w:rsidRPr="00AF5FD5">
        <w:t> ;</w:t>
      </w:r>
    </w:p>
    <w:p w:rsidR="00B25DBE" w:rsidRPr="00AF5FD5" w:rsidRDefault="00B25DBE" w:rsidP="0048024C">
      <w:pPr>
        <w:pStyle w:val="Bullet1G"/>
      </w:pPr>
      <w:r w:rsidRPr="00AF5FD5">
        <w:t>Calculs concernant les fourgons</w:t>
      </w:r>
      <w:r w:rsidR="0048024C" w:rsidRPr="00AF5FD5">
        <w:t> ;</w:t>
      </w:r>
    </w:p>
    <w:p w:rsidR="00B25DBE" w:rsidRPr="00AF5FD5" w:rsidRDefault="00B25DBE" w:rsidP="0048024C">
      <w:pPr>
        <w:pStyle w:val="Bullet1G"/>
      </w:pPr>
      <w:r w:rsidRPr="00AF5FD5">
        <w:t>Circulation interne de l</w:t>
      </w:r>
      <w:r w:rsidR="00E84113" w:rsidRPr="00AF5FD5">
        <w:t>’</w:t>
      </w:r>
      <w:r w:rsidRPr="00AF5FD5">
        <w:t>air</w:t>
      </w:r>
      <w:r w:rsidR="0048024C" w:rsidRPr="00AF5FD5">
        <w:t> ;</w:t>
      </w:r>
    </w:p>
    <w:p w:rsidR="00B25DBE" w:rsidRPr="00AF5FD5" w:rsidRDefault="00B25DBE" w:rsidP="0048024C">
      <w:pPr>
        <w:pStyle w:val="Bullet1G"/>
      </w:pPr>
      <w:r w:rsidRPr="00AF5FD5">
        <w:t>Mesure du coefficient K pour les cloisons fixes</w:t>
      </w:r>
      <w:r w:rsidR="0048024C" w:rsidRPr="00AF5FD5">
        <w:t> ;</w:t>
      </w:r>
    </w:p>
    <w:p w:rsidR="00B25DBE" w:rsidRPr="00AF5FD5" w:rsidRDefault="00B25DBE" w:rsidP="0048024C">
      <w:pPr>
        <w:pStyle w:val="Bullet1G"/>
      </w:pPr>
      <w:r w:rsidRPr="00AF5FD5">
        <w:t>Mise à l</w:t>
      </w:r>
      <w:r w:rsidR="00E84113" w:rsidRPr="00AF5FD5">
        <w:t>’</w:t>
      </w:r>
      <w:r w:rsidRPr="00AF5FD5">
        <w:t>essai des prototypes dans l</w:t>
      </w:r>
      <w:r w:rsidR="00E84113" w:rsidRPr="00AF5FD5">
        <w:t>’</w:t>
      </w:r>
      <w:r w:rsidRPr="00AF5FD5">
        <w:t>ATP</w:t>
      </w:r>
      <w:r w:rsidR="0048024C" w:rsidRPr="00AF5FD5">
        <w:t> ;</w:t>
      </w:r>
    </w:p>
    <w:p w:rsidR="00B25DBE" w:rsidRPr="00AF5FD5" w:rsidRDefault="00B25DBE" w:rsidP="0048024C">
      <w:pPr>
        <w:pStyle w:val="Bullet1G"/>
      </w:pPr>
      <w:r w:rsidRPr="00AF5FD5">
        <w:t>Mise à l</w:t>
      </w:r>
      <w:r w:rsidR="00E84113" w:rsidRPr="00AF5FD5">
        <w:t>’</w:t>
      </w:r>
      <w:r w:rsidRPr="00AF5FD5">
        <w:t>essai de l</w:t>
      </w:r>
      <w:r w:rsidR="00E84113" w:rsidRPr="00AF5FD5">
        <w:t>’</w:t>
      </w:r>
      <w:r w:rsidRPr="00AF5FD5">
        <w:t>unité frigorifique (en service) avec changement de réfrigérant (drop-in)</w:t>
      </w:r>
      <w:r w:rsidR="0048024C" w:rsidRPr="00AF5FD5">
        <w:t> ;</w:t>
      </w:r>
    </w:p>
    <w:p w:rsidR="00B25DBE" w:rsidRPr="00AF5FD5" w:rsidRDefault="00B25DBE" w:rsidP="0048024C">
      <w:pPr>
        <w:pStyle w:val="Bullet1G"/>
      </w:pPr>
      <w:r w:rsidRPr="00AF5FD5">
        <w:t>Mesure de la température extérieure pendant un essai de descente en température.</w:t>
      </w:r>
    </w:p>
    <w:p w:rsidR="00B25DBE" w:rsidRPr="00AF5FD5" w:rsidRDefault="00B25DBE" w:rsidP="0048024C">
      <w:pPr>
        <w:pStyle w:val="H1G"/>
      </w:pPr>
      <w:r w:rsidRPr="00AF5FD5">
        <w:tab/>
      </w:r>
      <w:bookmarkStart w:id="17" w:name="_Toc528146966"/>
      <w:r w:rsidRPr="00AF5FD5">
        <w:t>B.</w:t>
      </w:r>
      <w:r w:rsidRPr="00AF5FD5">
        <w:tab/>
        <w:t>Transfrigoroute International</w:t>
      </w:r>
      <w:bookmarkEnd w:id="17"/>
    </w:p>
    <w:p w:rsidR="00B25DBE" w:rsidRPr="00AF5FD5" w:rsidRDefault="00B25DBE" w:rsidP="002D7AC2">
      <w:pPr>
        <w:pStyle w:val="SingleTxtG"/>
        <w:ind w:left="3119" w:hanging="1985"/>
      </w:pPr>
      <w:r w:rsidRPr="00AF5FD5">
        <w:rPr>
          <w:i/>
        </w:rPr>
        <w:t>Document informel</w:t>
      </w:r>
      <w:r w:rsidR="0048024C" w:rsidRPr="00AF5FD5">
        <w:rPr>
          <w:i/>
        </w:rPr>
        <w:t> </w:t>
      </w:r>
      <w:r w:rsidR="002D7AC2" w:rsidRPr="00AF5FD5">
        <w:t>:</w:t>
      </w:r>
      <w:r w:rsidR="002D7AC2" w:rsidRPr="00AF5FD5">
        <w:tab/>
      </w:r>
      <w:r w:rsidRPr="00AF5FD5">
        <w:t>INF.11 (Transfrigoroute International)</w:t>
      </w:r>
      <w:r w:rsidR="0048024C" w:rsidRPr="00AF5FD5">
        <w:t>.</w:t>
      </w:r>
    </w:p>
    <w:p w:rsidR="00B25DBE" w:rsidRPr="00AF5FD5" w:rsidRDefault="00B25DBE" w:rsidP="00B25DBE">
      <w:pPr>
        <w:pStyle w:val="SingleTxtG"/>
      </w:pPr>
      <w:r w:rsidRPr="00AF5FD5">
        <w:t>33.</w:t>
      </w:r>
      <w:r w:rsidRPr="00AF5FD5">
        <w:tab/>
      </w:r>
      <w:r w:rsidRPr="00AF5FD5">
        <w:rPr>
          <w:lang w:val="fr-FR"/>
        </w:rPr>
        <w:t>Le représentant de Transfrigoroute International a informé le Groupe de travail des activités de son organisation visant à aider le secteur du transport réfrigéré, comme il ressort du document informel INF.11.</w:t>
      </w:r>
    </w:p>
    <w:p w:rsidR="00B25DBE" w:rsidRPr="00AF5FD5" w:rsidRDefault="00B25DBE" w:rsidP="00B25DBE">
      <w:pPr>
        <w:pStyle w:val="SingleTxtG"/>
      </w:pPr>
      <w:r w:rsidRPr="00AF5FD5">
        <w:rPr>
          <w:lang w:val="fr-FR"/>
        </w:rPr>
        <w:t>34.</w:t>
      </w:r>
      <w:r w:rsidRPr="00AF5FD5">
        <w:rPr>
          <w:lang w:val="fr-FR"/>
        </w:rPr>
        <w:tab/>
        <w:t>Le Groupe de travail a pris note des questions soulevées dans le document INF.11, en particulier à propos de l</w:t>
      </w:r>
      <w:r w:rsidR="00E84113" w:rsidRPr="00AF5FD5">
        <w:rPr>
          <w:lang w:val="fr-FR"/>
        </w:rPr>
        <w:t>’</w:t>
      </w:r>
      <w:r w:rsidRPr="00AF5FD5">
        <w:rPr>
          <w:lang w:val="fr-FR"/>
        </w:rPr>
        <w:t>importance de parvenir à un accord sur l</w:t>
      </w:r>
      <w:r w:rsidR="00E84113" w:rsidRPr="00AF5FD5">
        <w:rPr>
          <w:lang w:val="fr-FR"/>
        </w:rPr>
        <w:t>’</w:t>
      </w:r>
      <w:r w:rsidRPr="00AF5FD5">
        <w:rPr>
          <w:lang w:val="fr-FR"/>
        </w:rPr>
        <w:t>utilisation d</w:t>
      </w:r>
      <w:r w:rsidR="00E84113" w:rsidRPr="00AF5FD5">
        <w:rPr>
          <w:lang w:val="fr-FR"/>
        </w:rPr>
        <w:t>’</w:t>
      </w:r>
      <w:r w:rsidRPr="00AF5FD5">
        <w:rPr>
          <w:lang w:val="fr-FR"/>
        </w:rPr>
        <w:t>agents frigorigènes à faible potentiel de réchauffement de la planète et sur les dispositions relatives à l</w:t>
      </w:r>
      <w:r w:rsidR="00E84113" w:rsidRPr="00AF5FD5">
        <w:rPr>
          <w:lang w:val="fr-FR"/>
        </w:rPr>
        <w:t>’</w:t>
      </w:r>
      <w:r w:rsidRPr="00AF5FD5">
        <w:rPr>
          <w:lang w:val="fr-FR"/>
        </w:rPr>
        <w:t>essai des équipements en service modernisés.</w:t>
      </w:r>
    </w:p>
    <w:p w:rsidR="00B25DBE" w:rsidRPr="00AF5FD5" w:rsidRDefault="00B25DBE" w:rsidP="00B25DBE">
      <w:pPr>
        <w:pStyle w:val="SingleTxtG"/>
      </w:pPr>
      <w:r w:rsidRPr="00AF5FD5">
        <w:rPr>
          <w:lang w:val="fr-FR"/>
        </w:rPr>
        <w:lastRenderedPageBreak/>
        <w:t>35.</w:t>
      </w:r>
      <w:r w:rsidRPr="00AF5FD5">
        <w:rPr>
          <w:lang w:val="fr-FR"/>
        </w:rPr>
        <w:tab/>
        <w:t>En outre, le transport à température contrôlée sur de courtes ou moyennes distances est un sujet de préoccupation pour Transfrigoroute International. En effet, cette activité échappe en grande partie à toute réglementation. Un groupe de travail ayant pour objectif l</w:t>
      </w:r>
      <w:r w:rsidR="00E84113" w:rsidRPr="00AF5FD5">
        <w:rPr>
          <w:lang w:val="fr-FR"/>
        </w:rPr>
        <w:t>’</w:t>
      </w:r>
      <w:r w:rsidRPr="00AF5FD5">
        <w:rPr>
          <w:lang w:val="fr-FR"/>
        </w:rPr>
        <w:t>élaboration de normes pour ce type de transport est en cours de création.</w:t>
      </w:r>
    </w:p>
    <w:p w:rsidR="00B25DBE" w:rsidRPr="00AF5FD5" w:rsidRDefault="00B25DBE" w:rsidP="0048024C">
      <w:pPr>
        <w:pStyle w:val="H1G"/>
      </w:pPr>
      <w:r w:rsidRPr="00AF5FD5">
        <w:tab/>
      </w:r>
      <w:bookmarkStart w:id="18" w:name="_Toc528146967"/>
      <w:r w:rsidRPr="00AF5FD5">
        <w:t>C.</w:t>
      </w:r>
      <w:r w:rsidRPr="00AF5FD5">
        <w:tab/>
        <w:t>Organisations de normalisation</w:t>
      </w:r>
      <w:bookmarkEnd w:id="18"/>
    </w:p>
    <w:p w:rsidR="00B25DBE" w:rsidRPr="00AF5FD5" w:rsidRDefault="00B25DBE" w:rsidP="00B25DBE">
      <w:pPr>
        <w:pStyle w:val="SingleTxtG"/>
        <w:rPr>
          <w:b/>
        </w:rPr>
      </w:pPr>
      <w:r w:rsidRPr="00AF5FD5">
        <w:t>36.</w:t>
      </w:r>
      <w:r w:rsidRPr="00AF5FD5">
        <w:tab/>
        <w:t>Le Groupe de travail a été informé de l</w:t>
      </w:r>
      <w:r w:rsidR="00E84113" w:rsidRPr="00AF5FD5">
        <w:t>’</w:t>
      </w:r>
      <w:r w:rsidRPr="00AF5FD5">
        <w:t>état d</w:t>
      </w:r>
      <w:r w:rsidR="00E84113" w:rsidRPr="00AF5FD5">
        <w:t>’</w:t>
      </w:r>
      <w:r w:rsidRPr="00AF5FD5">
        <w:t>avancement des travaux portant sur l</w:t>
      </w:r>
      <w:r w:rsidR="00E84113" w:rsidRPr="00AF5FD5">
        <w:t>’</w:t>
      </w:r>
      <w:r w:rsidRPr="00AF5FD5">
        <w:t>élaboration et la révision des normes.</w:t>
      </w:r>
    </w:p>
    <w:p w:rsidR="00B25DBE" w:rsidRPr="00AF5FD5" w:rsidRDefault="00B25DBE" w:rsidP="0048024C">
      <w:pPr>
        <w:pStyle w:val="H23G"/>
      </w:pPr>
      <w:r w:rsidRPr="00AF5FD5">
        <w:tab/>
      </w:r>
      <w:r w:rsidRPr="00AF5FD5">
        <w:tab/>
      </w:r>
      <w:bookmarkStart w:id="19" w:name="_Toc528146968"/>
      <w:r w:rsidR="008E5699">
        <w:t>Normes </w:t>
      </w:r>
      <w:r w:rsidRPr="00AF5FD5">
        <w:t>EN</w:t>
      </w:r>
      <w:bookmarkEnd w:id="19"/>
    </w:p>
    <w:p w:rsidR="00B25DBE" w:rsidRPr="00AF5FD5" w:rsidRDefault="00B25DBE" w:rsidP="0048024C">
      <w:pPr>
        <w:pStyle w:val="H23G"/>
      </w:pPr>
      <w:r w:rsidRPr="00AF5FD5">
        <w:tab/>
      </w:r>
      <w:bookmarkStart w:id="20" w:name="_Toc528146969"/>
      <w:r w:rsidR="0048024C" w:rsidRPr="00AF5FD5">
        <w:t>1.</w:t>
      </w:r>
      <w:r w:rsidR="0048024C" w:rsidRPr="00AF5FD5">
        <w:tab/>
        <w:t>CEN/TC 413 Groupe de travail </w:t>
      </w:r>
      <w:r w:rsidRPr="00AF5FD5">
        <w:t>2</w:t>
      </w:r>
      <w:bookmarkEnd w:id="20"/>
    </w:p>
    <w:p w:rsidR="00B25DBE" w:rsidRPr="00AF5FD5" w:rsidRDefault="00B25DBE" w:rsidP="00B25DBE">
      <w:pPr>
        <w:pStyle w:val="SingleTxtG"/>
        <w:rPr>
          <w:lang w:val="fr-FR"/>
        </w:rPr>
      </w:pPr>
      <w:r w:rsidRPr="00AF5FD5">
        <w:t>37.</w:t>
      </w:r>
      <w:r w:rsidRPr="00AF5FD5">
        <w:tab/>
      </w:r>
      <w:r w:rsidRPr="00AF5FD5">
        <w:rPr>
          <w:lang w:val="fr-FR"/>
        </w:rPr>
        <w:t>Des experts de l</w:t>
      </w:r>
      <w:r w:rsidR="00E84113" w:rsidRPr="00AF5FD5">
        <w:rPr>
          <w:lang w:val="fr-FR"/>
        </w:rPr>
        <w:t>’</w:t>
      </w:r>
      <w:r w:rsidRPr="00AF5FD5">
        <w:rPr>
          <w:lang w:val="fr-FR"/>
        </w:rPr>
        <w:t>Allemagne, de la France, de l</w:t>
      </w:r>
      <w:r w:rsidR="00E84113" w:rsidRPr="00AF5FD5">
        <w:rPr>
          <w:lang w:val="fr-FR"/>
        </w:rPr>
        <w:t>’</w:t>
      </w:r>
      <w:r w:rsidRPr="00AF5FD5">
        <w:rPr>
          <w:lang w:val="fr-FR"/>
        </w:rPr>
        <w:t>Italie et du Royaume-Uni se sont réunis à plusieurs reprises, notamment en groupe de travail au cours des douze derniers mois, avec la participation informelle d</w:t>
      </w:r>
      <w:r w:rsidR="00E84113" w:rsidRPr="00AF5FD5">
        <w:rPr>
          <w:lang w:val="fr-FR"/>
        </w:rPr>
        <w:t>’</w:t>
      </w:r>
      <w:r w:rsidRPr="00AF5FD5">
        <w:rPr>
          <w:lang w:val="fr-FR"/>
        </w:rPr>
        <w:t>experts d</w:t>
      </w:r>
      <w:r w:rsidR="00E84113" w:rsidRPr="00AF5FD5">
        <w:rPr>
          <w:lang w:val="fr-FR"/>
        </w:rPr>
        <w:t>’</w:t>
      </w:r>
      <w:r w:rsidRPr="00AF5FD5">
        <w:rPr>
          <w:lang w:val="fr-FR"/>
        </w:rPr>
        <w:t>autres pays européens</w:t>
      </w:r>
      <w:r w:rsidR="00E22585">
        <w:rPr>
          <w:lang w:val="fr-FR"/>
        </w:rPr>
        <w:t>.</w:t>
      </w:r>
    </w:p>
    <w:p w:rsidR="00B25DBE" w:rsidRPr="00AF5FD5" w:rsidRDefault="00B25DBE" w:rsidP="00B25DBE">
      <w:pPr>
        <w:pStyle w:val="SingleTxtG"/>
      </w:pPr>
      <w:r w:rsidRPr="00AF5FD5">
        <w:t>38.</w:t>
      </w:r>
      <w:r w:rsidRPr="00AF5FD5">
        <w:tab/>
        <w:t xml:space="preserve">EN 16440 </w:t>
      </w:r>
      <w:r w:rsidR="0048024C" w:rsidRPr="00AF5FD5">
        <w:t>− </w:t>
      </w:r>
      <w:r w:rsidRPr="00AF5FD5">
        <w:t xml:space="preserve">1:2015-01 </w:t>
      </w:r>
      <w:r w:rsidRPr="00AF5FD5">
        <w:rPr>
          <w:lang w:val="fr-FR"/>
        </w:rPr>
        <w:t>Méthodes d</w:t>
      </w:r>
      <w:r w:rsidR="00E84113" w:rsidRPr="00AF5FD5">
        <w:rPr>
          <w:lang w:val="fr-FR"/>
        </w:rPr>
        <w:t>’</w:t>
      </w:r>
      <w:r w:rsidRPr="00AF5FD5">
        <w:rPr>
          <w:lang w:val="fr-FR"/>
        </w:rPr>
        <w:t xml:space="preserve">essai des appareils de réfrigération pour </w:t>
      </w:r>
      <w:r w:rsidR="0048024C" w:rsidRPr="00AF5FD5">
        <w:rPr>
          <w:lang w:val="fr-FR"/>
        </w:rPr>
        <w:t>moyens de transport isothermes −</w:t>
      </w:r>
      <w:r w:rsidR="008E5699">
        <w:rPr>
          <w:lang w:val="fr-FR"/>
        </w:rPr>
        <w:t xml:space="preserve"> Partie </w:t>
      </w:r>
      <w:r w:rsidRPr="00AF5FD5">
        <w:rPr>
          <w:lang w:val="fr-FR"/>
        </w:rPr>
        <w:t>1 : systèmes de réfrigération mécanique avec évaporateur à circulation d</w:t>
      </w:r>
      <w:r w:rsidR="00E84113" w:rsidRPr="00AF5FD5">
        <w:rPr>
          <w:lang w:val="fr-FR"/>
        </w:rPr>
        <w:t>’</w:t>
      </w:r>
      <w:r w:rsidRPr="00AF5FD5">
        <w:rPr>
          <w:lang w:val="fr-FR"/>
        </w:rPr>
        <w:t xml:space="preserve">air forcée et dispositifs de chauffage optionnels. </w:t>
      </w:r>
      <w:r w:rsidRPr="00AF5FD5">
        <w:t>La version finale a été publiée en janvier 2015</w:t>
      </w:r>
      <w:r w:rsidR="0048024C" w:rsidRPr="00AF5FD5">
        <w:t>.</w:t>
      </w:r>
    </w:p>
    <w:p w:rsidR="00B25DBE" w:rsidRPr="00AF5FD5" w:rsidRDefault="00B25DBE" w:rsidP="00B25DBE">
      <w:pPr>
        <w:pStyle w:val="SingleTxtG"/>
      </w:pPr>
      <w:r w:rsidRPr="00AF5FD5">
        <w:t>39.</w:t>
      </w:r>
      <w:r w:rsidRPr="00AF5FD5">
        <w:tab/>
      </w:r>
      <w:r w:rsidRPr="00AF5FD5">
        <w:rPr>
          <w:lang w:val="fr-FR"/>
        </w:rPr>
        <w:t>Les parties complémentaires suivantes seront encore examinées :</w:t>
      </w:r>
    </w:p>
    <w:p w:rsidR="00B25DBE" w:rsidRPr="00AF5FD5" w:rsidRDefault="0048024C" w:rsidP="00B25DBE">
      <w:pPr>
        <w:pStyle w:val="SingleTxtG"/>
        <w:numPr>
          <w:ilvl w:val="0"/>
          <w:numId w:val="24"/>
        </w:numPr>
      </w:pPr>
      <w:r w:rsidRPr="00AF5FD5">
        <w:t>Partie 2 :</w:t>
      </w:r>
      <w:r w:rsidR="00B25DBE" w:rsidRPr="00AF5FD5">
        <w:t xml:space="preserve"> Systèmes eutectiques</w:t>
      </w:r>
      <w:r w:rsidRPr="00AF5FD5">
        <w:t> −</w:t>
      </w:r>
      <w:r w:rsidR="00B25DBE" w:rsidRPr="00AF5FD5">
        <w:t xml:space="preserve"> La version préliminaire est toujours en cours d</w:t>
      </w:r>
      <w:r w:rsidR="00E84113" w:rsidRPr="00AF5FD5">
        <w:t>’</w:t>
      </w:r>
      <w:r w:rsidR="00B25DBE" w:rsidRPr="00AF5FD5">
        <w:t>examen en vue de la mise au point d</w:t>
      </w:r>
      <w:r w:rsidR="00E84113" w:rsidRPr="00AF5FD5">
        <w:t>’</w:t>
      </w:r>
      <w:r w:rsidR="00B25DBE" w:rsidRPr="00AF5FD5">
        <w:t>une version finale. Il est en particulier question des prescriptions d</w:t>
      </w:r>
      <w:r w:rsidR="00E84113" w:rsidRPr="00AF5FD5">
        <w:t>’</w:t>
      </w:r>
      <w:r w:rsidR="00B25DBE" w:rsidRPr="00AF5FD5">
        <w:t>essai relatives aux capacités de refroidissement et à la consommation des nouveaux dispositifs équipés de systèmes eutectiques ainsi que des dispositifs en mode de fonctionnement quotidien.</w:t>
      </w:r>
    </w:p>
    <w:p w:rsidR="00B25DBE" w:rsidRPr="00AF5FD5" w:rsidRDefault="0048024C" w:rsidP="00B25DBE">
      <w:pPr>
        <w:pStyle w:val="SingleTxtG"/>
        <w:numPr>
          <w:ilvl w:val="0"/>
          <w:numId w:val="24"/>
        </w:numPr>
      </w:pPr>
      <w:r w:rsidRPr="00AF5FD5">
        <w:t>Partie 3 </w:t>
      </w:r>
      <w:r w:rsidR="00B25DBE" w:rsidRPr="00AF5FD5">
        <w:t xml:space="preserve">: Systèmes de transports frigorifiques avec neige carbonique </w:t>
      </w:r>
      <w:r w:rsidRPr="00AF5FD5">
        <w:t>− </w:t>
      </w:r>
      <w:r w:rsidR="00B25DBE" w:rsidRPr="00AF5FD5">
        <w:t>L</w:t>
      </w:r>
      <w:r w:rsidR="00E84113" w:rsidRPr="00AF5FD5">
        <w:t>’</w:t>
      </w:r>
      <w:r w:rsidR="00B25DBE" w:rsidRPr="00AF5FD5">
        <w:t>examen des prescriptions à appliquer aux dispositifs de réfrigération à la neige carbonique a commencé. Il est envisagé de mettre un terme à ce projet en raison de l</w:t>
      </w:r>
      <w:r w:rsidR="00E84113" w:rsidRPr="00AF5FD5">
        <w:t>’</w:t>
      </w:r>
      <w:r w:rsidR="00B25DBE" w:rsidRPr="00AF5FD5">
        <w:t>absence d</w:t>
      </w:r>
      <w:r w:rsidR="00E84113" w:rsidRPr="00AF5FD5">
        <w:t>’</w:t>
      </w:r>
      <w:r w:rsidR="00B25DBE" w:rsidRPr="00AF5FD5">
        <w:t>experts au comité technique.</w:t>
      </w:r>
    </w:p>
    <w:p w:rsidR="00B25DBE" w:rsidRPr="00AF5FD5" w:rsidRDefault="0048024C" w:rsidP="00B25DBE">
      <w:pPr>
        <w:pStyle w:val="SingleTxtG"/>
        <w:numPr>
          <w:ilvl w:val="0"/>
          <w:numId w:val="24"/>
        </w:numPr>
      </w:pPr>
      <w:r w:rsidRPr="00AF5FD5">
        <w:t>Partie 4 </w:t>
      </w:r>
      <w:r w:rsidR="00B25DBE" w:rsidRPr="00AF5FD5">
        <w:t xml:space="preserve">: Systèmes de réfrigération à gaz contrôlés à évaporation directe </w:t>
      </w:r>
      <w:r w:rsidRPr="00AF5FD5">
        <w:t>− </w:t>
      </w:r>
      <w:r w:rsidR="00B25DBE" w:rsidRPr="00AF5FD5">
        <w:t>Ce projet doit être annulé car il n</w:t>
      </w:r>
      <w:r w:rsidR="00E84113" w:rsidRPr="00AF5FD5">
        <w:t>’</w:t>
      </w:r>
      <w:r w:rsidR="00B25DBE" w:rsidRPr="00AF5FD5">
        <w:t>existe pas de débouché commercial pour ces systèmes.</w:t>
      </w:r>
    </w:p>
    <w:p w:rsidR="00B25DBE" w:rsidRPr="00AF5FD5" w:rsidRDefault="0048024C" w:rsidP="00B25DBE">
      <w:pPr>
        <w:pStyle w:val="SingleTxtG"/>
        <w:numPr>
          <w:ilvl w:val="0"/>
          <w:numId w:val="24"/>
        </w:numPr>
      </w:pPr>
      <w:r w:rsidRPr="00AF5FD5">
        <w:t>Partie 5 </w:t>
      </w:r>
      <w:r w:rsidR="00B25DBE" w:rsidRPr="00AF5FD5">
        <w:t xml:space="preserve">: Systèmes de réfrigération à gaz contrôlés à évaporation indirecte </w:t>
      </w:r>
      <w:r w:rsidRPr="00AF5FD5">
        <w:t>− </w:t>
      </w:r>
      <w:r w:rsidR="00B25DBE" w:rsidRPr="00AF5FD5">
        <w:t>Ce projet doit être annulé car il n</w:t>
      </w:r>
      <w:r w:rsidR="00E84113" w:rsidRPr="00AF5FD5">
        <w:t>’</w:t>
      </w:r>
      <w:r w:rsidR="00B25DBE" w:rsidRPr="00AF5FD5">
        <w:t>existe pas de débouché commercial pour ces systèmes. Il est également envisagé d</w:t>
      </w:r>
      <w:r w:rsidR="00E84113" w:rsidRPr="00AF5FD5">
        <w:t>’</w:t>
      </w:r>
      <w:r w:rsidR="00B25DBE" w:rsidRPr="00AF5FD5">
        <w:t>y mettre un terme en raison de l</w:t>
      </w:r>
      <w:r w:rsidR="00E84113" w:rsidRPr="00AF5FD5">
        <w:t>’</w:t>
      </w:r>
      <w:r w:rsidR="00B25DBE" w:rsidRPr="00AF5FD5">
        <w:t>absence d</w:t>
      </w:r>
      <w:r w:rsidR="00E84113" w:rsidRPr="00AF5FD5">
        <w:t>’</w:t>
      </w:r>
      <w:r w:rsidR="00B25DBE" w:rsidRPr="00AF5FD5">
        <w:t>experts au comité technique ;</w:t>
      </w:r>
    </w:p>
    <w:p w:rsidR="00B25DBE" w:rsidRPr="00AF5FD5" w:rsidRDefault="0048024C" w:rsidP="00B25DBE">
      <w:pPr>
        <w:pStyle w:val="SingleTxtG"/>
        <w:numPr>
          <w:ilvl w:val="0"/>
          <w:numId w:val="24"/>
        </w:numPr>
      </w:pPr>
      <w:r w:rsidRPr="00AF5FD5">
        <w:t>Partie 6 (supplémentaire) </w:t>
      </w:r>
      <w:r w:rsidR="00B25DBE" w:rsidRPr="00AF5FD5">
        <w:t>: Exigences spéciales relatives a</w:t>
      </w:r>
      <w:r w:rsidRPr="00AF5FD5">
        <w:t>ux systèmes multitempératures − </w:t>
      </w:r>
      <w:r w:rsidR="00B25DBE" w:rsidRPr="00AF5FD5">
        <w:t>prévue en tant que nouveau projet.</w:t>
      </w:r>
    </w:p>
    <w:p w:rsidR="00B25DBE" w:rsidRPr="00AF5FD5" w:rsidRDefault="00B25DBE" w:rsidP="0048024C">
      <w:pPr>
        <w:pStyle w:val="H23G"/>
      </w:pPr>
      <w:r w:rsidRPr="00AF5FD5">
        <w:tab/>
      </w:r>
      <w:bookmarkStart w:id="21" w:name="_Toc528146970"/>
      <w:r w:rsidR="0048024C" w:rsidRPr="00AF5FD5">
        <w:t>2.</w:t>
      </w:r>
      <w:r w:rsidR="0048024C" w:rsidRPr="00AF5FD5">
        <w:tab/>
        <w:t>CEN/TC 413 Groupe de travail </w:t>
      </w:r>
      <w:r w:rsidRPr="00AF5FD5">
        <w:t>1</w:t>
      </w:r>
      <w:bookmarkEnd w:id="21"/>
    </w:p>
    <w:p w:rsidR="00B25DBE" w:rsidRPr="00AF5FD5" w:rsidRDefault="00B25DBE" w:rsidP="00B25DBE">
      <w:pPr>
        <w:pStyle w:val="SingleTxtG"/>
      </w:pPr>
      <w:r w:rsidRPr="00AF5FD5">
        <w:t>40.</w:t>
      </w:r>
      <w:r w:rsidRPr="00AF5FD5">
        <w:tab/>
      </w:r>
      <w:r w:rsidRPr="00AF5FD5">
        <w:rPr>
          <w:lang w:val="fr-FR"/>
        </w:rPr>
        <w:t>Les experts de l</w:t>
      </w:r>
      <w:r w:rsidR="00E84113" w:rsidRPr="00AF5FD5">
        <w:rPr>
          <w:lang w:val="fr-FR"/>
        </w:rPr>
        <w:t>’</w:t>
      </w:r>
      <w:r w:rsidRPr="00AF5FD5">
        <w:rPr>
          <w:lang w:val="fr-FR"/>
        </w:rPr>
        <w:t>Allemagne, de la Finlande, de la France, de l</w:t>
      </w:r>
      <w:r w:rsidR="00E84113" w:rsidRPr="00AF5FD5">
        <w:rPr>
          <w:lang w:val="fr-FR"/>
        </w:rPr>
        <w:t>’</w:t>
      </w:r>
      <w:r w:rsidRPr="00AF5FD5">
        <w:rPr>
          <w:lang w:val="fr-FR"/>
        </w:rPr>
        <w:t>Irlande, de l</w:t>
      </w:r>
      <w:r w:rsidR="00E84113" w:rsidRPr="00AF5FD5">
        <w:rPr>
          <w:lang w:val="fr-FR"/>
        </w:rPr>
        <w:t>’</w:t>
      </w:r>
      <w:r w:rsidRPr="00AF5FD5">
        <w:rPr>
          <w:lang w:val="fr-FR"/>
        </w:rPr>
        <w:t>Italie, de la République slovaque, de la République tchèque et du Royaume-Uni ont tenu plusieurs réunions et plusieurs réunions de groupe de travail au cours de l</w:t>
      </w:r>
      <w:r w:rsidR="00E84113" w:rsidRPr="00AF5FD5">
        <w:rPr>
          <w:lang w:val="fr-FR"/>
        </w:rPr>
        <w:t>’</w:t>
      </w:r>
      <w:r w:rsidRPr="00AF5FD5">
        <w:rPr>
          <w:lang w:val="fr-FR"/>
        </w:rPr>
        <w:t>année avec la participation informelle d</w:t>
      </w:r>
      <w:r w:rsidR="00E84113" w:rsidRPr="00AF5FD5">
        <w:rPr>
          <w:lang w:val="fr-FR"/>
        </w:rPr>
        <w:t>’</w:t>
      </w:r>
      <w:r w:rsidRPr="00AF5FD5">
        <w:rPr>
          <w:lang w:val="fr-FR"/>
        </w:rPr>
        <w:t>experts d</w:t>
      </w:r>
      <w:r w:rsidR="00E84113" w:rsidRPr="00AF5FD5">
        <w:rPr>
          <w:lang w:val="fr-FR"/>
        </w:rPr>
        <w:t>’</w:t>
      </w:r>
      <w:r w:rsidRPr="00AF5FD5">
        <w:rPr>
          <w:lang w:val="fr-FR"/>
        </w:rPr>
        <w:t>autres pays européens.</w:t>
      </w:r>
    </w:p>
    <w:p w:rsidR="00B25DBE" w:rsidRPr="00AF5FD5" w:rsidRDefault="00B25DBE" w:rsidP="00B25DBE">
      <w:pPr>
        <w:pStyle w:val="SingleTxtG"/>
      </w:pPr>
      <w:r w:rsidRPr="00AF5FD5">
        <w:t>41.</w:t>
      </w:r>
      <w:r w:rsidRPr="00AF5FD5">
        <w:tab/>
      </w:r>
      <w:r w:rsidRPr="00AF5FD5">
        <w:rPr>
          <w:lang w:val="fr-FR"/>
        </w:rPr>
        <w:t>L</w:t>
      </w:r>
      <w:r w:rsidR="00E84113" w:rsidRPr="00AF5FD5">
        <w:rPr>
          <w:lang w:val="fr-FR"/>
        </w:rPr>
        <w:t>’</w:t>
      </w:r>
      <w:r w:rsidRPr="00AF5FD5">
        <w:rPr>
          <w:lang w:val="fr-FR"/>
        </w:rPr>
        <w:t>objectif du groupe chargé du projet est de mettre au point une norme qui s</w:t>
      </w:r>
      <w:r w:rsidR="00E84113" w:rsidRPr="00AF5FD5">
        <w:rPr>
          <w:lang w:val="fr-FR"/>
        </w:rPr>
        <w:t>’</w:t>
      </w:r>
      <w:r w:rsidRPr="00AF5FD5">
        <w:rPr>
          <w:lang w:val="fr-FR"/>
        </w:rPr>
        <w:t xml:space="preserve">intitulera : Moyens de transport isothermes pour transport de marchandises sensibles à la température </w:t>
      </w:r>
      <w:r w:rsidR="0048024C" w:rsidRPr="00AF5FD5">
        <w:rPr>
          <w:lang w:val="fr-FR"/>
        </w:rPr>
        <w:t>−</w:t>
      </w:r>
      <w:r w:rsidRPr="00AF5FD5">
        <w:rPr>
          <w:lang w:val="fr-FR"/>
        </w:rPr>
        <w:t> Prescriptions et essais. Cette norme s</w:t>
      </w:r>
      <w:r w:rsidR="00E84113" w:rsidRPr="00AF5FD5">
        <w:rPr>
          <w:lang w:val="fr-FR"/>
        </w:rPr>
        <w:t>’</w:t>
      </w:r>
      <w:r w:rsidRPr="00AF5FD5">
        <w:rPr>
          <w:lang w:val="fr-FR"/>
        </w:rPr>
        <w:t>appliquera aux moyens de transport isothermes utilisés pour le transport de marchandises sensibles à la température afin de limiter les échanges thermiques avec l</w:t>
      </w:r>
      <w:r w:rsidR="00E84113" w:rsidRPr="00AF5FD5">
        <w:rPr>
          <w:lang w:val="fr-FR"/>
        </w:rPr>
        <w:t>’</w:t>
      </w:r>
      <w:r w:rsidRPr="00AF5FD5">
        <w:rPr>
          <w:lang w:val="fr-FR"/>
        </w:rPr>
        <w:t>environnement extérieur. Lorsqu</w:t>
      </w:r>
      <w:r w:rsidR="00E84113" w:rsidRPr="00AF5FD5">
        <w:rPr>
          <w:lang w:val="fr-FR"/>
        </w:rPr>
        <w:t>’</w:t>
      </w:r>
      <w:r w:rsidRPr="00AF5FD5">
        <w:rPr>
          <w:lang w:val="fr-FR"/>
        </w:rPr>
        <w:t>il est nécessaire de maintenir une température constante, un dispositif de chauffage ou de refroidissement peut en outre être prévu. Les décisions prises tiendront compte d</w:t>
      </w:r>
      <w:r w:rsidR="00E84113" w:rsidRPr="00AF5FD5">
        <w:rPr>
          <w:lang w:val="fr-FR"/>
        </w:rPr>
        <w:t>’</w:t>
      </w:r>
      <w:r w:rsidRPr="00AF5FD5">
        <w:rPr>
          <w:lang w:val="fr-FR"/>
        </w:rPr>
        <w:t xml:space="preserve">une plage de températures </w:t>
      </w:r>
      <w:r w:rsidRPr="00AF5FD5">
        <w:rPr>
          <w:lang w:val="fr-FR"/>
        </w:rPr>
        <w:lastRenderedPageBreak/>
        <w:t>intérieures comprises entre -30 °C et +25 °C et d</w:t>
      </w:r>
      <w:r w:rsidR="00E84113" w:rsidRPr="00AF5FD5">
        <w:rPr>
          <w:lang w:val="fr-FR"/>
        </w:rPr>
        <w:t>’</w:t>
      </w:r>
      <w:r w:rsidRPr="00AF5FD5">
        <w:rPr>
          <w:lang w:val="fr-FR"/>
        </w:rPr>
        <w:t>une plage de températures ambiantes comprises entre -30 °C et +43 °C.</w:t>
      </w:r>
    </w:p>
    <w:p w:rsidR="00B25DBE" w:rsidRPr="00AF5FD5" w:rsidRDefault="00B25DBE" w:rsidP="008D0A14">
      <w:pPr>
        <w:pStyle w:val="SingleTxtG"/>
        <w:keepNext/>
        <w:keepLines/>
      </w:pPr>
      <w:r w:rsidRPr="00AF5FD5">
        <w:t>42.</w:t>
      </w:r>
      <w:r w:rsidRPr="00AF5FD5">
        <w:tab/>
      </w:r>
      <w:r w:rsidRPr="00AF5FD5">
        <w:rPr>
          <w:lang w:val="fr-FR"/>
        </w:rPr>
        <w:t>Il est prévu que cette norme comprenne différentes parties </w:t>
      </w:r>
      <w:r w:rsidRPr="00AF5FD5">
        <w:t xml:space="preserve">: </w:t>
      </w:r>
    </w:p>
    <w:p w:rsidR="00B25DBE" w:rsidRPr="00AF5FD5" w:rsidRDefault="008D0A14" w:rsidP="008D0A14">
      <w:pPr>
        <w:pStyle w:val="Bullet1G"/>
      </w:pPr>
      <w:r w:rsidRPr="00AF5FD5">
        <w:t>prEN </w:t>
      </w:r>
      <w:r w:rsidR="00B25DBE" w:rsidRPr="00AF5FD5">
        <w:t xml:space="preserve">17066 </w:t>
      </w:r>
      <w:r w:rsidRPr="00AF5FD5">
        <w:t>− Partie </w:t>
      </w:r>
      <w:r w:rsidR="00B25DBE" w:rsidRPr="00AF5FD5">
        <w:t>1</w:t>
      </w:r>
      <w:r w:rsidRPr="00AF5FD5">
        <w:t> :</w:t>
      </w:r>
      <w:r w:rsidR="00B25DBE" w:rsidRPr="00AF5FD5">
        <w:t xml:space="preserve"> Conteneur </w:t>
      </w:r>
      <w:r w:rsidRPr="00AF5FD5">
        <w:t>− </w:t>
      </w:r>
      <w:r w:rsidR="00B25DBE" w:rsidRPr="00AF5FD5">
        <w:t>Moyens de transport isothermes pour les marchandises sensibles à la température</w:t>
      </w:r>
      <w:r w:rsidRPr="00AF5FD5">
        <w:t> −</w:t>
      </w:r>
      <w:r w:rsidR="00B25DBE" w:rsidRPr="00AF5FD5">
        <w:t xml:space="preserve"> Prescriptions et essais, pour définir la terminologie, les dispositions particulières, les dispositions relatives aux essais ainsi que le dimensionnement des caisses isothermes, y compris l</w:t>
      </w:r>
      <w:r w:rsidR="00E84113" w:rsidRPr="00AF5FD5">
        <w:t>’</w:t>
      </w:r>
      <w:r w:rsidR="00E22585">
        <w:t>évaluation de la valeur </w:t>
      </w:r>
      <w:r w:rsidR="00B25DBE" w:rsidRPr="00AF5FD5">
        <w:t>k</w:t>
      </w:r>
      <w:r w:rsidR="0048024C" w:rsidRPr="00AF5FD5">
        <w:t> ;</w:t>
      </w:r>
      <w:r w:rsidR="00B25DBE" w:rsidRPr="00AF5FD5">
        <w:t xml:space="preserve"> un projet final a été publié en vue de la formulation d</w:t>
      </w:r>
      <w:r w:rsidR="00E84113" w:rsidRPr="00AF5FD5">
        <w:t>’</w:t>
      </w:r>
      <w:r w:rsidR="00B25DBE" w:rsidRPr="00AF5FD5">
        <w:t>observations jusqu</w:t>
      </w:r>
      <w:r w:rsidR="00E84113" w:rsidRPr="00AF5FD5">
        <w:t>’</w:t>
      </w:r>
      <w:r w:rsidRPr="00AF5FD5">
        <w:t>à la fin du mois d</w:t>
      </w:r>
      <w:r w:rsidR="00E84113" w:rsidRPr="00AF5FD5">
        <w:t>’</w:t>
      </w:r>
      <w:r w:rsidRPr="00AF5FD5">
        <w:t>octobre 2018 ;</w:t>
      </w:r>
    </w:p>
    <w:p w:rsidR="00B25DBE" w:rsidRPr="00AF5FD5" w:rsidRDefault="008D0A14" w:rsidP="008D0A14">
      <w:pPr>
        <w:pStyle w:val="Bullet1G"/>
      </w:pPr>
      <w:r w:rsidRPr="00AF5FD5">
        <w:t>Partie 2 : Matériel − </w:t>
      </w:r>
      <w:r w:rsidR="00B25DBE" w:rsidRPr="00AF5FD5">
        <w:t>Combinaison des caisses isothermes et de leurs dispositifs de chauffage ou de refroidissement, y compris la vérification des capacités de refroidissement et de chauffage pour le transport à longue dis</w:t>
      </w:r>
      <w:r w:rsidRPr="00AF5FD5">
        <w:t>tance ainsi que la distribution ;</w:t>
      </w:r>
    </w:p>
    <w:p w:rsidR="00B25DBE" w:rsidRPr="00AF5FD5" w:rsidRDefault="008D0A14" w:rsidP="008D0A14">
      <w:pPr>
        <w:pStyle w:val="Bullet1G"/>
      </w:pPr>
      <w:r w:rsidRPr="00AF5FD5">
        <w:t>Partie </w:t>
      </w:r>
      <w:r w:rsidR="00B25DBE" w:rsidRPr="00AF5FD5">
        <w:t>3</w:t>
      </w:r>
      <w:r w:rsidRPr="00AF5FD5">
        <w:t> </w:t>
      </w:r>
      <w:r w:rsidR="00B25DBE" w:rsidRPr="00AF5FD5">
        <w:t>: Petits conteneurs pour usages multiples, de volume intérieu</w:t>
      </w:r>
      <w:r w:rsidRPr="00AF5FD5">
        <w:t>r inférieur ou égal à 2 </w:t>
      </w:r>
      <w:r w:rsidR="00B25DBE" w:rsidRPr="00AF5FD5">
        <w:t>m³.</w:t>
      </w:r>
    </w:p>
    <w:p w:rsidR="00B25DBE" w:rsidRPr="00AF5FD5" w:rsidRDefault="008D0A14" w:rsidP="008D0A14">
      <w:pPr>
        <w:pStyle w:val="Bullet1G"/>
      </w:pPr>
      <w:r w:rsidRPr="00AF5FD5">
        <w:t>Partie supplémentaire </w:t>
      </w:r>
      <w:r w:rsidR="00B25DBE" w:rsidRPr="00AF5FD5">
        <w:t>: Exigences spéciales relatives aux systèmes multitempératures −</w:t>
      </w:r>
      <w:r w:rsidRPr="00AF5FD5">
        <w:t> </w:t>
      </w:r>
      <w:r w:rsidR="00B25DBE" w:rsidRPr="00AF5FD5">
        <w:t>prévue en tant que nouveau projet.</w:t>
      </w:r>
    </w:p>
    <w:p w:rsidR="00B25DBE" w:rsidRPr="00AF5FD5" w:rsidRDefault="00B25DBE" w:rsidP="00B25DBE">
      <w:pPr>
        <w:pStyle w:val="SingleTxtG"/>
      </w:pPr>
      <w:r w:rsidRPr="00AF5FD5">
        <w:t>43.</w:t>
      </w:r>
      <w:r w:rsidRPr="00AF5FD5">
        <w:tab/>
      </w:r>
      <w:r w:rsidRPr="00AF5FD5">
        <w:rPr>
          <w:lang w:val="fr-FR"/>
        </w:rPr>
        <w:t>Le projet définitif sera examiné lors de la prochaine réunion, qui doit se tenir les 12</w:t>
      </w:r>
      <w:r w:rsidR="008D0A14" w:rsidRPr="00AF5FD5">
        <w:rPr>
          <w:lang w:val="fr-FR"/>
        </w:rPr>
        <w:t> </w:t>
      </w:r>
      <w:r w:rsidRPr="00AF5FD5">
        <w:rPr>
          <w:lang w:val="fr-FR"/>
        </w:rPr>
        <w:t>et 13 novembre 2018, à Paris.</w:t>
      </w:r>
    </w:p>
    <w:p w:rsidR="00B25DBE" w:rsidRPr="00AF5FD5" w:rsidRDefault="00B25DBE" w:rsidP="008D0A14">
      <w:pPr>
        <w:pStyle w:val="H23G"/>
      </w:pPr>
      <w:r w:rsidRPr="00AF5FD5">
        <w:tab/>
      </w:r>
      <w:bookmarkStart w:id="22" w:name="_Toc528146971"/>
      <w:r w:rsidRPr="00AF5FD5">
        <w:t>3.</w:t>
      </w:r>
      <w:r w:rsidRPr="00AF5FD5">
        <w:tab/>
      </w:r>
      <w:r w:rsidRPr="00AF5FD5">
        <w:rPr>
          <w:lang w:val="fr-FR"/>
        </w:rPr>
        <w:t>Révision de la norme EN 12830</w:t>
      </w:r>
      <w:bookmarkEnd w:id="22"/>
    </w:p>
    <w:p w:rsidR="00B25DBE" w:rsidRPr="00AF5FD5" w:rsidRDefault="00B25DBE" w:rsidP="00B25DBE">
      <w:pPr>
        <w:pStyle w:val="SingleTxtG"/>
      </w:pPr>
      <w:r w:rsidRPr="00AF5FD5">
        <w:t>44.</w:t>
      </w:r>
      <w:r w:rsidRPr="00AF5FD5">
        <w:tab/>
      </w:r>
      <w:r w:rsidR="008D0A14" w:rsidRPr="00AF5FD5">
        <w:rPr>
          <w:lang w:val="fr-FR"/>
        </w:rPr>
        <w:t>Révision de la norme EN </w:t>
      </w:r>
      <w:r w:rsidRPr="00AF5FD5">
        <w:rPr>
          <w:lang w:val="fr-FR"/>
        </w:rPr>
        <w:t xml:space="preserve">12830:1999 </w:t>
      </w:r>
      <w:r w:rsidR="008D0A14" w:rsidRPr="00AF5FD5">
        <w:rPr>
          <w:lang w:val="fr-FR"/>
        </w:rPr>
        <w:t>− </w:t>
      </w:r>
      <w:r w:rsidRPr="00AF5FD5">
        <w:rPr>
          <w:lang w:val="fr-FR"/>
        </w:rPr>
        <w:t>Enregistreurs de température pour le transport, l</w:t>
      </w:r>
      <w:r w:rsidR="00E84113" w:rsidRPr="00AF5FD5">
        <w:rPr>
          <w:lang w:val="fr-FR"/>
        </w:rPr>
        <w:t>’</w:t>
      </w:r>
      <w:r w:rsidRPr="00AF5FD5">
        <w:rPr>
          <w:lang w:val="fr-FR"/>
        </w:rPr>
        <w:t>entreposage et la distribution de denrées alimentaires réfrigérées, congelées et surgelées et des crèmes glacées − Essais, performance, aptitude à l</w:t>
      </w:r>
      <w:r w:rsidR="00E84113" w:rsidRPr="00AF5FD5">
        <w:rPr>
          <w:lang w:val="fr-FR"/>
        </w:rPr>
        <w:t>’</w:t>
      </w:r>
      <w:r w:rsidRPr="00AF5FD5">
        <w:rPr>
          <w:lang w:val="fr-FR"/>
        </w:rPr>
        <w:t>emploi.</w:t>
      </w:r>
    </w:p>
    <w:p w:rsidR="00B25DBE" w:rsidRPr="00AF5FD5" w:rsidRDefault="00B25DBE" w:rsidP="00B25DBE">
      <w:pPr>
        <w:pStyle w:val="SingleTxtG"/>
      </w:pPr>
      <w:r w:rsidRPr="00AF5FD5">
        <w:t>45.</w:t>
      </w:r>
      <w:r w:rsidRPr="00AF5FD5">
        <w:tab/>
        <w:t xml:space="preserve">Une </w:t>
      </w:r>
      <w:r w:rsidR="008D0A14" w:rsidRPr="00AF5FD5">
        <w:t>nouvelle version de la norme EN </w:t>
      </w:r>
      <w:r w:rsidRPr="00AF5FD5">
        <w:t xml:space="preserve">12830:2018-10 </w:t>
      </w:r>
      <w:r w:rsidR="008D0A14" w:rsidRPr="00AF5FD5">
        <w:t>− </w:t>
      </w:r>
      <w:r w:rsidRPr="00AF5FD5">
        <w:t>Enregistreurs de température pour le transport, le stockage et la distribution des marchandises thermosensibles</w:t>
      </w:r>
      <w:r w:rsidR="008D0A14" w:rsidRPr="00AF5FD5">
        <w:t> −</w:t>
      </w:r>
      <w:r w:rsidRPr="00AF5FD5">
        <w:t xml:space="preserve"> Essais, p</w:t>
      </w:r>
      <w:r w:rsidR="008D0A14" w:rsidRPr="00AF5FD5">
        <w:t>erformance, aptitude à l</w:t>
      </w:r>
      <w:r w:rsidR="00E84113" w:rsidRPr="00AF5FD5">
        <w:t>’</w:t>
      </w:r>
      <w:r w:rsidR="008D0A14" w:rsidRPr="00AF5FD5">
        <w:t>emploi </w:t>
      </w:r>
      <w:r w:rsidRPr="00AF5FD5">
        <w:t>− a été publiée. Cette version tient compte de l</w:t>
      </w:r>
      <w:r w:rsidR="00E84113" w:rsidRPr="00AF5FD5">
        <w:t>’</w:t>
      </w:r>
      <w:r w:rsidRPr="00AF5FD5">
        <w:t>évolution et des besoins techniques effectifs. Le champ d</w:t>
      </w:r>
      <w:r w:rsidR="00E84113" w:rsidRPr="00AF5FD5">
        <w:t>’</w:t>
      </w:r>
      <w:r w:rsidRPr="00AF5FD5">
        <w:t>application de la norme révisée a été étendu à la gamme des t</w:t>
      </w:r>
      <w:r w:rsidR="008D0A14" w:rsidRPr="00AF5FD5">
        <w:t>empératures comprises entre -80 </w:t>
      </w:r>
      <w:r w:rsidRPr="00AF5FD5">
        <w:t>°C et +85</w:t>
      </w:r>
      <w:r w:rsidR="008D0A14" w:rsidRPr="00AF5FD5">
        <w:t> </w:t>
      </w:r>
      <w:r w:rsidRPr="00AF5FD5">
        <w:t>°C pour les marchandises sensibles à la température de la chaîne du froid.</w:t>
      </w:r>
    </w:p>
    <w:p w:rsidR="00B25DBE" w:rsidRPr="00AF5FD5" w:rsidRDefault="00B25DBE" w:rsidP="008D0A14">
      <w:pPr>
        <w:pStyle w:val="H23G"/>
      </w:pPr>
      <w:r w:rsidRPr="00AF5FD5">
        <w:tab/>
      </w:r>
      <w:bookmarkStart w:id="23" w:name="_Toc528146972"/>
      <w:r w:rsidRPr="00AF5FD5">
        <w:t>4.</w:t>
      </w:r>
      <w:r w:rsidRPr="00AF5FD5">
        <w:tab/>
      </w:r>
      <w:r w:rsidRPr="00AF5FD5">
        <w:rPr>
          <w:lang w:val="fr-FR"/>
        </w:rPr>
        <w:t>Révision des normes EN 13485 et EN 13486</w:t>
      </w:r>
      <w:bookmarkEnd w:id="23"/>
    </w:p>
    <w:p w:rsidR="00B25DBE" w:rsidRPr="00AF5FD5" w:rsidRDefault="00B25DBE" w:rsidP="00B25DBE">
      <w:pPr>
        <w:pStyle w:val="SingleTxtG"/>
      </w:pPr>
      <w:r w:rsidRPr="00AF5FD5">
        <w:t>46.</w:t>
      </w:r>
      <w:r w:rsidRPr="00AF5FD5">
        <w:tab/>
      </w:r>
      <w:r w:rsidRPr="00AF5FD5">
        <w:rPr>
          <w:lang w:val="fr-FR"/>
        </w:rPr>
        <w:t>Ce projet a été lancé le 4 octobre 2018, à Berlin, à l</w:t>
      </w:r>
      <w:r w:rsidR="00E84113" w:rsidRPr="00AF5FD5">
        <w:rPr>
          <w:lang w:val="fr-FR"/>
        </w:rPr>
        <w:t>’</w:t>
      </w:r>
      <w:r w:rsidRPr="00AF5FD5">
        <w:rPr>
          <w:lang w:val="fr-FR"/>
        </w:rPr>
        <w:t>occasion d</w:t>
      </w:r>
      <w:r w:rsidR="00E84113" w:rsidRPr="00AF5FD5">
        <w:rPr>
          <w:lang w:val="fr-FR"/>
        </w:rPr>
        <w:t>’</w:t>
      </w:r>
      <w:r w:rsidRPr="00AF5FD5">
        <w:rPr>
          <w:lang w:val="fr-FR"/>
        </w:rPr>
        <w:t>une première réunion du CEN TC 423 PC à laquelle participaient des experts de l</w:t>
      </w:r>
      <w:r w:rsidR="00E84113" w:rsidRPr="00AF5FD5">
        <w:rPr>
          <w:lang w:val="fr-FR"/>
        </w:rPr>
        <w:t>’</w:t>
      </w:r>
      <w:r w:rsidRPr="00AF5FD5">
        <w:rPr>
          <w:lang w:val="fr-FR"/>
        </w:rPr>
        <w:t>Allemagne, de la France, de la Grande-Bretagne, de l</w:t>
      </w:r>
      <w:r w:rsidR="00E84113" w:rsidRPr="00AF5FD5">
        <w:rPr>
          <w:lang w:val="fr-FR"/>
        </w:rPr>
        <w:t>’</w:t>
      </w:r>
      <w:r w:rsidRPr="00AF5FD5">
        <w:rPr>
          <w:lang w:val="fr-FR"/>
        </w:rPr>
        <w:t>Italie et de l</w:t>
      </w:r>
      <w:r w:rsidR="00E84113" w:rsidRPr="00AF5FD5">
        <w:rPr>
          <w:lang w:val="fr-FR"/>
        </w:rPr>
        <w:t>’</w:t>
      </w:r>
      <w:r w:rsidRPr="00AF5FD5">
        <w:rPr>
          <w:lang w:val="fr-FR"/>
        </w:rPr>
        <w:t>Espagne. La prochaine réunion, qui se tiendra le 6 février 2019 à Paris, portera notamment sur les points suivants :</w:t>
      </w:r>
    </w:p>
    <w:p w:rsidR="00B25DBE" w:rsidRPr="00AF5FD5" w:rsidRDefault="008D0A14" w:rsidP="008D0A14">
      <w:pPr>
        <w:pStyle w:val="Bullet1G"/>
      </w:pPr>
      <w:r w:rsidRPr="00AF5FD5">
        <w:t>Révision de la norme EN 13485:2002 − </w:t>
      </w:r>
      <w:r w:rsidR="00B25DBE" w:rsidRPr="00AF5FD5">
        <w:t>Thermomètres pour le mesurage de la température de l</w:t>
      </w:r>
      <w:r w:rsidR="00E84113" w:rsidRPr="00AF5FD5">
        <w:t>’</w:t>
      </w:r>
      <w:r w:rsidR="00B25DBE" w:rsidRPr="00AF5FD5">
        <w:t>air et des produits pour le transport, l</w:t>
      </w:r>
      <w:r w:rsidR="00E84113" w:rsidRPr="00AF5FD5">
        <w:t>’</w:t>
      </w:r>
      <w:r w:rsidR="00B25DBE" w:rsidRPr="00AF5FD5">
        <w:t xml:space="preserve">entreposage et la distribution de denrées alimentaires réfrigérées, congelées et </w:t>
      </w:r>
      <w:r w:rsidRPr="00AF5FD5">
        <w:t>surgelées et des crèmes glacées </w:t>
      </w:r>
      <w:r w:rsidR="00B25DBE" w:rsidRPr="00AF5FD5">
        <w:t>− Essais, performance, aptitude à l</w:t>
      </w:r>
      <w:r w:rsidR="00E84113" w:rsidRPr="00AF5FD5">
        <w:t>’</w:t>
      </w:r>
      <w:r w:rsidR="00B25DBE" w:rsidRPr="00AF5FD5">
        <w:t>emploi</w:t>
      </w:r>
      <w:r w:rsidR="0048024C" w:rsidRPr="00AF5FD5">
        <w:t> ;</w:t>
      </w:r>
      <w:r w:rsidR="00B25DBE" w:rsidRPr="00AF5FD5">
        <w:t xml:space="preserve"> et</w:t>
      </w:r>
    </w:p>
    <w:p w:rsidR="00B25DBE" w:rsidRPr="00AF5FD5" w:rsidRDefault="008D0A14" w:rsidP="008D0A14">
      <w:pPr>
        <w:pStyle w:val="Bullet1G"/>
      </w:pPr>
      <w:r w:rsidRPr="00AF5FD5">
        <w:t>Révision de la norme EN 13486:2002 − </w:t>
      </w:r>
      <w:r w:rsidR="00B25DBE" w:rsidRPr="00AF5FD5">
        <w:t>Enregistreurs de température et thermomètres pour le transport, l</w:t>
      </w:r>
      <w:r w:rsidR="00E84113" w:rsidRPr="00AF5FD5">
        <w:t>’</w:t>
      </w:r>
      <w:r w:rsidR="00B25DBE" w:rsidRPr="00AF5FD5">
        <w:t>entreposage et la distribution des denrées alimentaires réfrigérées, congelées et su</w:t>
      </w:r>
      <w:r w:rsidRPr="00AF5FD5">
        <w:t>rgelées et des crèmes glacées − Vérification périodique − </w:t>
      </w:r>
      <w:r w:rsidR="00B25DBE" w:rsidRPr="00AF5FD5">
        <w:t>en vue de l</w:t>
      </w:r>
      <w:r w:rsidR="00E84113" w:rsidRPr="00AF5FD5">
        <w:t>’</w:t>
      </w:r>
      <w:r w:rsidR="00B25DBE" w:rsidRPr="00AF5FD5">
        <w:t>adoption de modifications, et développement technique effectif de la norme publiée EN</w:t>
      </w:r>
      <w:r w:rsidRPr="00AF5FD5">
        <w:t> 12830:2018-10 </w:t>
      </w:r>
      <w:r w:rsidR="00B25DBE" w:rsidRPr="00AF5FD5">
        <w:t>−</w:t>
      </w:r>
      <w:r w:rsidR="00E22585">
        <w:t xml:space="preserve"> </w:t>
      </w:r>
      <w:r w:rsidR="00B25DBE" w:rsidRPr="00AF5FD5">
        <w:t xml:space="preserve">Enregistreurs de </w:t>
      </w:r>
      <w:r w:rsidR="00B25DBE" w:rsidRPr="00E22585">
        <w:rPr>
          <w:b/>
        </w:rPr>
        <w:t>température pour le transport, le stockage et la distribution des marchandises sensibles à la température</w:t>
      </w:r>
      <w:r w:rsidR="00B25DBE" w:rsidRPr="00AF5FD5">
        <w:t xml:space="preserve"> − Essais, performance, aptitude à l</w:t>
      </w:r>
      <w:r w:rsidR="00E84113" w:rsidRPr="00AF5FD5">
        <w:t>’</w:t>
      </w:r>
      <w:r w:rsidR="00B25DBE" w:rsidRPr="00AF5FD5">
        <w:t>emploi.</w:t>
      </w:r>
    </w:p>
    <w:p w:rsidR="00B25DBE" w:rsidRPr="00AF5FD5" w:rsidRDefault="00B25DBE" w:rsidP="008D0A14">
      <w:pPr>
        <w:pStyle w:val="H23G"/>
      </w:pPr>
      <w:r w:rsidRPr="00AF5FD5">
        <w:lastRenderedPageBreak/>
        <w:tab/>
      </w:r>
      <w:r w:rsidRPr="00AF5FD5">
        <w:tab/>
      </w:r>
      <w:bookmarkStart w:id="24" w:name="_Toc528146973"/>
      <w:r w:rsidRPr="00AF5FD5">
        <w:rPr>
          <w:lang w:val="fr-FR"/>
        </w:rPr>
        <w:t xml:space="preserve">Normes ISO </w:t>
      </w:r>
      <w:bookmarkEnd w:id="24"/>
    </w:p>
    <w:p w:rsidR="00B25DBE" w:rsidRPr="00AF5FD5" w:rsidRDefault="00B25DBE" w:rsidP="008D0A14">
      <w:pPr>
        <w:pStyle w:val="H23G"/>
      </w:pPr>
      <w:r w:rsidRPr="00AF5FD5">
        <w:tab/>
      </w:r>
      <w:bookmarkStart w:id="25" w:name="_Toc528146974"/>
      <w:r w:rsidRPr="00AF5FD5">
        <w:t>5.</w:t>
      </w:r>
      <w:r w:rsidRPr="00AF5FD5">
        <w:tab/>
      </w:r>
      <w:r w:rsidRPr="00AF5FD5">
        <w:rPr>
          <w:lang w:val="fr-FR"/>
        </w:rPr>
        <w:t xml:space="preserve">Normes ISO relatives aux conteneurs frigorifiques isothermes </w:t>
      </w:r>
      <w:r w:rsidRPr="00AF5FD5">
        <w:rPr>
          <w:lang w:val="fr-FR"/>
        </w:rPr>
        <w:br/>
        <w:t>maritimes à caractéristiques thermiques</w:t>
      </w:r>
      <w:r w:rsidRPr="00AF5FD5">
        <w:t xml:space="preserve"> </w:t>
      </w:r>
      <w:bookmarkEnd w:id="25"/>
    </w:p>
    <w:p w:rsidR="00B25DBE" w:rsidRPr="00AF5FD5" w:rsidRDefault="00B25DBE" w:rsidP="00B25DBE">
      <w:pPr>
        <w:pStyle w:val="SingleTxtG"/>
      </w:pPr>
      <w:r w:rsidRPr="00AF5FD5">
        <w:t>47.</w:t>
      </w:r>
      <w:r w:rsidRPr="00AF5FD5">
        <w:tab/>
      </w:r>
      <w:r w:rsidR="008D0A14" w:rsidRPr="00AF5FD5">
        <w:rPr>
          <w:lang w:val="fr-FR"/>
        </w:rPr>
        <w:t>Norme ISO </w:t>
      </w:r>
      <w:r w:rsidRPr="00AF5FD5">
        <w:rPr>
          <w:lang w:val="fr-FR"/>
        </w:rPr>
        <w:t>1496-</w:t>
      </w:r>
      <w:r w:rsidR="00E22585">
        <w:rPr>
          <w:lang w:val="fr-FR"/>
        </w:rPr>
        <w:t>Partie II</w:t>
      </w:r>
      <w:r w:rsidR="008D0A14" w:rsidRPr="00AF5FD5">
        <w:rPr>
          <w:lang w:val="fr-FR"/>
        </w:rPr>
        <w:t>, ISO/TC 104/SC2, Groupe de travail </w:t>
      </w:r>
      <w:r w:rsidRPr="00AF5FD5">
        <w:rPr>
          <w:lang w:val="fr-FR"/>
        </w:rPr>
        <w:t>1 −  Spécifications et essais, Conteneurs à caractéristiques thermiques :</w:t>
      </w:r>
    </w:p>
    <w:p w:rsidR="00B25DBE" w:rsidRPr="00AF5FD5" w:rsidRDefault="00B25DBE" w:rsidP="008D0A14">
      <w:pPr>
        <w:pStyle w:val="SingleTxtG"/>
        <w:ind w:firstLine="567"/>
      </w:pPr>
      <w:r w:rsidRPr="00AF5FD5">
        <w:t>a)</w:t>
      </w:r>
      <w:r w:rsidRPr="00AF5FD5">
        <w:tab/>
      </w:r>
      <w:r w:rsidRPr="00AF5FD5">
        <w:rPr>
          <w:lang w:val="fr-FR"/>
        </w:rPr>
        <w:t>Vote favorable au stade DIS, stade FDIS en cours et publication dans le courant de l</w:t>
      </w:r>
      <w:r w:rsidR="00E84113" w:rsidRPr="00AF5FD5">
        <w:rPr>
          <w:lang w:val="fr-FR"/>
        </w:rPr>
        <w:t>’</w:t>
      </w:r>
      <w:r w:rsidRPr="00AF5FD5">
        <w:rPr>
          <w:lang w:val="fr-FR"/>
        </w:rPr>
        <w:t>année</w:t>
      </w:r>
      <w:r w:rsidR="0048024C" w:rsidRPr="00AF5FD5">
        <w:t> ;</w:t>
      </w:r>
    </w:p>
    <w:p w:rsidR="00B25DBE" w:rsidRPr="00AF5FD5" w:rsidRDefault="00B25DBE" w:rsidP="008D0A14">
      <w:pPr>
        <w:pStyle w:val="SingleTxtG"/>
        <w:ind w:firstLine="567"/>
      </w:pPr>
      <w:r w:rsidRPr="00AF5FD5">
        <w:t>b)</w:t>
      </w:r>
      <w:r w:rsidRPr="00AF5FD5">
        <w:tab/>
      </w:r>
      <w:r w:rsidRPr="00AF5FD5">
        <w:rPr>
          <w:lang w:val="fr-FR"/>
        </w:rPr>
        <w:t>Un nouveau type de conteneur, avec une valeur K effective de 0,3W/m</w:t>
      </w:r>
      <w:r w:rsidRPr="00AF5FD5">
        <w:rPr>
          <w:vertAlign w:val="superscript"/>
          <w:lang w:val="fr-FR"/>
        </w:rPr>
        <w:t>2</w:t>
      </w:r>
      <w:r w:rsidRPr="00AF5FD5">
        <w:rPr>
          <w:lang w:val="fr-FR"/>
        </w:rPr>
        <w:t>/°C, ne devrait donc pas dépasser 0,4W/m</w:t>
      </w:r>
      <w:r w:rsidRPr="00AF5FD5">
        <w:rPr>
          <w:vertAlign w:val="superscript"/>
          <w:lang w:val="fr-FR"/>
        </w:rPr>
        <w:t>2</w:t>
      </w:r>
      <w:r w:rsidRPr="00AF5FD5">
        <w:rPr>
          <w:lang w:val="fr-FR"/>
        </w:rPr>
        <w:t>/°C au cours de sa vie, comme indiqué dans une nouvelle annexe sur le vieillissement dans laquelle il est question de la dégradation de l</w:t>
      </w:r>
      <w:r w:rsidR="00E84113" w:rsidRPr="00AF5FD5">
        <w:rPr>
          <w:lang w:val="fr-FR"/>
        </w:rPr>
        <w:t>’</w:t>
      </w:r>
      <w:r w:rsidRPr="00AF5FD5">
        <w:rPr>
          <w:lang w:val="fr-FR"/>
        </w:rPr>
        <w:t>isolation au fil du temps</w:t>
      </w:r>
      <w:r w:rsidR="0048024C" w:rsidRPr="00AF5FD5">
        <w:t> ;</w:t>
      </w:r>
    </w:p>
    <w:p w:rsidR="00B25DBE" w:rsidRPr="00AF5FD5" w:rsidRDefault="00B25DBE" w:rsidP="008D0A14">
      <w:pPr>
        <w:pStyle w:val="SingleTxtG"/>
        <w:ind w:firstLine="567"/>
      </w:pPr>
      <w:r w:rsidRPr="00AF5FD5">
        <w:t>c)</w:t>
      </w:r>
      <w:r w:rsidRPr="00AF5FD5">
        <w:tab/>
      </w:r>
      <w:r w:rsidRPr="00AF5FD5">
        <w:rPr>
          <w:lang w:val="fr-FR"/>
        </w:rPr>
        <w:t>Mesure de la valeur K désormais telle que décrite dans l</w:t>
      </w:r>
      <w:r w:rsidR="00E84113" w:rsidRPr="00AF5FD5">
        <w:rPr>
          <w:lang w:val="fr-FR"/>
        </w:rPr>
        <w:t>’</w:t>
      </w:r>
      <w:r w:rsidRPr="00AF5FD5">
        <w:rPr>
          <w:lang w:val="fr-FR"/>
        </w:rPr>
        <w:t>ATP. Exigences applicables à la circulation d</w:t>
      </w:r>
      <w:r w:rsidR="00E84113" w:rsidRPr="00AF5FD5">
        <w:rPr>
          <w:lang w:val="fr-FR"/>
        </w:rPr>
        <w:t>’</w:t>
      </w:r>
      <w:r w:rsidRPr="00AF5FD5">
        <w:rPr>
          <w:lang w:val="fr-FR"/>
        </w:rPr>
        <w:t>air en lien avec la ligne de charge et les hauteurs de plancher désormais comprises. Nouveaux essais de consommation d</w:t>
      </w:r>
      <w:r w:rsidR="00E84113" w:rsidRPr="00AF5FD5">
        <w:rPr>
          <w:lang w:val="fr-FR"/>
        </w:rPr>
        <w:t>’</w:t>
      </w:r>
      <w:r w:rsidRPr="00AF5FD5">
        <w:rPr>
          <w:lang w:val="fr-FR"/>
        </w:rPr>
        <w:t>énergie charge partielle désormais inclus</w:t>
      </w:r>
      <w:r w:rsidR="0048024C" w:rsidRPr="00AF5FD5">
        <w:t> ;</w:t>
      </w:r>
    </w:p>
    <w:p w:rsidR="00B25DBE" w:rsidRPr="00AF5FD5" w:rsidRDefault="00B25DBE" w:rsidP="008D0A14">
      <w:pPr>
        <w:pStyle w:val="SingleTxtG"/>
        <w:ind w:firstLine="567"/>
      </w:pPr>
      <w:r w:rsidRPr="00AF5FD5">
        <w:t>d)</w:t>
      </w:r>
      <w:r w:rsidRPr="00AF5FD5">
        <w:tab/>
      </w:r>
      <w:r w:rsidRPr="00AF5FD5">
        <w:rPr>
          <w:lang w:val="fr-FR"/>
        </w:rPr>
        <w:t>Nouvelle annexe H montrant un générateur auxiliaire facultatif.</w:t>
      </w:r>
    </w:p>
    <w:p w:rsidR="00B25DBE" w:rsidRPr="00AF5FD5" w:rsidRDefault="00B25DBE" w:rsidP="00B25DBE">
      <w:pPr>
        <w:pStyle w:val="SingleTxtG"/>
        <w:rPr>
          <w:lang w:val="fr-FR"/>
        </w:rPr>
      </w:pPr>
      <w:r w:rsidRPr="00AF5FD5">
        <w:t>48.</w:t>
      </w:r>
      <w:r w:rsidRPr="00AF5FD5">
        <w:tab/>
      </w:r>
      <w:r w:rsidRPr="00AF5FD5">
        <w:rPr>
          <w:lang w:val="fr-FR"/>
        </w:rPr>
        <w:t>Il a été précisé que les prescriptions d</w:t>
      </w:r>
      <w:r w:rsidR="00E84113" w:rsidRPr="00AF5FD5">
        <w:rPr>
          <w:lang w:val="fr-FR"/>
        </w:rPr>
        <w:t>’</w:t>
      </w:r>
      <w:r w:rsidRPr="00AF5FD5">
        <w:rPr>
          <w:lang w:val="fr-FR"/>
        </w:rPr>
        <w:t>essai ne s</w:t>
      </w:r>
      <w:r w:rsidR="00E84113" w:rsidRPr="00AF5FD5">
        <w:rPr>
          <w:lang w:val="fr-FR"/>
        </w:rPr>
        <w:t>’</w:t>
      </w:r>
      <w:r w:rsidRPr="00AF5FD5">
        <w:rPr>
          <w:lang w:val="fr-FR"/>
        </w:rPr>
        <w:t>appliqueraient qu</w:t>
      </w:r>
      <w:r w:rsidR="00E84113" w:rsidRPr="00AF5FD5">
        <w:rPr>
          <w:lang w:val="fr-FR"/>
        </w:rPr>
        <w:t>’</w:t>
      </w:r>
      <w:r w:rsidRPr="00AF5FD5">
        <w:rPr>
          <w:lang w:val="fr-FR"/>
        </w:rPr>
        <w:t>au matériel neuf et que, dans la mesure où cette norme en était aux dernières étapes de son adoption, aucune nouvelle modification n</w:t>
      </w:r>
      <w:r w:rsidR="00E84113" w:rsidRPr="00AF5FD5">
        <w:rPr>
          <w:lang w:val="fr-FR"/>
        </w:rPr>
        <w:t>’</w:t>
      </w:r>
      <w:r w:rsidRPr="00AF5FD5">
        <w:rPr>
          <w:lang w:val="fr-FR"/>
        </w:rPr>
        <w:t>était à prévoir en ce qui concerne la température de calcul.</w:t>
      </w:r>
    </w:p>
    <w:p w:rsidR="00B25DBE" w:rsidRPr="00AF5FD5" w:rsidRDefault="00B25DBE" w:rsidP="008D0A14">
      <w:pPr>
        <w:pStyle w:val="H23G"/>
      </w:pPr>
      <w:r w:rsidRPr="00AF5FD5">
        <w:tab/>
      </w:r>
      <w:bookmarkStart w:id="26" w:name="_Toc528146975"/>
      <w:r w:rsidRPr="00AF5FD5">
        <w:t>6.</w:t>
      </w:r>
      <w:r w:rsidRPr="00AF5FD5">
        <w:tab/>
        <w:t xml:space="preserve">Autres activités de normalisation intéressant le WP.11 </w:t>
      </w:r>
      <w:bookmarkEnd w:id="26"/>
    </w:p>
    <w:p w:rsidR="00B25DBE" w:rsidRPr="00AF5FD5" w:rsidRDefault="00B25DBE" w:rsidP="00B25DBE">
      <w:pPr>
        <w:pStyle w:val="SingleTxtG"/>
      </w:pPr>
      <w:r w:rsidRPr="00AF5FD5">
        <w:t>49.</w:t>
      </w:r>
      <w:r w:rsidRPr="00AF5FD5">
        <w:tab/>
      </w:r>
      <w:r w:rsidRPr="00AF5FD5">
        <w:rPr>
          <w:lang w:val="fr-FR"/>
        </w:rPr>
        <w:t>Informations sur les projets coréens relatifs à la norme ISO/TC 122 « Emballage ». Sous la houlette de la Corée, deux projets sont en cours d</w:t>
      </w:r>
      <w:r w:rsidR="00E84113" w:rsidRPr="00AF5FD5">
        <w:rPr>
          <w:lang w:val="fr-FR"/>
        </w:rPr>
        <w:t>’</w:t>
      </w:r>
      <w:r w:rsidRPr="00AF5FD5">
        <w:rPr>
          <w:lang w:val="fr-FR"/>
        </w:rPr>
        <w:t xml:space="preserve">élaboration dans le cadre du </w:t>
      </w:r>
      <w:r w:rsidR="00E84113" w:rsidRPr="00AF5FD5">
        <w:rPr>
          <w:lang w:val="fr-FR"/>
        </w:rPr>
        <w:t>groupe de travail ISO/TC 122/WG </w:t>
      </w:r>
      <w:r w:rsidRPr="00AF5FD5">
        <w:rPr>
          <w:lang w:val="fr-FR"/>
        </w:rPr>
        <w:t>16 (</w:t>
      </w:r>
      <w:r w:rsidRPr="00AF5FD5">
        <w:t>Emballages de transport à température contrôlée) :</w:t>
      </w:r>
    </w:p>
    <w:p w:rsidR="00B25DBE" w:rsidRPr="00AF5FD5" w:rsidRDefault="00E84113" w:rsidP="008D0A14">
      <w:pPr>
        <w:pStyle w:val="Bullet1G"/>
      </w:pPr>
      <w:r w:rsidRPr="00AF5FD5">
        <w:t>ISO/NP </w:t>
      </w:r>
      <w:r w:rsidR="00B25DBE" w:rsidRPr="00AF5FD5">
        <w:t xml:space="preserve">22982-1, Emballages de transport à température contrôlée </w:t>
      </w:r>
      <w:r w:rsidR="008D0A14" w:rsidRPr="00AF5FD5">
        <w:t>− Partie </w:t>
      </w:r>
      <w:r w:rsidR="00B25DBE" w:rsidRPr="00AF5FD5">
        <w:t>1</w:t>
      </w:r>
      <w:r w:rsidR="008D0A14" w:rsidRPr="00AF5FD5">
        <w:t> </w:t>
      </w:r>
      <w:r w:rsidR="00B25DBE" w:rsidRPr="00AF5FD5">
        <w:t>: Exigences générales concernant les emballages de transport à température contrôlée pour l</w:t>
      </w:r>
      <w:r w:rsidRPr="00AF5FD5">
        <w:t>’</w:t>
      </w:r>
      <w:r w:rsidR="00B25DBE" w:rsidRPr="00AF5FD5">
        <w:t>expédition de colis</w:t>
      </w:r>
      <w:r w:rsidR="0048024C" w:rsidRPr="00AF5FD5">
        <w:t> ;</w:t>
      </w:r>
      <w:r w:rsidR="00B25DBE" w:rsidRPr="00AF5FD5">
        <w:t xml:space="preserve"> et </w:t>
      </w:r>
    </w:p>
    <w:p w:rsidR="00B25DBE" w:rsidRPr="00AF5FD5" w:rsidRDefault="00E84113" w:rsidP="008D0A14">
      <w:pPr>
        <w:pStyle w:val="Bullet1G"/>
      </w:pPr>
      <w:r w:rsidRPr="00AF5FD5">
        <w:t>ISO/NP </w:t>
      </w:r>
      <w:r w:rsidR="00B25DBE" w:rsidRPr="00AF5FD5">
        <w:t xml:space="preserve">22982-2, Emballages de transport à température contrôlée </w:t>
      </w:r>
      <w:r w:rsidRPr="00AF5FD5">
        <w:t>− Partie </w:t>
      </w:r>
      <w:r w:rsidR="00B25DBE" w:rsidRPr="00AF5FD5">
        <w:t>2</w:t>
      </w:r>
      <w:r w:rsidRPr="00AF5FD5">
        <w:t> </w:t>
      </w:r>
      <w:r w:rsidR="00B25DBE" w:rsidRPr="00AF5FD5">
        <w:t>: Exigences générales concernant les essais des emballages de transport à température contrôlée pour l</w:t>
      </w:r>
      <w:r w:rsidRPr="00AF5FD5">
        <w:t>’</w:t>
      </w:r>
      <w:r w:rsidR="00B25DBE" w:rsidRPr="00AF5FD5">
        <w:t>expédition de colis.</w:t>
      </w:r>
    </w:p>
    <w:p w:rsidR="00B25DBE" w:rsidRPr="00AF5FD5" w:rsidRDefault="00B25DBE" w:rsidP="00E84113">
      <w:pPr>
        <w:pStyle w:val="HChG"/>
      </w:pPr>
      <w:r w:rsidRPr="00AF5FD5">
        <w:tab/>
      </w:r>
      <w:bookmarkStart w:id="27" w:name="_Toc528146976"/>
      <w:r w:rsidRPr="00AF5FD5">
        <w:t>VI.</w:t>
      </w:r>
      <w:r w:rsidRPr="00AF5FD5">
        <w:tab/>
      </w:r>
      <w:r w:rsidRPr="00AF5FD5">
        <w:rPr>
          <w:lang w:val="fr-FR"/>
        </w:rPr>
        <w:t>État et mise en œuvre de l</w:t>
      </w:r>
      <w:r w:rsidR="00E84113" w:rsidRPr="00AF5FD5">
        <w:rPr>
          <w:lang w:val="fr-FR"/>
        </w:rPr>
        <w:t>’</w:t>
      </w:r>
      <w:r w:rsidRPr="00AF5FD5">
        <w:rPr>
          <w:lang w:val="fr-FR"/>
        </w:rPr>
        <w:t xml:space="preserve">Accord relatif aux transports internationaux de denrées périssables et aux engins </w:t>
      </w:r>
      <w:r w:rsidRPr="00AF5FD5">
        <w:rPr>
          <w:lang w:val="fr-FR"/>
        </w:rPr>
        <w:br/>
        <w:t xml:space="preserve">spéciaux à utiliser pour ces transports (ATP) </w:t>
      </w:r>
      <w:r w:rsidRPr="00AF5FD5">
        <w:rPr>
          <w:lang w:val="fr-FR"/>
        </w:rPr>
        <w:br/>
        <w:t>(point 5 de l</w:t>
      </w:r>
      <w:r w:rsidR="00E84113" w:rsidRPr="00AF5FD5">
        <w:rPr>
          <w:lang w:val="fr-FR"/>
        </w:rPr>
        <w:t>’</w:t>
      </w:r>
      <w:r w:rsidRPr="00AF5FD5">
        <w:rPr>
          <w:lang w:val="fr-FR"/>
        </w:rPr>
        <w:t>ordre du jour)</w:t>
      </w:r>
      <w:bookmarkEnd w:id="27"/>
    </w:p>
    <w:p w:rsidR="00B25DBE" w:rsidRPr="00AF5FD5" w:rsidRDefault="00B25DBE" w:rsidP="00E84113">
      <w:pPr>
        <w:pStyle w:val="H1G"/>
      </w:pPr>
      <w:r w:rsidRPr="00AF5FD5">
        <w:tab/>
      </w:r>
      <w:bookmarkStart w:id="28" w:name="_Toc528146977"/>
      <w:r w:rsidR="00E84113" w:rsidRPr="00AF5FD5">
        <w:t>A.</w:t>
      </w:r>
      <w:r w:rsidR="00E84113" w:rsidRPr="00AF5FD5">
        <w:tab/>
        <w:t>État de l’</w:t>
      </w:r>
      <w:r w:rsidRPr="00AF5FD5">
        <w:t>Accord</w:t>
      </w:r>
      <w:bookmarkEnd w:id="28"/>
    </w:p>
    <w:p w:rsidR="00B25DBE" w:rsidRPr="00AF5FD5" w:rsidRDefault="00B25DBE" w:rsidP="00B25DBE">
      <w:pPr>
        <w:pStyle w:val="SingleTxtG"/>
        <w:rPr>
          <w:lang w:val="fr-FR"/>
        </w:rPr>
      </w:pPr>
      <w:r w:rsidRPr="00AF5FD5">
        <w:t>50.</w:t>
      </w:r>
      <w:r w:rsidRPr="00AF5FD5">
        <w:tab/>
      </w:r>
      <w:r w:rsidRPr="00AF5FD5">
        <w:rPr>
          <w:lang w:val="fr-FR"/>
        </w:rPr>
        <w:t>Aucune adhésion nouvelle à l</w:t>
      </w:r>
      <w:r w:rsidR="00E84113" w:rsidRPr="00AF5FD5">
        <w:rPr>
          <w:lang w:val="fr-FR"/>
        </w:rPr>
        <w:t>’</w:t>
      </w:r>
      <w:r w:rsidRPr="00AF5FD5">
        <w:rPr>
          <w:lang w:val="fr-FR"/>
        </w:rPr>
        <w:t>ATP n</w:t>
      </w:r>
      <w:r w:rsidR="00E84113" w:rsidRPr="00AF5FD5">
        <w:rPr>
          <w:lang w:val="fr-FR"/>
        </w:rPr>
        <w:t>’</w:t>
      </w:r>
      <w:r w:rsidRPr="00AF5FD5">
        <w:rPr>
          <w:lang w:val="fr-FR"/>
        </w:rPr>
        <w:t>est à signaler depuis la dernière session et le nombre de Parties contractantes reste donc de 50.</w:t>
      </w:r>
    </w:p>
    <w:p w:rsidR="00B25DBE" w:rsidRPr="00AF5FD5" w:rsidRDefault="00B25DBE" w:rsidP="00E84113">
      <w:pPr>
        <w:pStyle w:val="H1G"/>
      </w:pPr>
      <w:r w:rsidRPr="00AF5FD5">
        <w:tab/>
      </w:r>
      <w:bookmarkStart w:id="29" w:name="_Toc528146978"/>
      <w:r w:rsidR="00964E46">
        <w:t>B.</w:t>
      </w:r>
      <w:r w:rsidR="00964E46">
        <w:tab/>
      </w:r>
      <w:r w:rsidRPr="00AF5FD5">
        <w:t>État des amendements</w:t>
      </w:r>
      <w:bookmarkEnd w:id="29"/>
    </w:p>
    <w:p w:rsidR="00B25DBE" w:rsidRPr="00AF5FD5" w:rsidRDefault="00B25DBE" w:rsidP="00B25DBE">
      <w:pPr>
        <w:pStyle w:val="SingleTxtG"/>
        <w:rPr>
          <w:lang w:val="fr-FR"/>
        </w:rPr>
      </w:pPr>
      <w:r w:rsidRPr="00E65A5C">
        <w:rPr>
          <w:spacing w:val="-3"/>
        </w:rPr>
        <w:t>51.</w:t>
      </w:r>
      <w:r w:rsidRPr="00E65A5C">
        <w:rPr>
          <w:spacing w:val="-3"/>
        </w:rPr>
        <w:tab/>
      </w:r>
      <w:r w:rsidRPr="00E65A5C">
        <w:rPr>
          <w:spacing w:val="-3"/>
          <w:lang w:val="fr-FR"/>
        </w:rPr>
        <w:t>Les propositions d</w:t>
      </w:r>
      <w:r w:rsidR="00E84113" w:rsidRPr="00E65A5C">
        <w:rPr>
          <w:spacing w:val="-3"/>
          <w:lang w:val="fr-FR"/>
        </w:rPr>
        <w:t>’</w:t>
      </w:r>
      <w:r w:rsidRPr="00E65A5C">
        <w:rPr>
          <w:spacing w:val="-3"/>
          <w:lang w:val="fr-FR"/>
        </w:rPr>
        <w:t>amendement à l</w:t>
      </w:r>
      <w:r w:rsidR="00E84113" w:rsidRPr="00E65A5C">
        <w:rPr>
          <w:spacing w:val="-3"/>
          <w:lang w:val="fr-FR"/>
        </w:rPr>
        <w:t>’</w:t>
      </w:r>
      <w:r w:rsidRPr="00E65A5C">
        <w:rPr>
          <w:spacing w:val="-3"/>
          <w:lang w:val="fr-FR"/>
        </w:rPr>
        <w:t>ATP adoptées par le Groupe de travail à sa soixante-douzième session en 2016, qui sont reproduites à l</w:t>
      </w:r>
      <w:r w:rsidR="00E84113" w:rsidRPr="00E65A5C">
        <w:rPr>
          <w:spacing w:val="-3"/>
          <w:lang w:val="fr-FR"/>
        </w:rPr>
        <w:t>’</w:t>
      </w:r>
      <w:r w:rsidR="00331381" w:rsidRPr="00E65A5C">
        <w:rPr>
          <w:spacing w:val="-3"/>
          <w:lang w:val="fr-FR"/>
        </w:rPr>
        <w:t>annexe </w:t>
      </w:r>
      <w:r w:rsidRPr="00E65A5C">
        <w:rPr>
          <w:spacing w:val="-3"/>
          <w:lang w:val="fr-FR"/>
        </w:rPr>
        <w:t>I du rapport de cette session (ECE/TRANS/WP.11/235), (notification dépositaire C.N.58.2017.TREATIES-XI.B.22), ont été considérées comme acceptées à compter du 8 mai 2018 (notification dépositaire C.N.244.2018.TREATIES-XI.B.22) et entreront en vigueur le 8 novembre</w:t>
      </w:r>
      <w:r w:rsidR="00331381" w:rsidRPr="00E65A5C">
        <w:rPr>
          <w:spacing w:val="-3"/>
          <w:lang w:val="fr-FR"/>
        </w:rPr>
        <w:t> </w:t>
      </w:r>
      <w:r w:rsidRPr="00E65A5C">
        <w:rPr>
          <w:spacing w:val="-3"/>
          <w:lang w:val="fr-FR"/>
        </w:rPr>
        <w:t>2018</w:t>
      </w:r>
      <w:r w:rsidRPr="00AF5FD5">
        <w:rPr>
          <w:lang w:val="fr-FR"/>
        </w:rPr>
        <w:t>.</w:t>
      </w:r>
    </w:p>
    <w:p w:rsidR="00B25DBE" w:rsidRPr="00AF5FD5" w:rsidRDefault="00B25DBE" w:rsidP="00B25DBE">
      <w:pPr>
        <w:pStyle w:val="SingleTxtG"/>
        <w:rPr>
          <w:lang w:val="fr-FR"/>
        </w:rPr>
      </w:pPr>
      <w:r w:rsidRPr="00AF5FD5">
        <w:t>52.</w:t>
      </w:r>
      <w:r w:rsidRPr="00AF5FD5">
        <w:tab/>
      </w:r>
      <w:r w:rsidRPr="00AF5FD5">
        <w:rPr>
          <w:lang w:val="fr-FR"/>
        </w:rPr>
        <w:t>Les propositions de corrections à l</w:t>
      </w:r>
      <w:r w:rsidR="00E84113" w:rsidRPr="00AF5FD5">
        <w:rPr>
          <w:lang w:val="fr-FR"/>
        </w:rPr>
        <w:t>’</w:t>
      </w:r>
      <w:r w:rsidRPr="00AF5FD5">
        <w:rPr>
          <w:lang w:val="fr-FR"/>
        </w:rPr>
        <w:t>ATP adoptées à la soixante-treizième session du WP.11 en 20</w:t>
      </w:r>
      <w:r w:rsidR="00E84113" w:rsidRPr="00AF5FD5">
        <w:rPr>
          <w:lang w:val="fr-FR"/>
        </w:rPr>
        <w:t>17 (ECE/TRANS/WP.11/237, annexe </w:t>
      </w:r>
      <w:r w:rsidRPr="00AF5FD5">
        <w:rPr>
          <w:lang w:val="fr-FR"/>
        </w:rPr>
        <w:t xml:space="preserve">II) ont été notifiées aux Parties </w:t>
      </w:r>
      <w:r w:rsidRPr="00AF5FD5">
        <w:rPr>
          <w:lang w:val="fr-FR"/>
        </w:rPr>
        <w:lastRenderedPageBreak/>
        <w:t>contractantes à l</w:t>
      </w:r>
      <w:r w:rsidR="00E84113" w:rsidRPr="00AF5FD5">
        <w:rPr>
          <w:lang w:val="fr-FR"/>
        </w:rPr>
        <w:t>’</w:t>
      </w:r>
      <w:r w:rsidRPr="00AF5FD5">
        <w:rPr>
          <w:lang w:val="fr-FR"/>
        </w:rPr>
        <w:t>ATP par la Section des traités de l</w:t>
      </w:r>
      <w:r w:rsidR="00E84113" w:rsidRPr="00AF5FD5">
        <w:rPr>
          <w:lang w:val="fr-FR"/>
        </w:rPr>
        <w:t>’</w:t>
      </w:r>
      <w:r w:rsidRPr="00AF5FD5">
        <w:rPr>
          <w:lang w:val="fr-FR"/>
        </w:rPr>
        <w:t>ONU le 6 février 2018 (C.N.70.2018.TREATIES-XI.B.22). Les corrections ont été considérées comme acceptées le 7 mai 2018 (C.N.240.2018.TREATIES-XI.B.22).</w:t>
      </w:r>
    </w:p>
    <w:p w:rsidR="00B25DBE" w:rsidRPr="00AF5FD5" w:rsidRDefault="00B25DBE" w:rsidP="00E84113">
      <w:pPr>
        <w:pStyle w:val="H1G"/>
      </w:pPr>
      <w:r w:rsidRPr="00AF5FD5">
        <w:tab/>
      </w:r>
      <w:bookmarkStart w:id="30" w:name="_Toc528146979"/>
      <w:r w:rsidRPr="00AF5FD5">
        <w:t>C.</w:t>
      </w:r>
      <w:r w:rsidRPr="00AF5FD5">
        <w:tab/>
        <w:t>Stations d</w:t>
      </w:r>
      <w:r w:rsidR="00E84113" w:rsidRPr="00AF5FD5">
        <w:t>’</w:t>
      </w:r>
      <w:r w:rsidRPr="00AF5FD5">
        <w:t>essai officiellement désignées par l</w:t>
      </w:r>
      <w:r w:rsidR="00E84113" w:rsidRPr="00AF5FD5">
        <w:t>’</w:t>
      </w:r>
      <w:r w:rsidRPr="00AF5FD5">
        <w:t xml:space="preserve">autorité compétente </w:t>
      </w:r>
      <w:r w:rsidR="00E84113" w:rsidRPr="00AF5FD5">
        <w:br/>
      </w:r>
      <w:r w:rsidRPr="00AF5FD5">
        <w:t>des pays parties à l</w:t>
      </w:r>
      <w:r w:rsidR="00E84113" w:rsidRPr="00AF5FD5">
        <w:t>’</w:t>
      </w:r>
      <w:r w:rsidRPr="00AF5FD5">
        <w:t xml:space="preserve">ATP </w:t>
      </w:r>
      <w:bookmarkEnd w:id="30"/>
    </w:p>
    <w:p w:rsidR="00B25DBE" w:rsidRPr="00AF5FD5" w:rsidRDefault="00B25DBE" w:rsidP="00B25DBE">
      <w:pPr>
        <w:pStyle w:val="SingleTxtG"/>
      </w:pPr>
      <w:r w:rsidRPr="00AF5FD5">
        <w:t>53.</w:t>
      </w:r>
      <w:r w:rsidRPr="00AF5FD5">
        <w:tab/>
        <w:t>À sa soixante-treizième session, le Groupe de travail a demandé au secrétariat d</w:t>
      </w:r>
      <w:r w:rsidR="00E84113" w:rsidRPr="00AF5FD5">
        <w:t>’</w:t>
      </w:r>
      <w:r w:rsidRPr="00AF5FD5">
        <w:t>envoyer à toutes les Parties contractantes une lettre rappelant, entre autres choses, l</w:t>
      </w:r>
      <w:r w:rsidR="00E84113" w:rsidRPr="00AF5FD5">
        <w:t>’</w:t>
      </w:r>
      <w:r w:rsidRPr="00AF5FD5">
        <w:t>obligation qu</w:t>
      </w:r>
      <w:r w:rsidR="00E84113" w:rsidRPr="00AF5FD5">
        <w:t>’</w:t>
      </w:r>
      <w:r w:rsidRPr="00AF5FD5">
        <w:t xml:space="preserve">ont celles-ci de tenir à jour les coordonnées des autorités compétentes. </w:t>
      </w:r>
    </w:p>
    <w:p w:rsidR="00B25DBE" w:rsidRPr="00AF5FD5" w:rsidRDefault="00B25DBE" w:rsidP="00B25DBE">
      <w:pPr>
        <w:pStyle w:val="SingleTxtG"/>
        <w:rPr>
          <w:u w:val="single"/>
        </w:rPr>
      </w:pPr>
      <w:r w:rsidRPr="00AF5FD5">
        <w:t>54.</w:t>
      </w:r>
      <w:r w:rsidRPr="00AF5FD5">
        <w:tab/>
        <w:t>De ce fait, plusieurs pays ont mis à jour les coordonnées de</w:t>
      </w:r>
      <w:r w:rsidR="00E84113" w:rsidRPr="00AF5FD5">
        <w:t xml:space="preserve"> leurs autorités compétentes. </w:t>
      </w:r>
      <w:r w:rsidRPr="00AF5FD5">
        <w:t>Toutes les informations reçues ont été ajoutées à la liste des autorités compétentes et des stations d</w:t>
      </w:r>
      <w:r w:rsidR="00E84113" w:rsidRPr="00AF5FD5">
        <w:t>’</w:t>
      </w:r>
      <w:r w:rsidRPr="00AF5FD5">
        <w:t>essai officiellement désignées, qui peut être consultée à l</w:t>
      </w:r>
      <w:r w:rsidR="00E84113" w:rsidRPr="00AF5FD5">
        <w:t>’adresse suivante :</w:t>
      </w:r>
      <w:r w:rsidRPr="00AF5FD5">
        <w:t xml:space="preserve"> </w:t>
      </w:r>
      <w:hyperlink r:id="rId10" w:history="1">
        <w:r w:rsidRPr="00AF5FD5">
          <w:rPr>
            <w:rStyle w:val="Hyperlink"/>
            <w:color w:val="auto"/>
          </w:rPr>
          <w:t>http://www.unece.org/trans/main/wp11/teststationsnew.html</w:t>
        </w:r>
      </w:hyperlink>
      <w:r w:rsidR="00E84113" w:rsidRPr="00AF5FD5">
        <w:t>.</w:t>
      </w:r>
    </w:p>
    <w:p w:rsidR="00B25DBE" w:rsidRPr="00AF5FD5" w:rsidRDefault="00B25DBE" w:rsidP="00E84113">
      <w:pPr>
        <w:pStyle w:val="H1G"/>
      </w:pPr>
      <w:r w:rsidRPr="00AF5FD5">
        <w:tab/>
      </w:r>
      <w:bookmarkStart w:id="31" w:name="_Toc528146980"/>
      <w:r w:rsidRPr="00AF5FD5">
        <w:t>D.</w:t>
      </w:r>
      <w:r w:rsidRPr="00AF5FD5">
        <w:tab/>
      </w:r>
      <w:r w:rsidRPr="00AF5FD5">
        <w:rPr>
          <w:lang w:val="fr-FR"/>
        </w:rPr>
        <w:t>Échange d</w:t>
      </w:r>
      <w:r w:rsidR="00E84113" w:rsidRPr="00AF5FD5">
        <w:rPr>
          <w:lang w:val="fr-FR"/>
        </w:rPr>
        <w:t>’</w:t>
      </w:r>
      <w:r w:rsidRPr="00AF5FD5">
        <w:rPr>
          <w:lang w:val="fr-FR"/>
        </w:rPr>
        <w:t xml:space="preserve">informations entre les Parties en vertu </w:t>
      </w:r>
      <w:r w:rsidR="00E84113" w:rsidRPr="00AF5FD5">
        <w:rPr>
          <w:lang w:val="fr-FR"/>
        </w:rPr>
        <w:br/>
      </w:r>
      <w:r w:rsidRPr="00AF5FD5">
        <w:rPr>
          <w:lang w:val="fr-FR"/>
        </w:rPr>
        <w:t>de l</w:t>
      </w:r>
      <w:r w:rsidR="00E84113" w:rsidRPr="00AF5FD5">
        <w:rPr>
          <w:lang w:val="fr-FR"/>
        </w:rPr>
        <w:t>’article </w:t>
      </w:r>
      <w:r w:rsidRPr="00AF5FD5">
        <w:rPr>
          <w:lang w:val="fr-FR"/>
        </w:rPr>
        <w:t>6 de l</w:t>
      </w:r>
      <w:r w:rsidR="00E84113" w:rsidRPr="00AF5FD5">
        <w:rPr>
          <w:lang w:val="fr-FR"/>
        </w:rPr>
        <w:t>’</w:t>
      </w:r>
      <w:r w:rsidRPr="00AF5FD5">
        <w:rPr>
          <w:lang w:val="fr-FR"/>
        </w:rPr>
        <w:t>ATP</w:t>
      </w:r>
      <w:r w:rsidRPr="00AF5FD5">
        <w:t xml:space="preserve"> </w:t>
      </w:r>
      <w:bookmarkEnd w:id="31"/>
    </w:p>
    <w:p w:rsidR="00B25DBE" w:rsidRPr="00AF5FD5" w:rsidRDefault="00B25DBE" w:rsidP="00E84113">
      <w:pPr>
        <w:pStyle w:val="SingleTxtG"/>
        <w:ind w:left="3119" w:hanging="1985"/>
      </w:pPr>
      <w:r w:rsidRPr="00AF5FD5">
        <w:rPr>
          <w:i/>
        </w:rPr>
        <w:t>Document</w:t>
      </w:r>
      <w:r w:rsidR="00E84113" w:rsidRPr="00AF5FD5">
        <w:rPr>
          <w:i/>
        </w:rPr>
        <w:t> </w:t>
      </w:r>
      <w:r w:rsidR="00E84113" w:rsidRPr="00AF5FD5">
        <w:t>:</w:t>
      </w:r>
      <w:r w:rsidR="00E84113" w:rsidRPr="00AF5FD5">
        <w:tab/>
      </w:r>
      <w:r w:rsidRPr="00AF5FD5">
        <w:t>ECE/TRANS/WP.11/2018/1 (secrétariat)</w:t>
      </w:r>
      <w:r w:rsidR="00E84113" w:rsidRPr="00AF5FD5">
        <w:t>.</w:t>
      </w:r>
    </w:p>
    <w:p w:rsidR="00B25DBE" w:rsidRPr="00AF5FD5" w:rsidRDefault="00B25DBE" w:rsidP="00E84113">
      <w:pPr>
        <w:pStyle w:val="SingleTxtG"/>
        <w:ind w:left="3119" w:hanging="1985"/>
      </w:pPr>
      <w:r w:rsidRPr="00AF5FD5">
        <w:rPr>
          <w:i/>
          <w:iCs/>
        </w:rPr>
        <w:t>Document informel</w:t>
      </w:r>
      <w:r w:rsidR="00E84113" w:rsidRPr="00AF5FD5">
        <w:rPr>
          <w:i/>
          <w:iCs/>
        </w:rPr>
        <w:t> </w:t>
      </w:r>
      <w:r w:rsidR="00E84113" w:rsidRPr="00AF5FD5">
        <w:t>:</w:t>
      </w:r>
      <w:r w:rsidRPr="00AF5FD5">
        <w:t xml:space="preserve"> </w:t>
      </w:r>
      <w:r w:rsidR="00E84113" w:rsidRPr="00AF5FD5">
        <w:tab/>
      </w:r>
      <w:r w:rsidRPr="00AF5FD5">
        <w:t>INF.8 (Maroc)</w:t>
      </w:r>
      <w:r w:rsidR="00E84113" w:rsidRPr="00AF5FD5">
        <w:t>.</w:t>
      </w:r>
    </w:p>
    <w:p w:rsidR="00B25DBE" w:rsidRPr="00AF5FD5" w:rsidRDefault="00B25DBE" w:rsidP="00B25DBE">
      <w:pPr>
        <w:pStyle w:val="SingleTxtG"/>
      </w:pPr>
      <w:r w:rsidRPr="00AF5FD5">
        <w:t>55.</w:t>
      </w:r>
      <w:r w:rsidRPr="00AF5FD5">
        <w:tab/>
        <w:t>À sa dernière sess</w:t>
      </w:r>
      <w:r w:rsidR="00E84113" w:rsidRPr="00AF5FD5">
        <w:t>ion, le WP.11 a remercié les 23 </w:t>
      </w:r>
      <w:r w:rsidRPr="00AF5FD5">
        <w:t>pays qui avaient fourni des données en réponse au questionnaire sur l</w:t>
      </w:r>
      <w:r w:rsidR="00E84113" w:rsidRPr="00AF5FD5">
        <w:t>’</w:t>
      </w:r>
      <w:r w:rsidRPr="00AF5FD5">
        <w:t>application de l</w:t>
      </w:r>
      <w:r w:rsidR="00E84113" w:rsidRPr="00AF5FD5">
        <w:t>’</w:t>
      </w:r>
      <w:r w:rsidRPr="00AF5FD5">
        <w:t>ATP en 2016 et a souligné qu</w:t>
      </w:r>
      <w:r w:rsidR="00E84113" w:rsidRPr="00AF5FD5">
        <w:t>’</w:t>
      </w:r>
      <w:r w:rsidRPr="00AF5FD5">
        <w:t>il était indispensable d</w:t>
      </w:r>
      <w:r w:rsidR="00E84113" w:rsidRPr="00AF5FD5">
        <w:t>’</w:t>
      </w:r>
      <w:r w:rsidRPr="00AF5FD5">
        <w:t>obtenir des informations de toutes les Parties contractantes à l</w:t>
      </w:r>
      <w:r w:rsidR="00E84113" w:rsidRPr="00AF5FD5">
        <w:t>’</w:t>
      </w:r>
      <w:r w:rsidRPr="00AF5FD5">
        <w:t>ATP et que c</w:t>
      </w:r>
      <w:r w:rsidR="00E84113" w:rsidRPr="00AF5FD5">
        <w:t>’</w:t>
      </w:r>
      <w:r w:rsidRPr="00AF5FD5">
        <w:t>était un moyen d</w:t>
      </w:r>
      <w:r w:rsidR="00E84113" w:rsidRPr="00AF5FD5">
        <w:t>’</w:t>
      </w:r>
      <w:r w:rsidRPr="00AF5FD5">
        <w:t>harmoniser la mise en œuvre de l</w:t>
      </w:r>
      <w:r w:rsidR="00E84113" w:rsidRPr="00AF5FD5">
        <w:t>’</w:t>
      </w:r>
      <w:r w:rsidRPr="00AF5FD5">
        <w:t>Accord. Les informations reçues pour l</w:t>
      </w:r>
      <w:r w:rsidR="00E84113" w:rsidRPr="00AF5FD5">
        <w:t>’</w:t>
      </w:r>
      <w:r w:rsidRPr="00AF5FD5">
        <w:t>année 2017 figurent dans le document ECE/TRANS/WP.11/2018/1 et le document informel INF.8. Les pays ont également été priés de répondre à des questions supplémentaires concernant l</w:t>
      </w:r>
      <w:r w:rsidR="00E84113" w:rsidRPr="00AF5FD5">
        <w:t>’</w:t>
      </w:r>
      <w:r w:rsidRPr="00AF5FD5">
        <w:t>application de l</w:t>
      </w:r>
      <w:r w:rsidR="00E84113" w:rsidRPr="00AF5FD5">
        <w:t>’ATP </w:t>
      </w:r>
      <w:r w:rsidRPr="00AF5FD5">
        <w:t>; les réponses reçues par le secrétariat figurent dans les annexes du document ECE/TRANS/WP.11/ 2018/1.</w:t>
      </w:r>
    </w:p>
    <w:p w:rsidR="00B25DBE" w:rsidRPr="00AF5FD5" w:rsidRDefault="00B25DBE" w:rsidP="00B25DBE">
      <w:pPr>
        <w:pStyle w:val="SingleTxtG"/>
      </w:pPr>
      <w:r w:rsidRPr="00AF5FD5">
        <w:t>56.</w:t>
      </w:r>
      <w:r w:rsidRPr="00AF5FD5">
        <w:tab/>
        <w:t>Lors de sa soixante-treizième session, le Groupe de travail a prié le secrétariat d</w:t>
      </w:r>
      <w:r w:rsidR="00E84113" w:rsidRPr="00AF5FD5">
        <w:t>’</w:t>
      </w:r>
      <w:r w:rsidRPr="00AF5FD5">
        <w:t>envoyer une lettre à toutes les Parties contractantes, leur demandant de s</w:t>
      </w:r>
      <w:r w:rsidR="00E84113" w:rsidRPr="00AF5FD5">
        <w:t>’</w:t>
      </w:r>
      <w:r w:rsidRPr="00AF5FD5">
        <w:t>acquitter de l</w:t>
      </w:r>
      <w:r w:rsidR="00E84113" w:rsidRPr="00AF5FD5">
        <w:t>’</w:t>
      </w:r>
      <w:r w:rsidRPr="00AF5FD5">
        <w:t>obligation qui leur est faite par l</w:t>
      </w:r>
      <w:r w:rsidR="00E84113" w:rsidRPr="00AF5FD5">
        <w:t>’article </w:t>
      </w:r>
      <w:r w:rsidRPr="00AF5FD5">
        <w:t>6 de l</w:t>
      </w:r>
      <w:r w:rsidR="00E84113" w:rsidRPr="00AF5FD5">
        <w:t>’</w:t>
      </w:r>
      <w:r w:rsidRPr="00AF5FD5">
        <w:t>ATP de répondre au questionnaire qui leur est adressé chaque année. Malgré cela, le nombre de réponses reçues n</w:t>
      </w:r>
      <w:r w:rsidR="00E84113" w:rsidRPr="00AF5FD5">
        <w:t>’</w:t>
      </w:r>
      <w:r w:rsidRPr="00AF5FD5">
        <w:t xml:space="preserve">a pas augmenté par rapport aux années précédentes. </w:t>
      </w:r>
    </w:p>
    <w:p w:rsidR="00B25DBE" w:rsidRPr="00AF5FD5" w:rsidRDefault="00B25DBE" w:rsidP="00E84113">
      <w:pPr>
        <w:pStyle w:val="H1G"/>
      </w:pPr>
      <w:r w:rsidRPr="00AF5FD5">
        <w:tab/>
      </w:r>
      <w:bookmarkStart w:id="32" w:name="_Toc528146981"/>
      <w:r w:rsidRPr="00AF5FD5">
        <w:t>E.</w:t>
      </w:r>
      <w:r w:rsidRPr="00AF5FD5">
        <w:tab/>
        <w:t>Interprétation de l</w:t>
      </w:r>
      <w:r w:rsidR="00E84113" w:rsidRPr="00AF5FD5">
        <w:t>’</w:t>
      </w:r>
      <w:r w:rsidRPr="00AF5FD5">
        <w:t>ATP</w:t>
      </w:r>
      <w:bookmarkEnd w:id="32"/>
    </w:p>
    <w:p w:rsidR="00B25DBE" w:rsidRPr="00AF5FD5" w:rsidRDefault="00B25DBE" w:rsidP="00E84113">
      <w:pPr>
        <w:pStyle w:val="H23G"/>
      </w:pPr>
      <w:r w:rsidRPr="00AF5FD5">
        <w:tab/>
      </w:r>
      <w:bookmarkStart w:id="33" w:name="_Toc528146982"/>
      <w:r w:rsidRPr="00AF5FD5">
        <w:t>1.</w:t>
      </w:r>
      <w:r w:rsidRPr="00AF5FD5">
        <w:tab/>
        <w:t>Proposition d</w:t>
      </w:r>
      <w:r w:rsidR="00E84113" w:rsidRPr="00AF5FD5">
        <w:t>’amendement au paragraphe </w:t>
      </w:r>
      <w:r w:rsidRPr="00AF5FD5">
        <w:t>6.5 de l</w:t>
      </w:r>
      <w:r w:rsidR="00E84113" w:rsidRPr="00AF5FD5">
        <w:t>’appendice </w:t>
      </w:r>
      <w:r w:rsidRPr="00AF5FD5">
        <w:t>2 de l</w:t>
      </w:r>
      <w:r w:rsidR="00E84113" w:rsidRPr="00AF5FD5">
        <w:t>’annexe 1 </w:t>
      </w:r>
      <w:r w:rsidRPr="00AF5FD5">
        <w:t xml:space="preserve">: </w:t>
      </w:r>
      <w:r w:rsidR="00E84113" w:rsidRPr="00AF5FD5">
        <w:br/>
      </w:r>
      <w:r w:rsidRPr="00AF5FD5">
        <w:t>Mesure de la température à l</w:t>
      </w:r>
      <w:r w:rsidR="00E84113" w:rsidRPr="00AF5FD5">
        <w:t>’</w:t>
      </w:r>
      <w:r w:rsidRPr="00AF5FD5">
        <w:t>extérieur au cours d</w:t>
      </w:r>
      <w:r w:rsidR="00E84113" w:rsidRPr="00AF5FD5">
        <w:t>’</w:t>
      </w:r>
      <w:r w:rsidRPr="00AF5FD5">
        <w:t xml:space="preserve">essais de descente en température </w:t>
      </w:r>
      <w:bookmarkEnd w:id="33"/>
    </w:p>
    <w:p w:rsidR="00B25DBE" w:rsidRPr="00AF5FD5" w:rsidRDefault="00B25DBE" w:rsidP="00E84113">
      <w:pPr>
        <w:pStyle w:val="SingleTxtG"/>
        <w:ind w:left="3119" w:hanging="1985"/>
      </w:pPr>
      <w:r w:rsidRPr="00AF5FD5">
        <w:rPr>
          <w:i/>
        </w:rPr>
        <w:t>Document</w:t>
      </w:r>
      <w:r w:rsidR="00E84113" w:rsidRPr="00AF5FD5">
        <w:rPr>
          <w:i/>
        </w:rPr>
        <w:t> </w:t>
      </w:r>
      <w:r w:rsidR="00E84113" w:rsidRPr="00AF5FD5">
        <w:t>:</w:t>
      </w:r>
      <w:r w:rsidR="00E84113" w:rsidRPr="00AF5FD5">
        <w:tab/>
      </w:r>
      <w:r w:rsidRPr="00AF5FD5">
        <w:t>ECE/TRANS/WP.11/2018/15 (Finlande)</w:t>
      </w:r>
      <w:r w:rsidR="00E84113" w:rsidRPr="00AF5FD5">
        <w:t>.</w:t>
      </w:r>
    </w:p>
    <w:p w:rsidR="00B25DBE" w:rsidRPr="00AF5FD5" w:rsidRDefault="00B25DBE" w:rsidP="00E84113">
      <w:pPr>
        <w:pStyle w:val="SingleTxtG"/>
        <w:ind w:left="3119" w:hanging="1985"/>
      </w:pPr>
      <w:r w:rsidRPr="00AF5FD5">
        <w:rPr>
          <w:i/>
          <w:iCs/>
        </w:rPr>
        <w:t>Documents informels</w:t>
      </w:r>
      <w:r w:rsidR="00E84113" w:rsidRPr="00AF5FD5">
        <w:rPr>
          <w:i/>
          <w:iCs/>
        </w:rPr>
        <w:t> </w:t>
      </w:r>
      <w:r w:rsidR="00E84113" w:rsidRPr="00AF5FD5">
        <w:t>:</w:t>
      </w:r>
      <w:r w:rsidRPr="00AF5FD5">
        <w:t xml:space="preserve"> </w:t>
      </w:r>
      <w:r w:rsidR="00E84113" w:rsidRPr="00AF5FD5">
        <w:tab/>
      </w:r>
      <w:r w:rsidRPr="00AF5FD5">
        <w:t>INF.3 (Fédération de Russie) et INF.12 (Finlande)</w:t>
      </w:r>
      <w:r w:rsidR="00E84113" w:rsidRPr="00AF5FD5">
        <w:t>.</w:t>
      </w:r>
    </w:p>
    <w:p w:rsidR="00B25DBE" w:rsidRPr="00AF5FD5" w:rsidRDefault="00B25DBE" w:rsidP="00B25DBE">
      <w:pPr>
        <w:pStyle w:val="SingleTxtG"/>
      </w:pPr>
      <w:r w:rsidRPr="00AF5FD5">
        <w:t>57.</w:t>
      </w:r>
      <w:r w:rsidRPr="00AF5FD5">
        <w:tab/>
        <w:t>Le WP.11 a souscrit dans son principe à l</w:t>
      </w:r>
      <w:r w:rsidR="00E84113" w:rsidRPr="00AF5FD5">
        <w:t>’</w:t>
      </w:r>
      <w:r w:rsidRPr="00AF5FD5">
        <w:t>amendement proposé et a noté qu</w:t>
      </w:r>
      <w:r w:rsidR="00E84113" w:rsidRPr="00AF5FD5">
        <w:t>’</w:t>
      </w:r>
      <w:r w:rsidRPr="00AF5FD5">
        <w:t>il fallait s</w:t>
      </w:r>
      <w:r w:rsidR="00E84113" w:rsidRPr="00AF5FD5">
        <w:t>’</w:t>
      </w:r>
      <w:r w:rsidRPr="00AF5FD5">
        <w:t>assurer que la méthode d</w:t>
      </w:r>
      <w:r w:rsidR="00E84113" w:rsidRPr="00AF5FD5">
        <w:t>’</w:t>
      </w:r>
      <w:r w:rsidRPr="00AF5FD5">
        <w:t>essai soit appliquée de manière harmonisée. Il a également été souligné qu</w:t>
      </w:r>
      <w:r w:rsidR="00E84113" w:rsidRPr="00AF5FD5">
        <w:t>’</w:t>
      </w:r>
      <w:r w:rsidRPr="00AF5FD5">
        <w:t>une étude d</w:t>
      </w:r>
      <w:r w:rsidR="00E84113" w:rsidRPr="00AF5FD5">
        <w:t>’</w:t>
      </w:r>
      <w:r w:rsidRPr="00AF5FD5">
        <w:t>impact devrait être menée avant d</w:t>
      </w:r>
      <w:r w:rsidR="00E84113" w:rsidRPr="00AF5FD5">
        <w:t>’</w:t>
      </w:r>
      <w:r w:rsidRPr="00AF5FD5">
        <w:t>adopter les modifications proposées.</w:t>
      </w:r>
    </w:p>
    <w:p w:rsidR="00B25DBE" w:rsidRPr="00AF5FD5" w:rsidRDefault="00B25DBE" w:rsidP="00B25DBE">
      <w:pPr>
        <w:pStyle w:val="SingleTxtG"/>
      </w:pPr>
      <w:r w:rsidRPr="00AF5FD5">
        <w:t>58.</w:t>
      </w:r>
      <w:r w:rsidRPr="00AF5FD5">
        <w:tab/>
        <w:t>L</w:t>
      </w:r>
      <w:r w:rsidR="00E84113" w:rsidRPr="00AF5FD5">
        <w:t>’</w:t>
      </w:r>
      <w:r w:rsidRPr="00AF5FD5">
        <w:t>examen des détails techniques ayant suscité un certain nombre d</w:t>
      </w:r>
      <w:r w:rsidR="00E84113" w:rsidRPr="00AF5FD5">
        <w:t>’</w:t>
      </w:r>
      <w:r w:rsidRPr="00AF5FD5">
        <w:t>interrogations, le Groupe de travail a décidé de confier le document à un groupe de travail informel chargé de régler ces questions ainsi que celles qui sont soulevées dans le document informel INF.3.</w:t>
      </w:r>
    </w:p>
    <w:p w:rsidR="00B25DBE" w:rsidRPr="00AF5FD5" w:rsidRDefault="00B25DBE" w:rsidP="00B25DBE">
      <w:pPr>
        <w:pStyle w:val="SingleTxtG"/>
      </w:pPr>
      <w:r w:rsidRPr="00AF5FD5">
        <w:t>59.</w:t>
      </w:r>
      <w:r w:rsidRPr="00AF5FD5">
        <w:tab/>
        <w:t>Le groupe de travail informel soumettrait une nouvelle proposition pour examen à la prochaine session. Les représentants de la Fédération de Russie, de la Finlande, de la France, et de l</w:t>
      </w:r>
      <w:r w:rsidR="00E84113" w:rsidRPr="00AF5FD5">
        <w:t>’</w:t>
      </w:r>
      <w:r w:rsidRPr="00AF5FD5">
        <w:t>IIF ont fait part de leur intention de participer à ces travaux.</w:t>
      </w:r>
    </w:p>
    <w:p w:rsidR="00B25DBE" w:rsidRPr="00AF5FD5" w:rsidRDefault="00B25DBE" w:rsidP="00E84113">
      <w:pPr>
        <w:pStyle w:val="H23G"/>
      </w:pPr>
      <w:r w:rsidRPr="00AF5FD5">
        <w:lastRenderedPageBreak/>
        <w:tab/>
      </w:r>
      <w:bookmarkStart w:id="34" w:name="_Toc528146983"/>
      <w:r w:rsidRPr="00AF5FD5">
        <w:t>2.</w:t>
      </w:r>
      <w:r w:rsidRPr="00AF5FD5">
        <w:tab/>
        <w:t>Explications concernant la façon de remplir la formule d</w:t>
      </w:r>
      <w:r w:rsidR="00E84113" w:rsidRPr="00AF5FD5">
        <w:t>’</w:t>
      </w:r>
      <w:r w:rsidRPr="00AF5FD5">
        <w:t xml:space="preserve">attestation </w:t>
      </w:r>
      <w:r w:rsidR="00E84113" w:rsidRPr="00AF5FD5">
        <w:br/>
      </w:r>
      <w:r w:rsidRPr="00AF5FD5">
        <w:t xml:space="preserve">de conformité ATP </w:t>
      </w:r>
      <w:bookmarkEnd w:id="34"/>
    </w:p>
    <w:p w:rsidR="00B25DBE" w:rsidRPr="00AF5FD5" w:rsidRDefault="00B25DBE" w:rsidP="00E84113">
      <w:pPr>
        <w:pStyle w:val="SingleTxtG"/>
        <w:ind w:left="3119" w:hanging="1985"/>
      </w:pPr>
      <w:r w:rsidRPr="00AF5FD5">
        <w:rPr>
          <w:i/>
          <w:iCs/>
        </w:rPr>
        <w:t>Document informel</w:t>
      </w:r>
      <w:r w:rsidR="00E84113" w:rsidRPr="00AF5FD5">
        <w:rPr>
          <w:i/>
          <w:iCs/>
        </w:rPr>
        <w:t> </w:t>
      </w:r>
      <w:r w:rsidR="00E84113" w:rsidRPr="00AF5FD5">
        <w:t>:</w:t>
      </w:r>
      <w:r w:rsidR="00E84113" w:rsidRPr="00AF5FD5">
        <w:tab/>
      </w:r>
      <w:r w:rsidRPr="00AF5FD5">
        <w:t>INF.14 (Fédération de Russie)</w:t>
      </w:r>
      <w:r w:rsidR="00E84113" w:rsidRPr="00AF5FD5">
        <w:t>.</w:t>
      </w:r>
    </w:p>
    <w:p w:rsidR="00B25DBE" w:rsidRPr="00AF5FD5" w:rsidRDefault="00B25DBE" w:rsidP="00B25DBE">
      <w:pPr>
        <w:pStyle w:val="SingleTxtG"/>
      </w:pPr>
      <w:r w:rsidRPr="00AF5FD5">
        <w:t>60.</w:t>
      </w:r>
      <w:r w:rsidRPr="00AF5FD5">
        <w:tab/>
        <w:t xml:space="preserve">Le Groupe de travail a </w:t>
      </w:r>
      <w:r w:rsidR="00E84113" w:rsidRPr="00AF5FD5">
        <w:t>convenu de ce que la rubrique « </w:t>
      </w:r>
      <w:r w:rsidRPr="00AF5FD5">
        <w:t>Donné par</w:t>
      </w:r>
      <w:r w:rsidR="00E84113" w:rsidRPr="00AF5FD5">
        <w:t> </w:t>
      </w:r>
      <w:r w:rsidRPr="00AF5FD5">
        <w:t>» de l</w:t>
      </w:r>
      <w:r w:rsidR="00E84113" w:rsidRPr="00AF5FD5">
        <w:t>’</w:t>
      </w:r>
      <w:r w:rsidRPr="00AF5FD5">
        <w:t>attestation était nécessaire pour bien établir un lien entre le document et l</w:t>
      </w:r>
      <w:r w:rsidR="00E84113" w:rsidRPr="00AF5FD5">
        <w:t>’</w:t>
      </w:r>
      <w:r w:rsidRPr="00AF5FD5">
        <w:t xml:space="preserve">engin concerné, car </w:t>
      </w:r>
      <w:r w:rsidR="00E22585">
        <w:t xml:space="preserve">la plaque </w:t>
      </w:r>
      <w:r w:rsidRPr="00AF5FD5">
        <w:t>d</w:t>
      </w:r>
      <w:r w:rsidR="00E84113" w:rsidRPr="00AF5FD5">
        <w:t>’</w:t>
      </w:r>
      <w:r w:rsidRPr="00AF5FD5">
        <w:t>immatriculation et le numéro d</w:t>
      </w:r>
      <w:r w:rsidR="00E84113" w:rsidRPr="00AF5FD5">
        <w:t>’</w:t>
      </w:r>
      <w:r w:rsidRPr="00AF5FD5">
        <w:t>immatriculation peuvent changer à tout moment. Il a également été précisé que puisque certains pays n</w:t>
      </w:r>
      <w:r w:rsidR="00E84113" w:rsidRPr="00AF5FD5">
        <w:t>’</w:t>
      </w:r>
      <w:r w:rsidRPr="00AF5FD5">
        <w:t>attribuaient pas de numéro d</w:t>
      </w:r>
      <w:r w:rsidR="00E84113" w:rsidRPr="00AF5FD5">
        <w:t>’</w:t>
      </w:r>
      <w:r w:rsidRPr="00AF5FD5">
        <w:t>immatriculation aux remorques, il n</w:t>
      </w:r>
      <w:r w:rsidR="00E84113" w:rsidRPr="00AF5FD5">
        <w:t>’</w:t>
      </w:r>
      <w:r w:rsidRPr="00AF5FD5">
        <w:t>était pas obligatoire d</w:t>
      </w:r>
      <w:r w:rsidR="00E84113" w:rsidRPr="00AF5FD5">
        <w:t>’</w:t>
      </w:r>
      <w:r w:rsidRPr="00AF5FD5">
        <w:t>inscrire un numéro d</w:t>
      </w:r>
      <w:r w:rsidR="00E84113" w:rsidRPr="00AF5FD5">
        <w:t>’</w:t>
      </w:r>
      <w:r w:rsidRPr="00AF5FD5">
        <w:t>immatriculation sur l</w:t>
      </w:r>
      <w:r w:rsidR="00E84113" w:rsidRPr="00AF5FD5">
        <w:t>’</w:t>
      </w:r>
      <w:r w:rsidRPr="00AF5FD5">
        <w:t xml:space="preserve">attestation. </w:t>
      </w:r>
    </w:p>
    <w:p w:rsidR="00B25DBE" w:rsidRPr="00AF5FD5" w:rsidRDefault="00B25DBE" w:rsidP="00B25DBE">
      <w:pPr>
        <w:pStyle w:val="SingleTxtG"/>
      </w:pPr>
      <w:r w:rsidRPr="00AF5FD5">
        <w:t>61.</w:t>
      </w:r>
      <w:r w:rsidRPr="00AF5FD5">
        <w:tab/>
        <w:t>Le représentant de la Fédération de Russie a déclaré qu</w:t>
      </w:r>
      <w:r w:rsidR="00E84113" w:rsidRPr="00AF5FD5">
        <w:t>’</w:t>
      </w:r>
      <w:r w:rsidRPr="00AF5FD5">
        <w:t>il n</w:t>
      </w:r>
      <w:r w:rsidR="00E84113" w:rsidRPr="00AF5FD5">
        <w:t>’</w:t>
      </w:r>
      <w:r w:rsidRPr="00AF5FD5">
        <w:t>était toujours pas certain de comprendre quelle informati</w:t>
      </w:r>
      <w:r w:rsidR="00E84113" w:rsidRPr="00AF5FD5">
        <w:t>on devait figurer au paragraphe </w:t>
      </w:r>
      <w:r w:rsidRPr="00AF5FD5">
        <w:t>3 de l</w:t>
      </w:r>
      <w:r w:rsidR="00E84113" w:rsidRPr="00AF5FD5">
        <w:t>’</w:t>
      </w:r>
      <w:r w:rsidRPr="00AF5FD5">
        <w:t>attestation et qu</w:t>
      </w:r>
      <w:r w:rsidR="00E84113" w:rsidRPr="00AF5FD5">
        <w:t>’</w:t>
      </w:r>
      <w:r w:rsidRPr="00AF5FD5">
        <w:t>il pourrait être utile d</w:t>
      </w:r>
      <w:r w:rsidR="00E84113" w:rsidRPr="00AF5FD5">
        <w:t>’</w:t>
      </w:r>
      <w:r w:rsidRPr="00AF5FD5">
        <w:t>ajouter des éclaircissements à ce sujet dans le Manuel ATP.</w:t>
      </w:r>
    </w:p>
    <w:p w:rsidR="00B25DBE" w:rsidRPr="00AF5FD5" w:rsidRDefault="00B25DBE" w:rsidP="00E84113">
      <w:pPr>
        <w:pStyle w:val="HChG"/>
      </w:pPr>
      <w:r w:rsidRPr="00AF5FD5">
        <w:tab/>
      </w:r>
      <w:bookmarkStart w:id="35" w:name="_Toc528146984"/>
      <w:r w:rsidRPr="00AF5FD5">
        <w:t>VII.</w:t>
      </w:r>
      <w:r w:rsidRPr="00AF5FD5">
        <w:tab/>
        <w:t>Propositions d</w:t>
      </w:r>
      <w:r w:rsidR="00E84113" w:rsidRPr="00AF5FD5">
        <w:t>’</w:t>
      </w:r>
      <w:r w:rsidRPr="00AF5FD5">
        <w:t>amendements à l</w:t>
      </w:r>
      <w:r w:rsidR="00E84113" w:rsidRPr="00AF5FD5">
        <w:t>’</w:t>
      </w:r>
      <w:r w:rsidRPr="00AF5FD5">
        <w:t xml:space="preserve">ATP </w:t>
      </w:r>
      <w:r w:rsidR="00E84113" w:rsidRPr="00AF5FD5">
        <w:br/>
      </w:r>
      <w:r w:rsidRPr="00AF5FD5">
        <w:t>(point 6 de l</w:t>
      </w:r>
      <w:r w:rsidR="00E84113" w:rsidRPr="00AF5FD5">
        <w:t>’</w:t>
      </w:r>
      <w:r w:rsidRPr="00AF5FD5">
        <w:t xml:space="preserve">ordre du jour) </w:t>
      </w:r>
      <w:bookmarkEnd w:id="35"/>
    </w:p>
    <w:p w:rsidR="00B25DBE" w:rsidRPr="00AF5FD5" w:rsidRDefault="00B25DBE" w:rsidP="00E84113">
      <w:pPr>
        <w:pStyle w:val="H1G"/>
      </w:pPr>
      <w:r w:rsidRPr="00AF5FD5">
        <w:tab/>
      </w:r>
      <w:bookmarkStart w:id="36" w:name="_Toc528146985"/>
      <w:r w:rsidRPr="00AF5FD5">
        <w:t>A.</w:t>
      </w:r>
      <w:r w:rsidRPr="00AF5FD5">
        <w:tab/>
        <w:t>Propositions en suspens</w:t>
      </w:r>
      <w:bookmarkEnd w:id="36"/>
    </w:p>
    <w:p w:rsidR="00B25DBE" w:rsidRPr="00AF5FD5" w:rsidRDefault="00B25DBE" w:rsidP="00E84113">
      <w:pPr>
        <w:pStyle w:val="H23G"/>
      </w:pPr>
      <w:r w:rsidRPr="00AF5FD5">
        <w:tab/>
      </w:r>
      <w:bookmarkStart w:id="37" w:name="_Toc528146986"/>
      <w:r w:rsidRPr="00AF5FD5">
        <w:t>1.</w:t>
      </w:r>
      <w:r w:rsidRPr="00AF5FD5">
        <w:tab/>
        <w:t>Amendements à l</w:t>
      </w:r>
      <w:r w:rsidR="00E84113" w:rsidRPr="00AF5FD5">
        <w:t>’appendice </w:t>
      </w:r>
      <w:r w:rsidRPr="00AF5FD5">
        <w:t>1 de l</w:t>
      </w:r>
      <w:r w:rsidR="00E84113" w:rsidRPr="00AF5FD5">
        <w:t>’annexe </w:t>
      </w:r>
      <w:r w:rsidRPr="00AF5FD5">
        <w:t>2 de l</w:t>
      </w:r>
      <w:r w:rsidR="00E84113" w:rsidRPr="00AF5FD5">
        <w:t>’</w:t>
      </w:r>
      <w:r w:rsidRPr="00AF5FD5">
        <w:t xml:space="preserve">ATP visant à faire figurer </w:t>
      </w:r>
      <w:r w:rsidR="00E84113" w:rsidRPr="00AF5FD5">
        <w:br/>
      </w:r>
      <w:r w:rsidRPr="00AF5FD5">
        <w:t xml:space="preserve">des renvois aux normes nationales de la Fédération de Russie en même temps </w:t>
      </w:r>
      <w:r w:rsidR="00E84113" w:rsidRPr="00AF5FD5">
        <w:br/>
      </w:r>
      <w:r w:rsidRPr="00AF5FD5">
        <w:t xml:space="preserve">que des renvois aux normes régionales européennes </w:t>
      </w:r>
    </w:p>
    <w:bookmarkEnd w:id="37"/>
    <w:p w:rsidR="00B25DBE" w:rsidRPr="00AF5FD5" w:rsidRDefault="00B25DBE" w:rsidP="00E84113">
      <w:pPr>
        <w:pStyle w:val="SingleTxtG"/>
        <w:ind w:left="3119" w:hanging="1985"/>
      </w:pPr>
      <w:r w:rsidRPr="00E22585">
        <w:rPr>
          <w:i/>
        </w:rPr>
        <w:t>Document</w:t>
      </w:r>
      <w:r w:rsidR="00E84113" w:rsidRPr="00AF5FD5">
        <w:t> :</w:t>
      </w:r>
      <w:r w:rsidR="00E84113" w:rsidRPr="00AF5FD5">
        <w:tab/>
      </w:r>
      <w:r w:rsidRPr="00AF5FD5">
        <w:t>ECE/TRANS/WP.11/2018/3 (Fédération de Russie)</w:t>
      </w:r>
      <w:r w:rsidR="00E84113" w:rsidRPr="00AF5FD5">
        <w:t>.</w:t>
      </w:r>
    </w:p>
    <w:p w:rsidR="00B25DBE" w:rsidRPr="00AF5FD5" w:rsidRDefault="00E84113" w:rsidP="00B25DBE">
      <w:pPr>
        <w:pStyle w:val="SingleTxtG"/>
      </w:pPr>
      <w:r w:rsidRPr="00AF5FD5">
        <w:t>62.</w:t>
      </w:r>
      <w:r w:rsidRPr="00AF5FD5">
        <w:tab/>
      </w:r>
      <w:r w:rsidR="00B25DBE" w:rsidRPr="00AF5FD5">
        <w:t>Le WP.11 s</w:t>
      </w:r>
      <w:r w:rsidRPr="00AF5FD5">
        <w:t>’</w:t>
      </w:r>
      <w:r w:rsidR="00B25DBE" w:rsidRPr="00AF5FD5">
        <w:t>est déclaré favorable à l</w:t>
      </w:r>
      <w:r w:rsidRPr="00AF5FD5">
        <w:t>’</w:t>
      </w:r>
      <w:r w:rsidR="00B25DBE" w:rsidRPr="00AF5FD5">
        <w:t>inclusion d</w:t>
      </w:r>
      <w:r w:rsidRPr="00AF5FD5">
        <w:t>’</w:t>
      </w:r>
      <w:r w:rsidR="00B25DBE" w:rsidRPr="00AF5FD5">
        <w:t>autres normes dans l</w:t>
      </w:r>
      <w:r w:rsidRPr="00AF5FD5">
        <w:t>’</w:t>
      </w:r>
      <w:r w:rsidR="00B25DBE" w:rsidRPr="00AF5FD5">
        <w:t>ATP si les normes citées ne sont pas disponibles dans toutes les langues officielles de l</w:t>
      </w:r>
      <w:r w:rsidRPr="00AF5FD5">
        <w:t>’</w:t>
      </w:r>
      <w:r w:rsidR="00B25DBE" w:rsidRPr="00AF5FD5">
        <w:t xml:space="preserve">Accord. </w:t>
      </w:r>
    </w:p>
    <w:p w:rsidR="00B25DBE" w:rsidRPr="00AF5FD5" w:rsidRDefault="00B25DBE" w:rsidP="00E84113">
      <w:pPr>
        <w:pStyle w:val="SingleTxtG"/>
        <w:keepNext/>
        <w:keepLines/>
      </w:pPr>
      <w:r w:rsidRPr="00AF5FD5">
        <w:t>63.</w:t>
      </w:r>
      <w:r w:rsidRPr="00AF5FD5">
        <w:tab/>
        <w:t>Certaines préoccupations ont été exprimées concernant la proposition spécifi</w:t>
      </w:r>
      <w:r w:rsidR="00E84113" w:rsidRPr="00AF5FD5">
        <w:t>que contenue dans le document :</w:t>
      </w:r>
    </w:p>
    <w:p w:rsidR="00B25DBE" w:rsidRPr="00AF5FD5" w:rsidRDefault="00B25DBE" w:rsidP="00E84113">
      <w:pPr>
        <w:pStyle w:val="SingleTxtG"/>
        <w:ind w:firstLine="567"/>
      </w:pPr>
      <w:r w:rsidRPr="00AF5FD5">
        <w:t>a)</w:t>
      </w:r>
      <w:r w:rsidRPr="00AF5FD5">
        <w:tab/>
        <w:t> S</w:t>
      </w:r>
      <w:r w:rsidR="00E84113" w:rsidRPr="00AF5FD5">
        <w:t>’</w:t>
      </w:r>
      <w:r w:rsidRPr="00AF5FD5">
        <w:t>agissant des normes citées dans l</w:t>
      </w:r>
      <w:r w:rsidR="00E84113" w:rsidRPr="00AF5FD5">
        <w:t>’</w:t>
      </w:r>
      <w:r w:rsidRPr="00AF5FD5">
        <w:t>ATP, l</w:t>
      </w:r>
      <w:r w:rsidR="00E84113" w:rsidRPr="00AF5FD5">
        <w:t>’</w:t>
      </w:r>
      <w:r w:rsidRPr="00AF5FD5">
        <w:t>année de publication n</w:t>
      </w:r>
      <w:r w:rsidR="00E84113" w:rsidRPr="00AF5FD5">
        <w:t>’</w:t>
      </w:r>
      <w:r w:rsidRPr="00AF5FD5">
        <w:t>est pas précisée, ce qui fait que la version la plus récente s</w:t>
      </w:r>
      <w:r w:rsidR="00E84113" w:rsidRPr="00AF5FD5">
        <w:t>’</w:t>
      </w:r>
      <w:r w:rsidRPr="00AF5FD5">
        <w:t>applique automatiquement. Le Groupe de travail s</w:t>
      </w:r>
      <w:r w:rsidR="00E84113" w:rsidRPr="00AF5FD5">
        <w:t>’</w:t>
      </w:r>
      <w:r w:rsidRPr="00AF5FD5">
        <w:t>est demandé s</w:t>
      </w:r>
      <w:r w:rsidR="00E84113" w:rsidRPr="00AF5FD5">
        <w:t>’</w:t>
      </w:r>
      <w:r w:rsidRPr="00AF5FD5">
        <w:t>il en serait de même pour les no</w:t>
      </w:r>
      <w:r w:rsidR="00E84113" w:rsidRPr="00AF5FD5">
        <w:t>rmes de la Fédération de Russie ;</w:t>
      </w:r>
    </w:p>
    <w:p w:rsidR="00B25DBE" w:rsidRPr="00AF5FD5" w:rsidRDefault="00B25DBE" w:rsidP="00E84113">
      <w:pPr>
        <w:pStyle w:val="SingleTxtG"/>
        <w:ind w:firstLine="567"/>
      </w:pPr>
      <w:r w:rsidRPr="00AF5FD5">
        <w:t>b)</w:t>
      </w:r>
      <w:r w:rsidRPr="00AF5FD5">
        <w:tab/>
        <w:t>Le Groupe de travail n</w:t>
      </w:r>
      <w:r w:rsidR="00E84113" w:rsidRPr="00AF5FD5">
        <w:t>’</w:t>
      </w:r>
      <w:r w:rsidRPr="00AF5FD5">
        <w:t>a pas été en mesure de déterminer si les modifications proposées pour le texte russe créeraient des différences importantes entre les versions linguistiques de l</w:t>
      </w:r>
      <w:r w:rsidR="00E84113" w:rsidRPr="00AF5FD5">
        <w:t>’</w:t>
      </w:r>
      <w:r w:rsidRPr="00AF5FD5">
        <w:t xml:space="preserve">ATP. </w:t>
      </w:r>
    </w:p>
    <w:p w:rsidR="00B25DBE" w:rsidRPr="00AF5FD5" w:rsidRDefault="00B25DBE" w:rsidP="00B25DBE">
      <w:pPr>
        <w:pStyle w:val="SingleTxtG"/>
      </w:pPr>
      <w:r w:rsidRPr="00AF5FD5">
        <w:t>64.</w:t>
      </w:r>
      <w:r w:rsidRPr="00AF5FD5">
        <w:tab/>
        <w:t>Compte tenu de ces préoccupations, le Groupe de travail a décidé de ne pas adopter la proposition, le Maroc et le Royaume-Uni y étant opposés.</w:t>
      </w:r>
    </w:p>
    <w:p w:rsidR="00B25DBE" w:rsidRPr="00AF5FD5" w:rsidRDefault="00B25DBE" w:rsidP="00E84113">
      <w:pPr>
        <w:pStyle w:val="H23G"/>
      </w:pPr>
      <w:r w:rsidRPr="00AF5FD5">
        <w:tab/>
      </w:r>
      <w:bookmarkStart w:id="38" w:name="_Toc528146987"/>
      <w:r w:rsidRPr="00AF5FD5">
        <w:t>2.</w:t>
      </w:r>
      <w:r w:rsidRPr="00AF5FD5">
        <w:tab/>
        <w:t>Amendements au paragraphe 3.2.6 de l</w:t>
      </w:r>
      <w:r w:rsidR="00E84113" w:rsidRPr="00AF5FD5">
        <w:t>’appendice </w:t>
      </w:r>
      <w:r w:rsidRPr="00AF5FD5">
        <w:t>2 de l</w:t>
      </w:r>
      <w:r w:rsidR="00E84113" w:rsidRPr="00AF5FD5">
        <w:t>’annexe </w:t>
      </w:r>
      <w:r w:rsidRPr="00AF5FD5">
        <w:t xml:space="preserve">1 </w:t>
      </w:r>
      <w:r w:rsidR="00E84113" w:rsidRPr="00AF5FD5">
        <w:br/>
      </w:r>
      <w:r w:rsidRPr="00AF5FD5">
        <w:t>et à l</w:t>
      </w:r>
      <w:r w:rsidR="00E84113" w:rsidRPr="00AF5FD5">
        <w:t>’appendice </w:t>
      </w:r>
      <w:r w:rsidRPr="00AF5FD5">
        <w:t>3 de l</w:t>
      </w:r>
      <w:r w:rsidR="00E84113" w:rsidRPr="00AF5FD5">
        <w:t>’annexe </w:t>
      </w:r>
      <w:r w:rsidRPr="00AF5FD5">
        <w:t xml:space="preserve">1 </w:t>
      </w:r>
      <w:bookmarkEnd w:id="38"/>
    </w:p>
    <w:p w:rsidR="00B25DBE" w:rsidRPr="00AF5FD5" w:rsidRDefault="00B25DBE" w:rsidP="00E84113">
      <w:pPr>
        <w:pStyle w:val="SingleTxtG"/>
        <w:ind w:left="3119" w:hanging="1985"/>
      </w:pPr>
      <w:r w:rsidRPr="00AF5FD5">
        <w:rPr>
          <w:i/>
        </w:rPr>
        <w:t>Document</w:t>
      </w:r>
      <w:r w:rsidR="00E84113" w:rsidRPr="00AF5FD5">
        <w:rPr>
          <w:i/>
        </w:rPr>
        <w:t> </w:t>
      </w:r>
      <w:r w:rsidR="00E84113" w:rsidRPr="00AF5FD5">
        <w:t>:</w:t>
      </w:r>
      <w:r w:rsidR="00E84113" w:rsidRPr="00AF5FD5">
        <w:tab/>
      </w:r>
      <w:r w:rsidRPr="00AF5FD5">
        <w:t>ECE/TRANS/WP.11/2018/5 (Royaume-Uni)</w:t>
      </w:r>
      <w:r w:rsidR="00E84113" w:rsidRPr="00AF5FD5">
        <w:t>.</w:t>
      </w:r>
    </w:p>
    <w:p w:rsidR="00B25DBE" w:rsidRPr="00AF5FD5" w:rsidRDefault="00B25DBE" w:rsidP="00E84113">
      <w:pPr>
        <w:pStyle w:val="SingleTxtG"/>
        <w:ind w:left="3119" w:hanging="1985"/>
      </w:pPr>
      <w:r w:rsidRPr="00AF5FD5">
        <w:rPr>
          <w:i/>
          <w:iCs/>
        </w:rPr>
        <w:t>Document informel</w:t>
      </w:r>
      <w:r w:rsidR="00E84113" w:rsidRPr="00AF5FD5">
        <w:rPr>
          <w:i/>
          <w:iCs/>
        </w:rPr>
        <w:t> </w:t>
      </w:r>
      <w:r w:rsidR="00E84113" w:rsidRPr="00AF5FD5">
        <w:t>:</w:t>
      </w:r>
      <w:r w:rsidRPr="00AF5FD5">
        <w:tab/>
        <w:t>INF.10 (Finlande)</w:t>
      </w:r>
      <w:r w:rsidR="00E84113" w:rsidRPr="00AF5FD5">
        <w:t>.</w:t>
      </w:r>
    </w:p>
    <w:p w:rsidR="00B25DBE" w:rsidRPr="00AF5FD5" w:rsidRDefault="00B25DBE" w:rsidP="00B25DBE">
      <w:pPr>
        <w:pStyle w:val="SingleTxtG"/>
      </w:pPr>
      <w:r w:rsidRPr="00AF5FD5">
        <w:t>65.</w:t>
      </w:r>
      <w:r w:rsidRPr="00AF5FD5">
        <w:tab/>
        <w:t>Le Groupe de travail a admis que des prescriptions relatives à la circulation de l</w:t>
      </w:r>
      <w:r w:rsidR="00E84113" w:rsidRPr="00AF5FD5">
        <w:t>’</w:t>
      </w:r>
      <w:r w:rsidRPr="00AF5FD5">
        <w:t>air faisaient défaut et qu</w:t>
      </w:r>
      <w:r w:rsidR="00E84113" w:rsidRPr="00AF5FD5">
        <w:t>’</w:t>
      </w:r>
      <w:r w:rsidRPr="00AF5FD5">
        <w:t>il fallait continuer de chercher un moyen approprié d</w:t>
      </w:r>
      <w:r w:rsidR="00E84113" w:rsidRPr="00AF5FD5">
        <w:t>’</w:t>
      </w:r>
      <w:r w:rsidRPr="00AF5FD5">
        <w:t>en inclure dans l</w:t>
      </w:r>
      <w:r w:rsidR="00E84113" w:rsidRPr="00AF5FD5">
        <w:t>’</w:t>
      </w:r>
      <w:r w:rsidRPr="00AF5FD5">
        <w:t>ATP. On a fait observer que le nombre nécessaire de changements d</w:t>
      </w:r>
      <w:r w:rsidR="00E84113" w:rsidRPr="00AF5FD5">
        <w:t>’</w:t>
      </w:r>
      <w:r w:rsidRPr="00AF5FD5">
        <w:t>air à l</w:t>
      </w:r>
      <w:r w:rsidR="00E84113" w:rsidRPr="00AF5FD5">
        <w:t>’</w:t>
      </w:r>
      <w:r w:rsidRPr="00AF5FD5">
        <w:t>heure était très difficile à déterminer car il faut tenir compte, entre autres facteurs, de l</w:t>
      </w:r>
      <w:r w:rsidR="00E84113" w:rsidRPr="00AF5FD5">
        <w:t>’</w:t>
      </w:r>
      <w:r w:rsidRPr="00AF5FD5">
        <w:t>isolation thermique</w:t>
      </w:r>
      <w:r w:rsidR="00E22585">
        <w:t xml:space="preserve"> de la distribution des températures</w:t>
      </w:r>
      <w:r w:rsidRPr="00AF5FD5">
        <w:t>, du type de produits transportés et de la configuration des engins spéciaux. Des études supplémentaires s</w:t>
      </w:r>
      <w:r w:rsidR="00E84113" w:rsidRPr="00AF5FD5">
        <w:t>’</w:t>
      </w:r>
      <w:r w:rsidRPr="00AF5FD5">
        <w:t>imposent et la proposition n</w:t>
      </w:r>
      <w:r w:rsidR="00E84113" w:rsidRPr="00AF5FD5">
        <w:t>’</w:t>
      </w:r>
      <w:r w:rsidRPr="00AF5FD5">
        <w:t>a donc pas été adoptée.</w:t>
      </w:r>
    </w:p>
    <w:p w:rsidR="00B25DBE" w:rsidRPr="00AF5FD5" w:rsidRDefault="00B25DBE" w:rsidP="00B25DBE">
      <w:pPr>
        <w:pStyle w:val="SingleTxtG"/>
      </w:pPr>
      <w:r w:rsidRPr="00AF5FD5">
        <w:t>66.</w:t>
      </w:r>
      <w:r w:rsidRPr="00AF5FD5">
        <w:tab/>
        <w:t>Il a également été souligné que les accords bilatéraux ou multilatéraux n</w:t>
      </w:r>
      <w:r w:rsidR="00E84113" w:rsidRPr="00AF5FD5">
        <w:t>’</w:t>
      </w:r>
      <w:r w:rsidRPr="00AF5FD5">
        <w:t>étaient pas la solution puisque les prescriptions devaient être plus strictes que celles de l</w:t>
      </w:r>
      <w:r w:rsidR="00E84113" w:rsidRPr="00AF5FD5">
        <w:t>’</w:t>
      </w:r>
      <w:r w:rsidRPr="00AF5FD5">
        <w:t>Accord et que la Finlande devrait trouver d</w:t>
      </w:r>
      <w:r w:rsidR="00E84113" w:rsidRPr="00AF5FD5">
        <w:t>’</w:t>
      </w:r>
      <w:r w:rsidRPr="00AF5FD5">
        <w:t>autres parties intéressées par la signature d</w:t>
      </w:r>
      <w:r w:rsidR="00E84113" w:rsidRPr="00AF5FD5">
        <w:t>’</w:t>
      </w:r>
      <w:r w:rsidRPr="00AF5FD5">
        <w:t xml:space="preserve">un tel accord. </w:t>
      </w:r>
    </w:p>
    <w:p w:rsidR="00B25DBE" w:rsidRPr="00AF5FD5" w:rsidRDefault="00B25DBE" w:rsidP="00B25DBE">
      <w:pPr>
        <w:pStyle w:val="SingleTxtG"/>
      </w:pPr>
      <w:r w:rsidRPr="00AF5FD5">
        <w:lastRenderedPageBreak/>
        <w:t>67.</w:t>
      </w:r>
      <w:r w:rsidRPr="00AF5FD5">
        <w:tab/>
        <w:t>Le représentant de la Finlande a précisé que les véhicules concernés étaient utilisés principalement pour le transport sur le territoire national mais que certains d</w:t>
      </w:r>
      <w:r w:rsidR="00E84113" w:rsidRPr="00AF5FD5">
        <w:t>’</w:t>
      </w:r>
      <w:r w:rsidRPr="00AF5FD5">
        <w:t>entre eux traversaient parfois la frontière avec la Suède.  Bien que la Finlande n</w:t>
      </w:r>
      <w:r w:rsidR="00E84113" w:rsidRPr="00AF5FD5">
        <w:t>’</w:t>
      </w:r>
      <w:r w:rsidRPr="00AF5FD5">
        <w:t>applique pas l</w:t>
      </w:r>
      <w:r w:rsidR="00E84113" w:rsidRPr="00AF5FD5">
        <w:t>’</w:t>
      </w:r>
      <w:r w:rsidRPr="00AF5FD5">
        <w:t>ATP pour le transport national de denrées périssables, certains expéditeurs exigeaient que leurs produits soient transportés dans des engins conformes à l</w:t>
      </w:r>
      <w:r w:rsidR="00E84113" w:rsidRPr="00AF5FD5">
        <w:t>’</w:t>
      </w:r>
      <w:r w:rsidRPr="00AF5FD5">
        <w:t>ATP. La modification de l</w:t>
      </w:r>
      <w:r w:rsidR="00E84113" w:rsidRPr="00AF5FD5">
        <w:t>’</w:t>
      </w:r>
      <w:r w:rsidRPr="00AF5FD5">
        <w:t>Accord aurait donc des incidences sur le marché national finlandais.</w:t>
      </w:r>
    </w:p>
    <w:p w:rsidR="00B25DBE" w:rsidRPr="00AF5FD5" w:rsidRDefault="00B25DBE" w:rsidP="00B25DBE">
      <w:pPr>
        <w:pStyle w:val="SingleTxtG"/>
      </w:pPr>
      <w:r w:rsidRPr="00AF5FD5">
        <w:t>68.</w:t>
      </w:r>
      <w:r w:rsidRPr="00AF5FD5">
        <w:tab/>
        <w:t>Il a également été précisé que le volume de renouvellement de l</w:t>
      </w:r>
      <w:r w:rsidR="00E84113" w:rsidRPr="00AF5FD5">
        <w:t>’</w:t>
      </w:r>
      <w:r w:rsidRPr="00AF5FD5">
        <w:t>air par heure faisait référence au volume de l</w:t>
      </w:r>
      <w:r w:rsidR="00E84113" w:rsidRPr="00AF5FD5">
        <w:t>’</w:t>
      </w:r>
      <w:r w:rsidRPr="00AF5FD5">
        <w:t>engin vide, conformément à la procédure habituelle.</w:t>
      </w:r>
    </w:p>
    <w:p w:rsidR="00B25DBE" w:rsidRPr="00AF5FD5" w:rsidRDefault="00B25DBE" w:rsidP="00E84113">
      <w:pPr>
        <w:pStyle w:val="H23G"/>
      </w:pPr>
      <w:r w:rsidRPr="00AF5FD5">
        <w:tab/>
      </w:r>
      <w:bookmarkStart w:id="39" w:name="_Toc528146988"/>
      <w:r w:rsidRPr="00AF5FD5">
        <w:t>3.</w:t>
      </w:r>
      <w:r w:rsidRPr="00AF5FD5">
        <w:tab/>
      </w:r>
      <w:r w:rsidRPr="00AF5FD5">
        <w:rPr>
          <w:lang w:val="fr-FR"/>
        </w:rPr>
        <w:t>Précisions dans l</w:t>
      </w:r>
      <w:r w:rsidR="00E84113" w:rsidRPr="00AF5FD5">
        <w:rPr>
          <w:lang w:val="fr-FR"/>
        </w:rPr>
        <w:t>’</w:t>
      </w:r>
      <w:r w:rsidRPr="00AF5FD5">
        <w:rPr>
          <w:lang w:val="fr-FR"/>
        </w:rPr>
        <w:t>ATP au sujet du coefficient global de transmission thermique (coefficient K) de la caisse d</w:t>
      </w:r>
      <w:r w:rsidR="00E84113" w:rsidRPr="00AF5FD5">
        <w:rPr>
          <w:lang w:val="fr-FR"/>
        </w:rPr>
        <w:t>’</w:t>
      </w:r>
      <w:r w:rsidRPr="00AF5FD5">
        <w:rPr>
          <w:lang w:val="fr-FR"/>
        </w:rPr>
        <w:t xml:space="preserve">un engin de transport spécial, en remplaçant </w:t>
      </w:r>
      <w:r w:rsidR="002D7AC2" w:rsidRPr="00AF5FD5">
        <w:rPr>
          <w:lang w:val="fr-FR"/>
        </w:rPr>
        <w:br/>
      </w:r>
      <w:r w:rsidRPr="00AF5FD5">
        <w:rPr>
          <w:lang w:val="fr-FR"/>
        </w:rPr>
        <w:t>la marge d</w:t>
      </w:r>
      <w:r w:rsidR="00E84113" w:rsidRPr="00AF5FD5">
        <w:rPr>
          <w:lang w:val="fr-FR"/>
        </w:rPr>
        <w:t>’</w:t>
      </w:r>
      <w:r w:rsidRPr="00AF5FD5">
        <w:rPr>
          <w:lang w:val="fr-FR"/>
        </w:rPr>
        <w:t>erreur par l</w:t>
      </w:r>
      <w:r w:rsidR="00E84113" w:rsidRPr="00AF5FD5">
        <w:rPr>
          <w:lang w:val="fr-FR"/>
        </w:rPr>
        <w:t>’</w:t>
      </w:r>
      <w:r w:rsidRPr="00AF5FD5">
        <w:rPr>
          <w:lang w:val="fr-FR"/>
        </w:rPr>
        <w:t xml:space="preserve">incertitude, et explications dans le Manuel ATP </w:t>
      </w:r>
      <w:r w:rsidR="002D7AC2" w:rsidRPr="00AF5FD5">
        <w:rPr>
          <w:lang w:val="fr-FR"/>
        </w:rPr>
        <w:br/>
      </w:r>
      <w:r w:rsidRPr="00AF5FD5">
        <w:rPr>
          <w:lang w:val="fr-FR"/>
        </w:rPr>
        <w:t>concernant les méthodes recommandées pour déterminer l</w:t>
      </w:r>
      <w:r w:rsidR="00E84113" w:rsidRPr="00AF5FD5">
        <w:rPr>
          <w:lang w:val="fr-FR"/>
        </w:rPr>
        <w:t>’</w:t>
      </w:r>
      <w:r w:rsidRPr="00AF5FD5">
        <w:rPr>
          <w:lang w:val="fr-FR"/>
        </w:rPr>
        <w:t xml:space="preserve">incertitude </w:t>
      </w:r>
      <w:r w:rsidR="002D7AC2" w:rsidRPr="00AF5FD5">
        <w:rPr>
          <w:lang w:val="fr-FR"/>
        </w:rPr>
        <w:br/>
        <w:t>de mesure du coefficient </w:t>
      </w:r>
      <w:r w:rsidRPr="00AF5FD5">
        <w:rPr>
          <w:lang w:val="fr-FR"/>
        </w:rPr>
        <w:t>K</w:t>
      </w:r>
    </w:p>
    <w:bookmarkEnd w:id="39"/>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ECE/TRANS/WP.11/2018/20 (Fédération de Russie)</w:t>
      </w:r>
      <w:r w:rsidR="002D7AC2" w:rsidRPr="00AF5FD5">
        <w:t>.</w:t>
      </w:r>
    </w:p>
    <w:p w:rsidR="00B25DBE" w:rsidRPr="00AF5FD5" w:rsidRDefault="00B25DBE" w:rsidP="00B25DBE">
      <w:pPr>
        <w:pStyle w:val="SingleTxtG"/>
      </w:pPr>
      <w:r w:rsidRPr="00AF5FD5">
        <w:t>69.</w:t>
      </w:r>
      <w:r w:rsidRPr="00AF5FD5">
        <w:tab/>
        <w:t xml:space="preserve">Des </w:t>
      </w:r>
      <w:r w:rsidRPr="00AF5FD5">
        <w:rPr>
          <w:lang w:val="fr-FR"/>
        </w:rPr>
        <w:t>précisions ayant été apportées</w:t>
      </w:r>
      <w:r w:rsidRPr="00AF5FD5">
        <w:t xml:space="preserve"> sur quelques points faisant l</w:t>
      </w:r>
      <w:r w:rsidR="00E84113" w:rsidRPr="00AF5FD5">
        <w:t>’</w:t>
      </w:r>
      <w:r w:rsidRPr="00AF5FD5">
        <w:t>objet de préoccupations</w:t>
      </w:r>
      <w:r w:rsidRPr="00AF5FD5">
        <w:rPr>
          <w:lang w:val="fr-FR"/>
        </w:rPr>
        <w:t xml:space="preserve">, le Groupe de travail a adopté la proposition </w:t>
      </w:r>
      <w:r w:rsidR="00E22585">
        <w:rPr>
          <w:lang w:val="fr-FR"/>
        </w:rPr>
        <w:t>telle que modifiée (voir annexe </w:t>
      </w:r>
      <w:r w:rsidRPr="00AF5FD5">
        <w:rPr>
          <w:lang w:val="fr-FR"/>
        </w:rPr>
        <w:t>I).</w:t>
      </w:r>
    </w:p>
    <w:p w:rsidR="00B25DBE" w:rsidRPr="00AF5FD5" w:rsidRDefault="00B25DBE" w:rsidP="00331381">
      <w:pPr>
        <w:pStyle w:val="H23G"/>
      </w:pPr>
      <w:r w:rsidRPr="00AF5FD5">
        <w:tab/>
      </w:r>
      <w:bookmarkStart w:id="40" w:name="_Toc528146989"/>
      <w:bookmarkStart w:id="41" w:name="_Hlk527637919"/>
      <w:r w:rsidRPr="00AF5FD5">
        <w:t>4.</w:t>
      </w:r>
      <w:r w:rsidRPr="00AF5FD5">
        <w:tab/>
        <w:t>Modifications et ajouts aux définitions proposés dans le document ECE/TRANS/WP.11/2015/17, pour introduction dans l</w:t>
      </w:r>
      <w:r w:rsidR="00E84113" w:rsidRPr="00AF5FD5">
        <w:t>’</w:t>
      </w:r>
      <w:r w:rsidR="00331381" w:rsidRPr="00AF5FD5">
        <w:t>annexe </w:t>
      </w:r>
      <w:r w:rsidRPr="00AF5FD5">
        <w:t>I de l</w:t>
      </w:r>
      <w:r w:rsidR="00E84113" w:rsidRPr="00AF5FD5">
        <w:t>’</w:t>
      </w:r>
      <w:r w:rsidRPr="00AF5FD5">
        <w:t xml:space="preserve">Accord </w:t>
      </w:r>
      <w:bookmarkEnd w:id="40"/>
    </w:p>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ECE/TRANS/WP.11/2018/21 (Fédération de Russie)</w:t>
      </w:r>
      <w:r w:rsidR="002D7AC2" w:rsidRPr="00AF5FD5">
        <w:t>.</w:t>
      </w:r>
    </w:p>
    <w:p w:rsidR="00B25DBE" w:rsidRPr="00AF5FD5" w:rsidRDefault="00B25DBE" w:rsidP="00B25DBE">
      <w:pPr>
        <w:pStyle w:val="SingleTxtG"/>
      </w:pPr>
      <w:r w:rsidRPr="00AF5FD5">
        <w:t>70.</w:t>
      </w:r>
      <w:r w:rsidRPr="00AF5FD5">
        <w:tab/>
        <w:t>Le Groupe de travail a convenu de ce qu</w:t>
      </w:r>
      <w:r w:rsidR="00E84113" w:rsidRPr="00AF5FD5">
        <w:t>’</w:t>
      </w:r>
      <w:r w:rsidRPr="00AF5FD5">
        <w:t>il fallait travailler davantage sur les définitions, surtout en ce qui concerne l</w:t>
      </w:r>
      <w:r w:rsidR="00E84113" w:rsidRPr="00AF5FD5">
        <w:t>’</w:t>
      </w:r>
      <w:r w:rsidRPr="00AF5FD5">
        <w:t>harmonisation des termes dans les trois langues de l</w:t>
      </w:r>
      <w:r w:rsidR="00E84113" w:rsidRPr="00AF5FD5">
        <w:t>’</w:t>
      </w:r>
      <w:r w:rsidRPr="00AF5FD5">
        <w:t>Accord. Il a été décidé de mettre sur pied un groupe de travail informel pour étudier en détails la proposition de la Fédération de Russie relative aux définitions des termes de l</w:t>
      </w:r>
      <w:r w:rsidR="00E84113" w:rsidRPr="00AF5FD5">
        <w:t>’</w:t>
      </w:r>
      <w:r w:rsidRPr="00AF5FD5">
        <w:t>ATP et d</w:t>
      </w:r>
      <w:r w:rsidR="00E84113" w:rsidRPr="00AF5FD5">
        <w:t>’</w:t>
      </w:r>
      <w:r w:rsidRPr="00AF5FD5">
        <w:t>examiner un document de synthèse à la prochaine session.</w:t>
      </w:r>
    </w:p>
    <w:p w:rsidR="00B25DBE" w:rsidRPr="00AF5FD5" w:rsidRDefault="00B25DBE" w:rsidP="002D7AC2">
      <w:pPr>
        <w:pStyle w:val="SingleTxtG"/>
        <w:keepNext/>
        <w:keepLines/>
      </w:pPr>
      <w:r w:rsidRPr="00AF5FD5">
        <w:t>71.</w:t>
      </w:r>
      <w:r w:rsidRPr="00AF5FD5">
        <w:tab/>
        <w:t>La Fédération de Russie a proposé d</w:t>
      </w:r>
      <w:r w:rsidR="00E84113" w:rsidRPr="00AF5FD5">
        <w:t>’</w:t>
      </w:r>
      <w:r w:rsidRPr="00AF5FD5">
        <w:t>accueillir une réunion du groupe de travail informel au cours de laquelle pourraient aussi être exa</w:t>
      </w:r>
      <w:r w:rsidR="002D7AC2" w:rsidRPr="00AF5FD5">
        <w:t>minées les questions suivantes :</w:t>
      </w:r>
    </w:p>
    <w:p w:rsidR="00B25DBE" w:rsidRPr="00AF5FD5" w:rsidRDefault="00E22585" w:rsidP="002D7AC2">
      <w:pPr>
        <w:pStyle w:val="SingleTxtG"/>
        <w:ind w:firstLine="567"/>
      </w:pPr>
      <w:r>
        <w:t>a)</w:t>
      </w:r>
      <w:r>
        <w:tab/>
        <w:t>L</w:t>
      </w:r>
      <w:r w:rsidR="00B25DBE" w:rsidRPr="00AF5FD5">
        <w:t>a liste des denrées périssables à inclure dans l</w:t>
      </w:r>
      <w:r w:rsidR="00E84113" w:rsidRPr="00AF5FD5">
        <w:t>’</w:t>
      </w:r>
      <w:r w:rsidR="00B25DBE" w:rsidRPr="00AF5FD5">
        <w:t>Accord ou dans le Manuel</w:t>
      </w:r>
      <w:r w:rsidR="002D7AC2" w:rsidRPr="00AF5FD5">
        <w:t> </w:t>
      </w:r>
      <w:r w:rsidR="00B25DBE" w:rsidRPr="00AF5FD5">
        <w:t>ATP</w:t>
      </w:r>
      <w:r w:rsidR="0048024C" w:rsidRPr="00AF5FD5">
        <w:t> ;</w:t>
      </w:r>
    </w:p>
    <w:p w:rsidR="00B25DBE" w:rsidRPr="00AF5FD5" w:rsidRDefault="00E22585" w:rsidP="002D7AC2">
      <w:pPr>
        <w:pStyle w:val="SingleTxtG"/>
        <w:ind w:firstLine="567"/>
      </w:pPr>
      <w:r>
        <w:t>b)</w:t>
      </w:r>
      <w:r>
        <w:tab/>
        <w:t>L</w:t>
      </w:r>
      <w:r w:rsidR="00E84113" w:rsidRPr="00AF5FD5">
        <w:t>’</w:t>
      </w:r>
      <w:r w:rsidR="002D7AC2" w:rsidRPr="00AF5FD5">
        <w:t>inclusion du terme « </w:t>
      </w:r>
      <w:r w:rsidR="00B25DBE" w:rsidRPr="00AF5FD5">
        <w:t>denrées périssables</w:t>
      </w:r>
      <w:r w:rsidR="002D7AC2" w:rsidRPr="00AF5FD5">
        <w:t> »</w:t>
      </w:r>
      <w:r w:rsidR="00B25DBE" w:rsidRPr="00AF5FD5">
        <w:t xml:space="preserve"> inclure dans l</w:t>
      </w:r>
      <w:r w:rsidR="00E84113" w:rsidRPr="00AF5FD5">
        <w:t>’</w:t>
      </w:r>
      <w:r w:rsidR="00B25DBE" w:rsidRPr="00AF5FD5">
        <w:t>Accord ou dans le Manuel ATP</w:t>
      </w:r>
      <w:r w:rsidR="0048024C" w:rsidRPr="00AF5FD5">
        <w:t> ;</w:t>
      </w:r>
      <w:r w:rsidR="00B25DBE" w:rsidRPr="00AF5FD5">
        <w:t xml:space="preserve"> et</w:t>
      </w:r>
    </w:p>
    <w:p w:rsidR="00B25DBE" w:rsidRPr="00AF5FD5" w:rsidRDefault="00E22585" w:rsidP="002D7AC2">
      <w:pPr>
        <w:pStyle w:val="SingleTxtG"/>
        <w:ind w:firstLine="567"/>
      </w:pPr>
      <w:r>
        <w:t>c)</w:t>
      </w:r>
      <w:r>
        <w:tab/>
        <w:t>D</w:t>
      </w:r>
      <w:r w:rsidR="00E84113" w:rsidRPr="00AF5FD5">
        <w:t>’</w:t>
      </w:r>
      <w:r w:rsidR="00B25DBE" w:rsidRPr="00AF5FD5">
        <w:t>autres questions soulevées dans les documents 2018/03 et 2018/04.</w:t>
      </w:r>
    </w:p>
    <w:bookmarkEnd w:id="41"/>
    <w:p w:rsidR="00B25DBE" w:rsidRPr="00AF5FD5" w:rsidRDefault="00B25DBE" w:rsidP="002D7AC2">
      <w:pPr>
        <w:pStyle w:val="H23G"/>
      </w:pPr>
      <w:r w:rsidRPr="00AF5FD5">
        <w:tab/>
      </w:r>
      <w:bookmarkStart w:id="42" w:name="_Toc528146990"/>
      <w:r w:rsidRPr="00AF5FD5">
        <w:t>5.</w:t>
      </w:r>
      <w:r w:rsidRPr="00AF5FD5">
        <w:tab/>
        <w:t>Amendement à l</w:t>
      </w:r>
      <w:r w:rsidR="00E84113" w:rsidRPr="00AF5FD5">
        <w:t>’</w:t>
      </w:r>
      <w:r w:rsidR="002D7AC2" w:rsidRPr="00AF5FD5">
        <w:t>appendice </w:t>
      </w:r>
      <w:r w:rsidRPr="00AF5FD5">
        <w:t>2 de l</w:t>
      </w:r>
      <w:r w:rsidR="00E84113" w:rsidRPr="00AF5FD5">
        <w:t>’</w:t>
      </w:r>
      <w:r w:rsidR="002D7AC2" w:rsidRPr="00AF5FD5">
        <w:t>annexe </w:t>
      </w:r>
      <w:r w:rsidRPr="00AF5FD5">
        <w:t>1 de l</w:t>
      </w:r>
      <w:r w:rsidR="00E84113" w:rsidRPr="00AF5FD5">
        <w:t>’</w:t>
      </w:r>
      <w:r w:rsidRPr="00AF5FD5">
        <w:t>ATP concernant la prise en compte des erreurs (de l</w:t>
      </w:r>
      <w:r w:rsidR="00E84113" w:rsidRPr="00AF5FD5">
        <w:t>’</w:t>
      </w:r>
      <w:r w:rsidRPr="00AF5FD5">
        <w:t>incertitude) lors de la mesure du coefficient global de transmission thermique pour déterminer la catégorie dans laquelle entre un engin de transport spécial et correction d</w:t>
      </w:r>
      <w:r w:rsidR="00E84113" w:rsidRPr="00AF5FD5">
        <w:t>’</w:t>
      </w:r>
      <w:r w:rsidRPr="00AF5FD5">
        <w:t>une erreur typographique dans la version russe du paragraphe</w:t>
      </w:r>
      <w:r w:rsidR="002D7AC2" w:rsidRPr="00AF5FD5">
        <w:t> </w:t>
      </w:r>
      <w:r w:rsidRPr="00AF5FD5">
        <w:t>2.3.1 à l</w:t>
      </w:r>
      <w:r w:rsidR="00E84113" w:rsidRPr="00AF5FD5">
        <w:t>’</w:t>
      </w:r>
      <w:r w:rsidR="002D7AC2" w:rsidRPr="00AF5FD5">
        <w:t>appendice </w:t>
      </w:r>
      <w:r w:rsidRPr="00AF5FD5">
        <w:t>2 de l</w:t>
      </w:r>
      <w:r w:rsidR="00E84113" w:rsidRPr="00AF5FD5">
        <w:t>’</w:t>
      </w:r>
      <w:r w:rsidRPr="00AF5FD5">
        <w:t>annexe</w:t>
      </w:r>
      <w:r w:rsidR="002D7AC2" w:rsidRPr="00AF5FD5">
        <w:t> </w:t>
      </w:r>
      <w:r w:rsidRPr="00AF5FD5">
        <w:t xml:space="preserve">1 </w:t>
      </w:r>
    </w:p>
    <w:bookmarkEnd w:id="42"/>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ECE/TRANS/WP.11/2018/22 (Fédération de Russie)</w:t>
      </w:r>
      <w:r w:rsidR="002D7AC2" w:rsidRPr="00AF5FD5">
        <w:t>.</w:t>
      </w:r>
    </w:p>
    <w:p w:rsidR="00B25DBE" w:rsidRPr="00AF5FD5" w:rsidRDefault="00B25DBE" w:rsidP="00B25DBE">
      <w:pPr>
        <w:pStyle w:val="SingleTxtG"/>
      </w:pPr>
      <w:r w:rsidRPr="00AF5FD5">
        <w:t>72.</w:t>
      </w:r>
      <w:r w:rsidRPr="00AF5FD5">
        <w:tab/>
        <w:t>On a fait valoir que si l</w:t>
      </w:r>
      <w:r w:rsidR="00E84113" w:rsidRPr="00AF5FD5">
        <w:t>’</w:t>
      </w:r>
      <w:r w:rsidRPr="00AF5FD5">
        <w:t>objectif était de tenir compte du vieillissement, l</w:t>
      </w:r>
      <w:r w:rsidR="00E84113" w:rsidRPr="00AF5FD5">
        <w:t>’</w:t>
      </w:r>
      <w:r w:rsidRPr="00AF5FD5">
        <w:t>approche proposée ne permettrait pas de résoudre entièrement le problème.</w:t>
      </w:r>
    </w:p>
    <w:p w:rsidR="00B25DBE" w:rsidRPr="00AF5FD5" w:rsidRDefault="00B25DBE" w:rsidP="00B25DBE">
      <w:pPr>
        <w:pStyle w:val="SingleTxtG"/>
      </w:pPr>
      <w:r w:rsidRPr="00AF5FD5">
        <w:t>73.</w:t>
      </w:r>
      <w:r w:rsidRPr="00AF5FD5">
        <w:tab/>
        <w:t>La proposition n</w:t>
      </w:r>
      <w:r w:rsidR="00E84113" w:rsidRPr="00AF5FD5">
        <w:t>’</w:t>
      </w:r>
      <w:r w:rsidRPr="00AF5FD5">
        <w:t>a pas été adoptée, la Finlande, les Pays-Bas et le Portugal ayant voté contre.</w:t>
      </w:r>
    </w:p>
    <w:p w:rsidR="00B25DBE" w:rsidRPr="00AF5FD5" w:rsidRDefault="00B25DBE" w:rsidP="002D7AC2">
      <w:pPr>
        <w:pStyle w:val="H23G"/>
      </w:pPr>
      <w:r w:rsidRPr="00AF5FD5">
        <w:tab/>
      </w:r>
      <w:bookmarkStart w:id="43" w:name="_Toc528146991"/>
      <w:r w:rsidRPr="00AF5FD5">
        <w:t>6.</w:t>
      </w:r>
      <w:r w:rsidRPr="00AF5FD5">
        <w:tab/>
        <w:t>Modifications apportées aux modèles de procès-verbaux d</w:t>
      </w:r>
      <w:r w:rsidR="00E84113" w:rsidRPr="00AF5FD5">
        <w:t>’</w:t>
      </w:r>
      <w:r w:rsidRPr="00AF5FD5">
        <w:t xml:space="preserve">essai de mesure </w:t>
      </w:r>
      <w:r w:rsidR="002D7AC2" w:rsidRPr="00AF5FD5">
        <w:br/>
      </w:r>
      <w:r w:rsidRPr="00AF5FD5">
        <w:t>du coefficient K découlant de la nécessité de prendre en compte l</w:t>
      </w:r>
      <w:r w:rsidR="00E84113" w:rsidRPr="00AF5FD5">
        <w:t>’</w:t>
      </w:r>
      <w:r w:rsidRPr="00AF5FD5">
        <w:t xml:space="preserve">énergie </w:t>
      </w:r>
      <w:r w:rsidR="002D7AC2" w:rsidRPr="00AF5FD5">
        <w:br/>
      </w:r>
      <w:r w:rsidRPr="00AF5FD5">
        <w:t xml:space="preserve">des ventilateurs utilisés dans les essais thermiques, qui produit de la chaleur </w:t>
      </w:r>
      <w:r w:rsidR="002D7AC2" w:rsidRPr="00AF5FD5">
        <w:br/>
      </w:r>
      <w:r w:rsidRPr="00AF5FD5">
        <w:t>à l</w:t>
      </w:r>
      <w:r w:rsidR="00E84113" w:rsidRPr="00AF5FD5">
        <w:t>’</w:t>
      </w:r>
      <w:r w:rsidRPr="00AF5FD5">
        <w:t xml:space="preserve">intérieur de la caisse des engins de transport spéciaux </w:t>
      </w:r>
    </w:p>
    <w:bookmarkEnd w:id="43"/>
    <w:p w:rsidR="00B25DBE" w:rsidRPr="00AF5FD5" w:rsidRDefault="00B25DBE" w:rsidP="002D7AC2">
      <w:pPr>
        <w:pStyle w:val="SingleTxtG"/>
        <w:ind w:left="3119" w:hanging="1985"/>
      </w:pPr>
      <w:r w:rsidRPr="00AF5FD5">
        <w:rPr>
          <w:i/>
        </w:rPr>
        <w:t>Document</w:t>
      </w:r>
      <w:r w:rsidR="00F5260A">
        <w:rPr>
          <w:i/>
        </w:rPr>
        <w:t> </w:t>
      </w:r>
      <w:r w:rsidR="00F5260A">
        <w:t>:</w:t>
      </w:r>
      <w:r w:rsidR="00331381" w:rsidRPr="00AF5FD5">
        <w:tab/>
      </w:r>
      <w:r w:rsidRPr="00AF5FD5">
        <w:t>ECE/TRANS/WP.11/2018/23 (Fédération de Russie)</w:t>
      </w:r>
      <w:r w:rsidR="002D7AC2" w:rsidRPr="00AF5FD5">
        <w:t>.</w:t>
      </w:r>
    </w:p>
    <w:p w:rsidR="00B25DBE" w:rsidRPr="00AF5FD5" w:rsidRDefault="00B25DBE" w:rsidP="00B25DBE">
      <w:pPr>
        <w:pStyle w:val="SingleTxtG"/>
      </w:pPr>
      <w:r w:rsidRPr="00AF5FD5">
        <w:lastRenderedPageBreak/>
        <w:t>74.</w:t>
      </w:r>
      <w:r w:rsidRPr="00AF5FD5">
        <w:tab/>
        <w:t xml:space="preserve">Quelques précisions ayant été apportées, le Groupe de travail a adopté la proposition </w:t>
      </w:r>
      <w:r w:rsidR="002D7AC2" w:rsidRPr="00AF5FD5">
        <w:t>telle que modifiée (voir annexe </w:t>
      </w:r>
      <w:r w:rsidRPr="00AF5FD5">
        <w:t>I).</w:t>
      </w:r>
    </w:p>
    <w:p w:rsidR="00B25DBE" w:rsidRPr="00AF5FD5" w:rsidRDefault="00B25DBE" w:rsidP="002D7AC2">
      <w:pPr>
        <w:pStyle w:val="H23G"/>
      </w:pPr>
      <w:r w:rsidRPr="00AF5FD5">
        <w:tab/>
      </w:r>
      <w:bookmarkStart w:id="44" w:name="_Toc528146992"/>
      <w:r w:rsidRPr="00AF5FD5">
        <w:t>7.</w:t>
      </w:r>
      <w:r w:rsidRPr="00AF5FD5">
        <w:tab/>
        <w:t>Amendements au paragraphe 1 de l</w:t>
      </w:r>
      <w:r w:rsidR="00E84113" w:rsidRPr="00AF5FD5">
        <w:t>’</w:t>
      </w:r>
      <w:r w:rsidRPr="00AF5FD5">
        <w:t>article 3 de l</w:t>
      </w:r>
      <w:r w:rsidR="00E84113" w:rsidRPr="00AF5FD5">
        <w:t>’</w:t>
      </w:r>
      <w:r w:rsidRPr="00AF5FD5">
        <w:t xml:space="preserve">ATP </w:t>
      </w:r>
      <w:bookmarkEnd w:id="44"/>
    </w:p>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ECE/TRANS/WP.11/2018/24 (Fédération de Russie)</w:t>
      </w:r>
      <w:r w:rsidR="002D7AC2" w:rsidRPr="00AF5FD5">
        <w:t>.</w:t>
      </w:r>
    </w:p>
    <w:p w:rsidR="00B25DBE" w:rsidRPr="00AF5FD5" w:rsidRDefault="00B25DBE" w:rsidP="00B25DBE">
      <w:pPr>
        <w:pStyle w:val="SingleTxtG"/>
      </w:pPr>
      <w:r w:rsidRPr="00AF5FD5">
        <w:t>75.</w:t>
      </w:r>
      <w:r w:rsidRPr="00AF5FD5">
        <w:tab/>
        <w:t xml:space="preserve">Le document a été retiré par ses auteurs. </w:t>
      </w:r>
    </w:p>
    <w:p w:rsidR="00B25DBE" w:rsidRPr="00AF5FD5" w:rsidRDefault="00B25DBE" w:rsidP="002D7AC2">
      <w:pPr>
        <w:pStyle w:val="H23G"/>
      </w:pPr>
      <w:r w:rsidRPr="00AF5FD5">
        <w:tab/>
      </w:r>
      <w:bookmarkStart w:id="45" w:name="_Toc528146993"/>
      <w:r w:rsidRPr="00AF5FD5">
        <w:t>8.</w:t>
      </w:r>
      <w:r w:rsidRPr="00AF5FD5">
        <w:tab/>
        <w:t>Modification rédactionnelle concernant une erreur dans la version russe de l</w:t>
      </w:r>
      <w:r w:rsidR="00E84113" w:rsidRPr="00AF5FD5">
        <w:t>’</w:t>
      </w:r>
      <w:r w:rsidRPr="00AF5FD5">
        <w:t xml:space="preserve">ATP </w:t>
      </w:r>
      <w:bookmarkEnd w:id="45"/>
    </w:p>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ECE/TRANS/WP.11/2018/25 (Fédération de Russie)</w:t>
      </w:r>
      <w:r w:rsidR="002D7AC2" w:rsidRPr="00AF5FD5">
        <w:t>.</w:t>
      </w:r>
    </w:p>
    <w:p w:rsidR="00B25DBE" w:rsidRPr="00AF5FD5" w:rsidRDefault="00B25DBE" w:rsidP="00B25DBE">
      <w:pPr>
        <w:pStyle w:val="SingleTxtG"/>
      </w:pPr>
      <w:r w:rsidRPr="00AF5FD5">
        <w:t>76.</w:t>
      </w:r>
      <w:r w:rsidRPr="00AF5FD5">
        <w:tab/>
        <w:t xml:space="preserve">Le document a été retiré parce que la proposition de modification avait déjà été adoptée à la soixante-treizième session. </w:t>
      </w:r>
    </w:p>
    <w:p w:rsidR="00B25DBE" w:rsidRPr="00AF5FD5" w:rsidRDefault="00B25DBE" w:rsidP="002D7AC2">
      <w:pPr>
        <w:pStyle w:val="H23G"/>
      </w:pPr>
      <w:r w:rsidRPr="00AF5FD5">
        <w:tab/>
      </w:r>
      <w:bookmarkStart w:id="46" w:name="_Toc528146994"/>
      <w:r w:rsidRPr="00AF5FD5">
        <w:t>9.</w:t>
      </w:r>
      <w:r w:rsidRPr="00AF5FD5">
        <w:tab/>
        <w:t>Proposition d</w:t>
      </w:r>
      <w:r w:rsidR="00E84113" w:rsidRPr="00AF5FD5">
        <w:t>’</w:t>
      </w:r>
      <w:r w:rsidRPr="00AF5FD5">
        <w:t>amendement à l</w:t>
      </w:r>
      <w:r w:rsidR="00E84113" w:rsidRPr="00AF5FD5">
        <w:t>’</w:t>
      </w:r>
      <w:r w:rsidRPr="00AF5FD5">
        <w:t>ATP visant à attribuer, au stade de l</w:t>
      </w:r>
      <w:r w:rsidR="00E84113" w:rsidRPr="00AF5FD5">
        <w:t>’</w:t>
      </w:r>
      <w:r w:rsidRPr="00AF5FD5">
        <w:t>agrément de nouveaux engins de transport, une classe aux engins réfrigérants, frigorifiques, calorifiques ainsi qu</w:t>
      </w:r>
      <w:r w:rsidR="00E84113" w:rsidRPr="00AF5FD5">
        <w:t>’</w:t>
      </w:r>
      <w:r w:rsidRPr="00AF5FD5">
        <w:t xml:space="preserve">aux engins frigorifiques et calorifiques </w:t>
      </w:r>
    </w:p>
    <w:bookmarkEnd w:id="46"/>
    <w:p w:rsidR="00B25DBE" w:rsidRPr="00AF5FD5" w:rsidRDefault="00B25DBE" w:rsidP="002D7AC2">
      <w:pPr>
        <w:pStyle w:val="SingleTxtG"/>
        <w:ind w:left="3119" w:hanging="1985"/>
      </w:pPr>
      <w:r w:rsidRPr="00AF5FD5">
        <w:rPr>
          <w:i/>
        </w:rPr>
        <w:t>Document</w:t>
      </w:r>
      <w:r w:rsidR="00331381" w:rsidRPr="00AF5FD5">
        <w:rPr>
          <w:i/>
        </w:rPr>
        <w:t> </w:t>
      </w:r>
      <w:r w:rsidR="00331381" w:rsidRPr="00AF5FD5">
        <w:t>:</w:t>
      </w:r>
      <w:r w:rsidR="002D7AC2" w:rsidRPr="00AF5FD5">
        <w:tab/>
      </w:r>
      <w:r w:rsidRPr="00AF5FD5">
        <w:t>ECE/TRANS/WP.11/2018/26 (Fédération de Russie)</w:t>
      </w:r>
      <w:r w:rsidR="002D7AC2" w:rsidRPr="00AF5FD5">
        <w:t>.</w:t>
      </w:r>
    </w:p>
    <w:p w:rsidR="00B25DBE" w:rsidRPr="00AF5FD5" w:rsidRDefault="00B25DBE" w:rsidP="00B25DBE">
      <w:pPr>
        <w:pStyle w:val="SingleTxtG"/>
      </w:pPr>
      <w:r w:rsidRPr="00AF5FD5">
        <w:t>77.</w:t>
      </w:r>
      <w:r w:rsidRPr="00AF5FD5">
        <w:tab/>
        <w:t>Le Groupe de travail n</w:t>
      </w:r>
      <w:r w:rsidR="00E84113" w:rsidRPr="00AF5FD5">
        <w:t>’</w:t>
      </w:r>
      <w:r w:rsidRPr="00AF5FD5">
        <w:t>a pas pu s</w:t>
      </w:r>
      <w:r w:rsidR="00E84113" w:rsidRPr="00AF5FD5">
        <w:t>’</w:t>
      </w:r>
      <w:r w:rsidRPr="00AF5FD5">
        <w:t>entendre sur la nécessité d</w:t>
      </w:r>
      <w:r w:rsidR="00E84113" w:rsidRPr="00AF5FD5">
        <w:t>’</w:t>
      </w:r>
      <w:r w:rsidRPr="00AF5FD5">
        <w:t>introduire la précision proposée dans le texte de l</w:t>
      </w:r>
      <w:r w:rsidR="00E84113" w:rsidRPr="00AF5FD5">
        <w:t>’</w:t>
      </w:r>
      <w:r w:rsidRPr="00AF5FD5">
        <w:t>Accord. Les représentants de pays en faveur de cette proposition ont exprimé certaines réserves en raison du manque de clarté sur le cadre prévu.</w:t>
      </w:r>
    </w:p>
    <w:p w:rsidR="00B25DBE" w:rsidRPr="00AF5FD5" w:rsidRDefault="00B25DBE" w:rsidP="00B25DBE">
      <w:pPr>
        <w:pStyle w:val="SingleTxtG"/>
      </w:pPr>
      <w:r w:rsidRPr="00AF5FD5">
        <w:t>78.</w:t>
      </w:r>
      <w:r w:rsidRPr="00AF5FD5">
        <w:tab/>
        <w:t>Il a été souligné qu</w:t>
      </w:r>
      <w:r w:rsidR="00E84113" w:rsidRPr="00AF5FD5">
        <w:t>’</w:t>
      </w:r>
      <w:r w:rsidRPr="00AF5FD5">
        <w:t>il appartenait à l</w:t>
      </w:r>
      <w:r w:rsidR="00E84113" w:rsidRPr="00AF5FD5">
        <w:t>’</w:t>
      </w:r>
      <w:r w:rsidRPr="00AF5FD5">
        <w:t>autorité compétente de délivrer les attestations de conformité et d</w:t>
      </w:r>
      <w:r w:rsidR="002D7AC2" w:rsidRPr="00AF5FD5">
        <w:t xml:space="preserve">e classer les engins spéciaux. </w:t>
      </w:r>
      <w:r w:rsidRPr="00AF5FD5">
        <w:t>Il a en outre été précisé que cette même autorité pouvait désigner une entité ou un organe compétent pour accomplir ces tâches.</w:t>
      </w:r>
    </w:p>
    <w:p w:rsidR="00B25DBE" w:rsidRPr="00AF5FD5" w:rsidRDefault="00B25DBE" w:rsidP="00B25DBE">
      <w:pPr>
        <w:pStyle w:val="SingleTxtG"/>
      </w:pPr>
      <w:r w:rsidRPr="00AF5FD5">
        <w:t>79.</w:t>
      </w:r>
      <w:r w:rsidRPr="00AF5FD5">
        <w:tab/>
        <w:t xml:space="preserve">Mise aux voix, la </w:t>
      </w:r>
      <w:r w:rsidR="002D7AC2" w:rsidRPr="00AF5FD5">
        <w:t>proposition a été rejetée par 3 </w:t>
      </w:r>
      <w:r w:rsidRPr="00AF5FD5">
        <w:t>pays (Allemagne, Danemark et Royaume-Uni).</w:t>
      </w:r>
    </w:p>
    <w:p w:rsidR="00B25DBE" w:rsidRPr="00AF5FD5" w:rsidRDefault="00B25DBE" w:rsidP="002D7AC2">
      <w:pPr>
        <w:pStyle w:val="H23G"/>
      </w:pPr>
      <w:r w:rsidRPr="00AF5FD5">
        <w:tab/>
      </w:r>
      <w:bookmarkStart w:id="47" w:name="_Toc528146995"/>
      <w:r w:rsidRPr="00AF5FD5">
        <w:t>10.</w:t>
      </w:r>
      <w:r w:rsidRPr="00AF5FD5">
        <w:tab/>
        <w:t xml:space="preserve">Prescriptions relatives aux essais de mesure du coefficient K des cloisons fixes </w:t>
      </w:r>
      <w:bookmarkEnd w:id="47"/>
    </w:p>
    <w:p w:rsidR="00B25DBE" w:rsidRPr="00AF5FD5" w:rsidRDefault="00B25DBE" w:rsidP="002D7AC2">
      <w:pPr>
        <w:pStyle w:val="SingleTxtG"/>
        <w:ind w:left="3119" w:hanging="1985"/>
      </w:pPr>
      <w:r w:rsidRPr="00AF5FD5">
        <w:rPr>
          <w:i/>
        </w:rPr>
        <w:t>Document informel</w:t>
      </w:r>
      <w:r w:rsidR="002D7AC2" w:rsidRPr="00AF5FD5">
        <w:rPr>
          <w:i/>
        </w:rPr>
        <w:t> </w:t>
      </w:r>
      <w:r w:rsidR="002D7AC2" w:rsidRPr="00AF5FD5">
        <w:t>:</w:t>
      </w:r>
      <w:r w:rsidR="002D7AC2" w:rsidRPr="00AF5FD5">
        <w:tab/>
      </w:r>
      <w:r w:rsidRPr="00AF5FD5">
        <w:t>INF.4 (France)</w:t>
      </w:r>
      <w:r w:rsidR="002D7AC2" w:rsidRPr="00AF5FD5">
        <w:t>.</w:t>
      </w:r>
    </w:p>
    <w:p w:rsidR="00B25DBE" w:rsidRPr="00AF5FD5" w:rsidRDefault="00B25DBE" w:rsidP="002D7AC2">
      <w:pPr>
        <w:pStyle w:val="H23G"/>
      </w:pPr>
      <w:r w:rsidRPr="00AF5FD5">
        <w:tab/>
      </w:r>
      <w:bookmarkStart w:id="48" w:name="_Toc528146996"/>
      <w:r w:rsidRPr="00AF5FD5">
        <w:t>11.</w:t>
      </w:r>
      <w:r w:rsidRPr="00AF5FD5">
        <w:tab/>
        <w:t xml:space="preserve">Prescriptions minimales pour les mousses isolantes </w:t>
      </w:r>
      <w:bookmarkEnd w:id="48"/>
    </w:p>
    <w:p w:rsidR="00B25DBE" w:rsidRPr="00AF5FD5" w:rsidRDefault="00B25DBE" w:rsidP="002D7AC2">
      <w:pPr>
        <w:pStyle w:val="SingleTxtG"/>
        <w:ind w:left="3119" w:hanging="1985"/>
      </w:pPr>
      <w:r w:rsidRPr="00AF5FD5">
        <w:rPr>
          <w:i/>
        </w:rPr>
        <w:t>Document informel</w:t>
      </w:r>
      <w:r w:rsidR="002D7AC2" w:rsidRPr="00AF5FD5">
        <w:rPr>
          <w:i/>
        </w:rPr>
        <w:t> </w:t>
      </w:r>
      <w:r w:rsidR="002D7AC2" w:rsidRPr="00AF5FD5">
        <w:t>:</w:t>
      </w:r>
      <w:r w:rsidR="002D7AC2" w:rsidRPr="00AF5FD5">
        <w:tab/>
      </w:r>
      <w:r w:rsidRPr="00AF5FD5">
        <w:t>INF.5 (France)</w:t>
      </w:r>
      <w:r w:rsidR="002D7AC2" w:rsidRPr="00AF5FD5">
        <w:t>.</w:t>
      </w:r>
    </w:p>
    <w:p w:rsidR="00B25DBE" w:rsidRPr="00AF5FD5" w:rsidRDefault="00B25DBE" w:rsidP="002D7AC2">
      <w:pPr>
        <w:pStyle w:val="H23G"/>
      </w:pPr>
      <w:r w:rsidRPr="00AF5FD5">
        <w:tab/>
      </w:r>
      <w:bookmarkStart w:id="49" w:name="_Toc528146997"/>
      <w:r w:rsidRPr="00AF5FD5">
        <w:t>12.</w:t>
      </w:r>
      <w:r w:rsidRPr="00AF5FD5">
        <w:tab/>
        <w:t>Amendement au modèle d</w:t>
      </w:r>
      <w:r w:rsidR="00E84113" w:rsidRPr="00AF5FD5">
        <w:t>’</w:t>
      </w:r>
      <w:r w:rsidRPr="00AF5FD5">
        <w:t xml:space="preserve">attestation définissant les spécifications des engins </w:t>
      </w:r>
      <w:r w:rsidR="002D7AC2" w:rsidRPr="00AF5FD5">
        <w:br/>
      </w:r>
      <w:r w:rsidRPr="00AF5FD5">
        <w:t xml:space="preserve">et des conteneurs-citernes destinés au transport de liquides, comme </w:t>
      </w:r>
      <w:r w:rsidR="002D7AC2" w:rsidRPr="00AF5FD5">
        <w:br/>
      </w:r>
      <w:r w:rsidRPr="00AF5FD5">
        <w:t>conséquence de la nécessité de prendre en compte l</w:t>
      </w:r>
      <w:r w:rsidR="00E84113" w:rsidRPr="00AF5FD5">
        <w:t>’</w:t>
      </w:r>
      <w:r w:rsidRPr="00AF5FD5">
        <w:t xml:space="preserve">évolution technologique </w:t>
      </w:r>
      <w:r w:rsidR="002D7AC2" w:rsidRPr="00AF5FD5">
        <w:br/>
      </w:r>
      <w:r w:rsidRPr="00AF5FD5">
        <w:t>due à l</w:t>
      </w:r>
      <w:r w:rsidR="00E84113" w:rsidRPr="00AF5FD5">
        <w:t>’</w:t>
      </w:r>
      <w:r w:rsidRPr="00AF5FD5">
        <w:t xml:space="preserve">utilisation des nouvelles mousses isolantes </w:t>
      </w:r>
    </w:p>
    <w:bookmarkEnd w:id="49"/>
    <w:p w:rsidR="00B25DBE" w:rsidRPr="00AF5FD5" w:rsidRDefault="00B25DBE" w:rsidP="002D7AC2">
      <w:pPr>
        <w:pStyle w:val="SingleTxtG"/>
        <w:ind w:left="3119" w:hanging="1985"/>
      </w:pPr>
      <w:r w:rsidRPr="00AF5FD5">
        <w:rPr>
          <w:i/>
        </w:rPr>
        <w:t>Document informel</w:t>
      </w:r>
      <w:r w:rsidR="002D7AC2" w:rsidRPr="00AF5FD5">
        <w:rPr>
          <w:i/>
        </w:rPr>
        <w:t> </w:t>
      </w:r>
      <w:r w:rsidR="002D7AC2" w:rsidRPr="00AF5FD5">
        <w:t>:</w:t>
      </w:r>
      <w:r w:rsidR="002D7AC2" w:rsidRPr="00AF5FD5">
        <w:tab/>
      </w:r>
      <w:r w:rsidRPr="00AF5FD5">
        <w:t>INF.6 (France)</w:t>
      </w:r>
      <w:r w:rsidR="002D7AC2" w:rsidRPr="00AF5FD5">
        <w:t>.</w:t>
      </w:r>
    </w:p>
    <w:p w:rsidR="00B25DBE" w:rsidRPr="00AF5FD5" w:rsidRDefault="00B25DBE" w:rsidP="00B25DBE">
      <w:pPr>
        <w:pStyle w:val="SingleTxtG"/>
      </w:pPr>
      <w:r w:rsidRPr="00AF5FD5">
        <w:t>80.</w:t>
      </w:r>
      <w:r w:rsidRPr="00AF5FD5">
        <w:tab/>
        <w:t xml:space="preserve">Les </w:t>
      </w:r>
      <w:r w:rsidR="00331381" w:rsidRPr="00AF5FD5">
        <w:t>documents informels INF.4, 5 et </w:t>
      </w:r>
      <w:r w:rsidRPr="00AF5FD5">
        <w:t>6 ont été présentés au Groupe de travail par la France, qui a prié les représentants de lui faire part de leurs observations ou recommandations en vue de propositions futures.</w:t>
      </w:r>
    </w:p>
    <w:p w:rsidR="00B25DBE" w:rsidRPr="00AF5FD5" w:rsidRDefault="00B25DBE" w:rsidP="00B25DBE">
      <w:pPr>
        <w:pStyle w:val="SingleTxtG"/>
      </w:pPr>
      <w:r w:rsidRPr="00AF5FD5">
        <w:t>81.</w:t>
      </w:r>
      <w:r w:rsidRPr="00AF5FD5">
        <w:tab/>
        <w:t>Le WP.11 a remercié la France de ses propositions, estimant qu</w:t>
      </w:r>
      <w:r w:rsidR="00E84113" w:rsidRPr="00AF5FD5">
        <w:t>’</w:t>
      </w:r>
      <w:r w:rsidRPr="00AF5FD5">
        <w:t>elles portaient sur des questions importantes et qu</w:t>
      </w:r>
      <w:r w:rsidR="00E84113" w:rsidRPr="00AF5FD5">
        <w:t>’</w:t>
      </w:r>
      <w:r w:rsidRPr="00AF5FD5">
        <w:t>il convenait par conséquent de poursuivre les travaux s</w:t>
      </w:r>
      <w:r w:rsidR="00E84113" w:rsidRPr="00AF5FD5">
        <w:t>’</w:t>
      </w:r>
      <w:r w:rsidRPr="00AF5FD5">
        <w:t>y rapportant. S</w:t>
      </w:r>
      <w:r w:rsidR="00E84113" w:rsidRPr="00AF5FD5">
        <w:t>’</w:t>
      </w:r>
      <w:r w:rsidRPr="00AF5FD5">
        <w:t>agissant du document INF.5, il a été décidé qu</w:t>
      </w:r>
      <w:r w:rsidR="00E84113" w:rsidRPr="00AF5FD5">
        <w:t>’</w:t>
      </w:r>
      <w:r w:rsidRPr="00AF5FD5">
        <w:t>un groupe de travail informel serait mis en place, et les représentants de la France, de l</w:t>
      </w:r>
      <w:r w:rsidR="00E84113" w:rsidRPr="00AF5FD5">
        <w:t>’</w:t>
      </w:r>
      <w:r w:rsidR="00331381" w:rsidRPr="00AF5FD5">
        <w:t>Allemagne, des Pays-Bas, de </w:t>
      </w:r>
      <w:r w:rsidRPr="00AF5FD5">
        <w:t>TI et du Portugal ont fait part de leur intention d</w:t>
      </w:r>
      <w:r w:rsidR="00E84113" w:rsidRPr="00AF5FD5">
        <w:t>’</w:t>
      </w:r>
      <w:r w:rsidRPr="00AF5FD5">
        <w:t>y participer.</w:t>
      </w:r>
    </w:p>
    <w:p w:rsidR="00B25DBE" w:rsidRPr="00AF5FD5" w:rsidRDefault="00B25DBE" w:rsidP="00B25DBE">
      <w:pPr>
        <w:pStyle w:val="SingleTxtG"/>
      </w:pPr>
      <w:r w:rsidRPr="00AF5FD5">
        <w:t>82.</w:t>
      </w:r>
      <w:r w:rsidRPr="00AF5FD5">
        <w:tab/>
        <w:t>Les participants ont également convenu de ce que la Sous-Commission CERTE n</w:t>
      </w:r>
      <w:r w:rsidR="00E84113" w:rsidRPr="00AF5FD5">
        <w:t>’</w:t>
      </w:r>
      <w:r w:rsidRPr="00AF5FD5">
        <w:t>était pas le meilleur cadre pour l</w:t>
      </w:r>
      <w:r w:rsidR="00E84113" w:rsidRPr="00AF5FD5">
        <w:t>’</w:t>
      </w:r>
      <w:r w:rsidRPr="00AF5FD5">
        <w:t>examen des questions concernant la proposition énoncée dans le document informel INF.6 et que la France devait prendre la responsabilité d</w:t>
      </w:r>
      <w:r w:rsidR="00E84113" w:rsidRPr="00AF5FD5">
        <w:t>’</w:t>
      </w:r>
      <w:r w:rsidRPr="00AF5FD5">
        <w:t xml:space="preserve">étoffer sa proposition en collaboration avec les autres parties intéressées. </w:t>
      </w:r>
    </w:p>
    <w:p w:rsidR="00B25DBE" w:rsidRPr="00AF5FD5" w:rsidRDefault="00B25DBE" w:rsidP="002D7AC2">
      <w:pPr>
        <w:pStyle w:val="H1G"/>
      </w:pPr>
      <w:bookmarkStart w:id="50" w:name="_Hlk526972675"/>
      <w:r w:rsidRPr="00AF5FD5">
        <w:lastRenderedPageBreak/>
        <w:tab/>
      </w:r>
      <w:bookmarkStart w:id="51" w:name="_Toc528146998"/>
      <w:r w:rsidRPr="00AF5FD5">
        <w:t>B.</w:t>
      </w:r>
      <w:r w:rsidRPr="00AF5FD5">
        <w:tab/>
        <w:t xml:space="preserve">Nouvelles propositions </w:t>
      </w:r>
      <w:bookmarkEnd w:id="51"/>
    </w:p>
    <w:bookmarkEnd w:id="50"/>
    <w:p w:rsidR="00B25DBE" w:rsidRPr="00AF5FD5" w:rsidRDefault="00B25DBE" w:rsidP="002D7AC2">
      <w:pPr>
        <w:pStyle w:val="H23G"/>
        <w:rPr>
          <w:lang w:val="fr-FR"/>
        </w:rPr>
      </w:pPr>
      <w:r w:rsidRPr="00AF5FD5">
        <w:tab/>
      </w:r>
      <w:bookmarkStart w:id="52" w:name="_Toc528146999"/>
      <w:r w:rsidRPr="00AF5FD5">
        <w:t>1.</w:t>
      </w:r>
      <w:r w:rsidRPr="00AF5FD5">
        <w:tab/>
      </w:r>
      <w:r w:rsidRPr="00AF5FD5">
        <w:rPr>
          <w:lang w:val="fr-FR"/>
        </w:rPr>
        <w:t>Paragraphe 1.2 de l</w:t>
      </w:r>
      <w:r w:rsidR="00E84113" w:rsidRPr="00AF5FD5">
        <w:rPr>
          <w:lang w:val="fr-FR"/>
        </w:rPr>
        <w:t>’</w:t>
      </w:r>
      <w:r w:rsidRPr="00AF5FD5">
        <w:rPr>
          <w:lang w:val="fr-FR"/>
        </w:rPr>
        <w:t>appendice 2 de l</w:t>
      </w:r>
      <w:r w:rsidR="00E84113" w:rsidRPr="00AF5FD5">
        <w:rPr>
          <w:lang w:val="fr-FR"/>
        </w:rPr>
        <w:t>’</w:t>
      </w:r>
      <w:r w:rsidR="00501FA5">
        <w:rPr>
          <w:lang w:val="fr-FR"/>
        </w:rPr>
        <w:t>annexe </w:t>
      </w:r>
      <w:r w:rsidRPr="00AF5FD5">
        <w:rPr>
          <w:lang w:val="fr-FR"/>
        </w:rPr>
        <w:t>1</w:t>
      </w:r>
    </w:p>
    <w:bookmarkEnd w:id="52"/>
    <w:p w:rsidR="00B25DBE" w:rsidRPr="00AF5FD5" w:rsidRDefault="00B25DBE" w:rsidP="002D7AC2">
      <w:pPr>
        <w:pStyle w:val="SingleTxtG"/>
        <w:keepNext/>
        <w:keepLines/>
        <w:ind w:left="3119" w:hanging="1985"/>
      </w:pPr>
      <w:r w:rsidRPr="00AF5FD5">
        <w:rPr>
          <w:i/>
        </w:rPr>
        <w:t>Document</w:t>
      </w:r>
      <w:r w:rsidR="002D7AC2" w:rsidRPr="00AF5FD5">
        <w:rPr>
          <w:i/>
        </w:rPr>
        <w:t> </w:t>
      </w:r>
      <w:r w:rsidR="002D7AC2" w:rsidRPr="00AF5FD5">
        <w:t>:</w:t>
      </w:r>
      <w:r w:rsidR="002D7AC2" w:rsidRPr="00AF5FD5">
        <w:tab/>
      </w:r>
      <w:r w:rsidRPr="00AF5FD5">
        <w:t>ECE/TRANS/WP.11/2018/7 (</w:t>
      </w:r>
      <w:r w:rsidRPr="00AF5FD5">
        <w:rPr>
          <w:lang w:val="fr-FR"/>
        </w:rPr>
        <w:t>Allemagne et Royaume-Uni</w:t>
      </w:r>
      <w:r w:rsidRPr="00AF5FD5">
        <w:t>)</w:t>
      </w:r>
      <w:r w:rsidR="002D7AC2" w:rsidRPr="00AF5FD5">
        <w:t>.</w:t>
      </w:r>
    </w:p>
    <w:p w:rsidR="00B25DBE" w:rsidRPr="00AF5FD5" w:rsidRDefault="00B25DBE" w:rsidP="00B25DBE">
      <w:pPr>
        <w:pStyle w:val="SingleTxtG"/>
      </w:pPr>
      <w:r w:rsidRPr="00AF5FD5">
        <w:t>83.</w:t>
      </w:r>
      <w:r w:rsidRPr="00AF5FD5">
        <w:tab/>
      </w:r>
      <w:r w:rsidRPr="00AF5FD5">
        <w:rPr>
          <w:lang w:val="fr-FR"/>
        </w:rPr>
        <w:t>Cette proposition a été adoptée (voir annexe</w:t>
      </w:r>
      <w:r w:rsidRPr="00AF5FD5">
        <w:t xml:space="preserve"> I).</w:t>
      </w:r>
    </w:p>
    <w:p w:rsidR="00B25DBE" w:rsidRPr="00AF5FD5" w:rsidRDefault="00B25DBE" w:rsidP="002D7AC2">
      <w:pPr>
        <w:pStyle w:val="H23G"/>
      </w:pPr>
      <w:r w:rsidRPr="00AF5FD5">
        <w:tab/>
      </w:r>
      <w:bookmarkStart w:id="53" w:name="_Toc528147000"/>
      <w:r w:rsidRPr="00AF5FD5">
        <w:t>2.</w:t>
      </w:r>
      <w:r w:rsidRPr="00AF5FD5">
        <w:tab/>
      </w:r>
      <w:r w:rsidRPr="00AF5FD5">
        <w:rPr>
          <w:lang w:val="fr-FR"/>
        </w:rPr>
        <w:t>Ajout d</w:t>
      </w:r>
      <w:r w:rsidR="00E84113" w:rsidRPr="00AF5FD5">
        <w:rPr>
          <w:lang w:val="fr-FR"/>
        </w:rPr>
        <w:t>’</w:t>
      </w:r>
      <w:r w:rsidRPr="00AF5FD5">
        <w:rPr>
          <w:lang w:val="fr-FR"/>
        </w:rPr>
        <w:t>un nouveau sous-titre</w:t>
      </w:r>
      <w:r w:rsidRPr="00AF5FD5">
        <w:t xml:space="preserve"> </w:t>
      </w:r>
      <w:bookmarkEnd w:id="53"/>
    </w:p>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ECE/TRANS/WP.11/2018/8 (Espagne)</w:t>
      </w:r>
      <w:r w:rsidR="002D7AC2" w:rsidRPr="00AF5FD5">
        <w:t>.</w:t>
      </w:r>
    </w:p>
    <w:p w:rsidR="00B25DBE" w:rsidRPr="00AF5FD5" w:rsidRDefault="00B25DBE" w:rsidP="00B25DBE">
      <w:pPr>
        <w:pStyle w:val="SingleTxtG"/>
      </w:pPr>
      <w:r w:rsidRPr="00AF5FD5">
        <w:t>84.</w:t>
      </w:r>
      <w:r w:rsidRPr="00AF5FD5">
        <w:tab/>
        <w:t>Cette proposi</w:t>
      </w:r>
      <w:r w:rsidR="002D7AC2" w:rsidRPr="00AF5FD5">
        <w:t>tion a été adoptée (voir annexe </w:t>
      </w:r>
      <w:r w:rsidRPr="00AF5FD5">
        <w:t>I).</w:t>
      </w:r>
    </w:p>
    <w:p w:rsidR="00B25DBE" w:rsidRPr="00AF5FD5" w:rsidRDefault="00B25DBE" w:rsidP="002D7AC2">
      <w:pPr>
        <w:pStyle w:val="H23G"/>
      </w:pPr>
      <w:r w:rsidRPr="00AF5FD5">
        <w:tab/>
      </w:r>
      <w:bookmarkStart w:id="54" w:name="_Toc528147001"/>
      <w:r w:rsidRPr="00AF5FD5">
        <w:t>3.</w:t>
      </w:r>
      <w:r w:rsidRPr="00AF5FD5">
        <w:tab/>
        <w:t>Proposition d</w:t>
      </w:r>
      <w:r w:rsidR="00E84113" w:rsidRPr="00AF5FD5">
        <w:t>’</w:t>
      </w:r>
      <w:r w:rsidRPr="00AF5FD5">
        <w:t>amendement à l</w:t>
      </w:r>
      <w:r w:rsidR="00E84113" w:rsidRPr="00AF5FD5">
        <w:t>’</w:t>
      </w:r>
      <w:r w:rsidRPr="00AF5FD5">
        <w:t>ATP visant à introduire des dispositions spéciales applicables aux colis, véhicules et conteneurs contenant des matières qui présentent un</w:t>
      </w:r>
      <w:r w:rsidR="00331381" w:rsidRPr="00AF5FD5">
        <w:t> </w:t>
      </w:r>
      <w:r w:rsidRPr="00AF5FD5">
        <w:t>risque d</w:t>
      </w:r>
      <w:r w:rsidR="00E84113" w:rsidRPr="00AF5FD5">
        <w:t>’</w:t>
      </w:r>
      <w:r w:rsidRPr="00AF5FD5">
        <w:t>asphyxie lorsqu</w:t>
      </w:r>
      <w:r w:rsidR="00E84113" w:rsidRPr="00AF5FD5">
        <w:t>’</w:t>
      </w:r>
      <w:r w:rsidRPr="00AF5FD5">
        <w:t>elles sont utilisées à des fins de réfrigération ou de</w:t>
      </w:r>
      <w:r w:rsidR="00331381" w:rsidRPr="00AF5FD5">
        <w:t> </w:t>
      </w:r>
      <w:r w:rsidRPr="00AF5FD5">
        <w:t>conditionnement (telles que la neige carbonique (</w:t>
      </w:r>
      <w:r w:rsidR="002D7AC2" w:rsidRPr="00AF5FD5">
        <w:rPr>
          <w:rFonts w:eastAsia="MS Mincho"/>
          <w:szCs w:val="22"/>
        </w:rPr>
        <w:t>n</w:t>
      </w:r>
      <w:r w:rsidR="002D7AC2" w:rsidRPr="00AF5FD5">
        <w:rPr>
          <w:rFonts w:eastAsia="MS Mincho"/>
          <w:szCs w:val="22"/>
          <w:vertAlign w:val="superscript"/>
        </w:rPr>
        <w:t>o </w:t>
      </w:r>
      <w:r w:rsidRPr="00AF5FD5">
        <w:t>ONU 1845), l</w:t>
      </w:r>
      <w:r w:rsidR="00E84113" w:rsidRPr="00AF5FD5">
        <w:t>’</w:t>
      </w:r>
      <w:r w:rsidRPr="00AF5FD5">
        <w:t xml:space="preserve">azote </w:t>
      </w:r>
      <w:r w:rsidR="00331381" w:rsidRPr="00AF5FD5">
        <w:br/>
      </w:r>
      <w:r w:rsidRPr="00AF5FD5">
        <w:t>liquide réfrigéré (</w:t>
      </w:r>
      <w:r w:rsidR="002D7AC2" w:rsidRPr="00AF5FD5">
        <w:rPr>
          <w:rFonts w:eastAsia="MS Mincho"/>
          <w:szCs w:val="22"/>
        </w:rPr>
        <w:t>n</w:t>
      </w:r>
      <w:r w:rsidR="002D7AC2" w:rsidRPr="00AF5FD5">
        <w:rPr>
          <w:rFonts w:eastAsia="MS Mincho"/>
          <w:szCs w:val="22"/>
          <w:vertAlign w:val="superscript"/>
        </w:rPr>
        <w:t>o </w:t>
      </w:r>
      <w:r w:rsidRPr="00AF5FD5">
        <w:t>ONU 1977) ou l</w:t>
      </w:r>
      <w:r w:rsidR="00E84113" w:rsidRPr="00AF5FD5">
        <w:t>’</w:t>
      </w:r>
      <w:r w:rsidRPr="00AF5FD5">
        <w:t>argon liquide réfrigéré (</w:t>
      </w:r>
      <w:r w:rsidR="002D7AC2" w:rsidRPr="00AF5FD5">
        <w:rPr>
          <w:rFonts w:eastAsia="MS Mincho"/>
          <w:szCs w:val="22"/>
        </w:rPr>
        <w:t>n</w:t>
      </w:r>
      <w:r w:rsidR="002D7AC2" w:rsidRPr="00AF5FD5">
        <w:rPr>
          <w:rFonts w:eastAsia="MS Mincho"/>
          <w:szCs w:val="22"/>
          <w:vertAlign w:val="superscript"/>
        </w:rPr>
        <w:t>o </w:t>
      </w:r>
      <w:r w:rsidR="00331381" w:rsidRPr="00AF5FD5">
        <w:t>ONU </w:t>
      </w:r>
      <w:r w:rsidRPr="00AF5FD5">
        <w:t>1951))</w:t>
      </w:r>
    </w:p>
    <w:bookmarkEnd w:id="54"/>
    <w:p w:rsidR="00B25DBE" w:rsidRPr="00AF5FD5" w:rsidRDefault="00B25DBE" w:rsidP="002D7AC2">
      <w:pPr>
        <w:pStyle w:val="SingleTxtG"/>
        <w:ind w:left="3119" w:hanging="1985"/>
      </w:pPr>
      <w:r w:rsidRPr="00AF5FD5">
        <w:rPr>
          <w:i/>
        </w:rPr>
        <w:t>Document</w:t>
      </w:r>
      <w:r w:rsidR="00DB644C">
        <w:rPr>
          <w:i/>
        </w:rPr>
        <w:t> </w:t>
      </w:r>
      <w:r w:rsidR="00DB644C">
        <w:t>:</w:t>
      </w:r>
      <w:r w:rsidR="002D7AC2" w:rsidRPr="00AF5FD5">
        <w:tab/>
      </w:r>
      <w:r w:rsidRPr="00AF5FD5">
        <w:t>ECE/TRANS/WP.11/2018/9 (Suisse)</w:t>
      </w:r>
      <w:r w:rsidR="002D7AC2" w:rsidRPr="00AF5FD5">
        <w:t>.</w:t>
      </w:r>
    </w:p>
    <w:p w:rsidR="00B25DBE" w:rsidRPr="00AF5FD5" w:rsidRDefault="00B25DBE" w:rsidP="00B25DBE">
      <w:pPr>
        <w:pStyle w:val="SingleTxtG"/>
      </w:pPr>
      <w:r w:rsidRPr="00AF5FD5">
        <w:t>85.</w:t>
      </w:r>
      <w:r w:rsidRPr="00AF5FD5">
        <w:tab/>
        <w:t>Le Groupe de travail a remercié le représentant de la Suisse de sa proposition, considérant qu</w:t>
      </w:r>
      <w:r w:rsidR="00E84113" w:rsidRPr="00AF5FD5">
        <w:t>’</w:t>
      </w:r>
      <w:r w:rsidRPr="00AF5FD5">
        <w:t>elle contenait des renseignements précieux et méritant d</w:t>
      </w:r>
      <w:r w:rsidR="00E84113" w:rsidRPr="00AF5FD5">
        <w:t>’</w:t>
      </w:r>
      <w:r w:rsidRPr="00AF5FD5">
        <w:t>être diffusés. Toutefois, estimant que la question ne relevait pas du champ d</w:t>
      </w:r>
      <w:r w:rsidR="00E84113" w:rsidRPr="00AF5FD5">
        <w:t>’</w:t>
      </w:r>
      <w:r w:rsidRPr="00AF5FD5">
        <w:t>application de l</w:t>
      </w:r>
      <w:r w:rsidR="00E84113" w:rsidRPr="00AF5FD5">
        <w:t>’</w:t>
      </w:r>
      <w:r w:rsidRPr="00AF5FD5">
        <w:t>ATP, il n</w:t>
      </w:r>
      <w:r w:rsidR="00E84113" w:rsidRPr="00AF5FD5">
        <w:t>’</w:t>
      </w:r>
      <w:r w:rsidRPr="00AF5FD5">
        <w:t>a pas approuvé l</w:t>
      </w:r>
      <w:r w:rsidR="00E84113" w:rsidRPr="00AF5FD5">
        <w:t>’</w:t>
      </w:r>
      <w:r w:rsidRPr="00AF5FD5">
        <w:t>inclusion des dispositions proposées dans l</w:t>
      </w:r>
      <w:r w:rsidR="00E84113" w:rsidRPr="00AF5FD5">
        <w:t>’</w:t>
      </w:r>
      <w:r w:rsidRPr="00AF5FD5">
        <w:t xml:space="preserve">Accord. </w:t>
      </w:r>
    </w:p>
    <w:p w:rsidR="00B25DBE" w:rsidRPr="00AF5FD5" w:rsidRDefault="00B25DBE" w:rsidP="00B25DBE">
      <w:pPr>
        <w:pStyle w:val="SingleTxtG"/>
        <w:rPr>
          <w:lang w:val="fr-FR"/>
        </w:rPr>
      </w:pPr>
      <w:r w:rsidRPr="00AF5FD5">
        <w:t>86.</w:t>
      </w:r>
      <w:r w:rsidRPr="00AF5FD5">
        <w:tab/>
      </w:r>
      <w:r w:rsidRPr="00AF5FD5">
        <w:rPr>
          <w:lang w:val="fr-FR"/>
        </w:rPr>
        <w:t>Certains membres ont fait observer qu</w:t>
      </w:r>
      <w:r w:rsidR="00E84113" w:rsidRPr="00AF5FD5">
        <w:rPr>
          <w:lang w:val="fr-FR"/>
        </w:rPr>
        <w:t>’</w:t>
      </w:r>
      <w:r w:rsidRPr="00AF5FD5">
        <w:rPr>
          <w:lang w:val="fr-FR"/>
        </w:rPr>
        <w:t>il serait possible d</w:t>
      </w:r>
      <w:r w:rsidR="00E84113" w:rsidRPr="00AF5FD5">
        <w:rPr>
          <w:lang w:val="fr-FR"/>
        </w:rPr>
        <w:t>’</w:t>
      </w:r>
      <w:r w:rsidRPr="00AF5FD5">
        <w:rPr>
          <w:lang w:val="fr-FR"/>
        </w:rPr>
        <w:t>ajouter un renvoi à l</w:t>
      </w:r>
      <w:r w:rsidR="00E84113" w:rsidRPr="00AF5FD5">
        <w:rPr>
          <w:lang w:val="fr-FR"/>
        </w:rPr>
        <w:t>’</w:t>
      </w:r>
      <w:r w:rsidRPr="00AF5FD5">
        <w:rPr>
          <w:lang w:val="fr-FR"/>
        </w:rPr>
        <w:t>ADR soit dans le Manuel ATP, soit dans le texte de l</w:t>
      </w:r>
      <w:r w:rsidR="00E84113" w:rsidRPr="00AF5FD5">
        <w:rPr>
          <w:lang w:val="fr-FR"/>
        </w:rPr>
        <w:t>’</w:t>
      </w:r>
      <w:r w:rsidRPr="00AF5FD5">
        <w:rPr>
          <w:lang w:val="fr-FR"/>
        </w:rPr>
        <w:t>ATP lui-même. Le représentant de la Suisse a été invité à soumettre une proposition exposant les deux options, pour examen par le Groupe de travail à sa prochaine session.</w:t>
      </w:r>
    </w:p>
    <w:p w:rsidR="00B25DBE" w:rsidRPr="00AF5FD5" w:rsidRDefault="00B25DBE" w:rsidP="002D7AC2">
      <w:pPr>
        <w:pStyle w:val="H23G"/>
      </w:pPr>
      <w:r w:rsidRPr="00AF5FD5">
        <w:tab/>
      </w:r>
      <w:bookmarkStart w:id="55" w:name="_Toc528147002"/>
      <w:r w:rsidRPr="00AF5FD5">
        <w:t>4.</w:t>
      </w:r>
      <w:r w:rsidRPr="00AF5FD5">
        <w:tab/>
        <w:t>Proposition de modification du paragraphe</w:t>
      </w:r>
      <w:r w:rsidR="002D7AC2" w:rsidRPr="00AF5FD5">
        <w:t> </w:t>
      </w:r>
      <w:r w:rsidRPr="00AF5FD5">
        <w:t>3.4 de l</w:t>
      </w:r>
      <w:r w:rsidR="00E84113" w:rsidRPr="00AF5FD5">
        <w:t>’</w:t>
      </w:r>
      <w:r w:rsidR="002D7AC2" w:rsidRPr="00AF5FD5">
        <w:t>appendice </w:t>
      </w:r>
      <w:r w:rsidRPr="00AF5FD5">
        <w:t>2 de l</w:t>
      </w:r>
      <w:r w:rsidR="00E84113" w:rsidRPr="00AF5FD5">
        <w:t>’</w:t>
      </w:r>
      <w:r w:rsidR="002D7AC2" w:rsidRPr="00AF5FD5">
        <w:t>annexe 1 </w:t>
      </w:r>
      <w:r w:rsidRPr="00AF5FD5">
        <w:t>: Mesure de la puissance de chauffage utile</w:t>
      </w:r>
    </w:p>
    <w:bookmarkEnd w:id="55"/>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ECE/TRANS/WP.11/2018/11 et Corr.1 (Allemagne)</w:t>
      </w:r>
      <w:r w:rsidR="002D7AC2" w:rsidRPr="00AF5FD5">
        <w:t>.</w:t>
      </w:r>
    </w:p>
    <w:p w:rsidR="00B25DBE" w:rsidRPr="00AF5FD5" w:rsidRDefault="00B25DBE" w:rsidP="00B25DBE">
      <w:pPr>
        <w:pStyle w:val="SingleTxtG"/>
      </w:pPr>
      <w:r w:rsidRPr="00AF5FD5">
        <w:t>87.</w:t>
      </w:r>
      <w:r w:rsidRPr="00AF5FD5">
        <w:tab/>
        <w:t>Cette proposition a été adoptée (voir annexe I).</w:t>
      </w:r>
    </w:p>
    <w:p w:rsidR="00B25DBE" w:rsidRPr="00AF5FD5" w:rsidRDefault="00B25DBE" w:rsidP="002D7AC2">
      <w:pPr>
        <w:pStyle w:val="H23G"/>
      </w:pPr>
      <w:r w:rsidRPr="00AF5FD5">
        <w:tab/>
      </w:r>
      <w:bookmarkStart w:id="56" w:name="_Toc528147003"/>
      <w:r w:rsidRPr="00AF5FD5">
        <w:t>5.</w:t>
      </w:r>
      <w:r w:rsidRPr="00AF5FD5">
        <w:tab/>
        <w:t>Proposition de modification du paragraphe 4.3.4 ii) de l</w:t>
      </w:r>
      <w:r w:rsidR="00E84113" w:rsidRPr="00AF5FD5">
        <w:t>’</w:t>
      </w:r>
      <w:r w:rsidRPr="00AF5FD5">
        <w:t>appen</w:t>
      </w:r>
      <w:r w:rsidR="002D7AC2" w:rsidRPr="00AF5FD5">
        <w:t>dice </w:t>
      </w:r>
      <w:r w:rsidRPr="00AF5FD5">
        <w:t>2 de l</w:t>
      </w:r>
      <w:r w:rsidR="00E84113" w:rsidRPr="00AF5FD5">
        <w:t>’</w:t>
      </w:r>
      <w:r w:rsidR="002D7AC2" w:rsidRPr="00AF5FD5">
        <w:t>annexe 1 </w:t>
      </w:r>
      <w:r w:rsidRPr="00AF5FD5">
        <w:t>: Normes concernant la mesure du débit d</w:t>
      </w:r>
      <w:r w:rsidR="00E84113" w:rsidRPr="00AF5FD5">
        <w:t>’</w:t>
      </w:r>
      <w:r w:rsidRPr="00AF5FD5">
        <w:t>air</w:t>
      </w:r>
    </w:p>
    <w:bookmarkEnd w:id="56"/>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ECE/TRANS/WP.11/2018/12 (Allemagne)</w:t>
      </w:r>
      <w:r w:rsidR="002D7AC2" w:rsidRPr="00AF5FD5">
        <w:t>.</w:t>
      </w:r>
    </w:p>
    <w:p w:rsidR="00B25DBE" w:rsidRPr="00AF5FD5" w:rsidRDefault="00B25DBE" w:rsidP="00B25DBE">
      <w:pPr>
        <w:pStyle w:val="SingleTxtG"/>
        <w:rPr>
          <w:lang w:val="fr-FR"/>
        </w:rPr>
      </w:pPr>
      <w:r w:rsidRPr="00AF5FD5">
        <w:t>88.</w:t>
      </w:r>
      <w:r w:rsidRPr="00AF5FD5">
        <w:tab/>
      </w:r>
      <w:r w:rsidRPr="00AF5FD5">
        <w:rPr>
          <w:lang w:val="fr-FR"/>
        </w:rPr>
        <w:t>Le Groupe de travail a approuvé en principe la proposition, mais les avis étaient partagés quant à l</w:t>
      </w:r>
      <w:r w:rsidR="00E84113" w:rsidRPr="00AF5FD5">
        <w:rPr>
          <w:lang w:val="fr-FR"/>
        </w:rPr>
        <w:t>’</w:t>
      </w:r>
      <w:r w:rsidRPr="00AF5FD5">
        <w:rPr>
          <w:lang w:val="fr-FR"/>
        </w:rPr>
        <w:t>opportunité d</w:t>
      </w:r>
      <w:r w:rsidR="00E84113" w:rsidRPr="00AF5FD5">
        <w:rPr>
          <w:lang w:val="fr-FR"/>
        </w:rPr>
        <w:t>’</w:t>
      </w:r>
      <w:r w:rsidRPr="00AF5FD5">
        <w:rPr>
          <w:lang w:val="fr-FR"/>
        </w:rPr>
        <w:t>inclure les dates des normes dans le texte de l</w:t>
      </w:r>
      <w:r w:rsidR="00E84113" w:rsidRPr="00AF5FD5">
        <w:rPr>
          <w:lang w:val="fr-FR"/>
        </w:rPr>
        <w:t>’</w:t>
      </w:r>
      <w:r w:rsidRPr="00AF5FD5">
        <w:rPr>
          <w:lang w:val="fr-FR"/>
        </w:rPr>
        <w:t>ATP. Il a été recommandé que le groupe de travail informel des normes étudie cette question en tenant compte de ses incidences juridiques et propose une solution adéquate pour les renvois aux normes dans l</w:t>
      </w:r>
      <w:r w:rsidR="00E84113" w:rsidRPr="00AF5FD5">
        <w:rPr>
          <w:lang w:val="fr-FR"/>
        </w:rPr>
        <w:t>’</w:t>
      </w:r>
      <w:r w:rsidRPr="00AF5FD5">
        <w:rPr>
          <w:lang w:val="fr-FR"/>
        </w:rPr>
        <w:t>ATP.</w:t>
      </w:r>
    </w:p>
    <w:p w:rsidR="00B25DBE" w:rsidRPr="00AF5FD5" w:rsidRDefault="00B25DBE" w:rsidP="00B25DBE">
      <w:pPr>
        <w:pStyle w:val="SingleTxtG"/>
        <w:rPr>
          <w:lang w:val="fr-FR"/>
        </w:rPr>
      </w:pPr>
      <w:r w:rsidRPr="00AF5FD5">
        <w:rPr>
          <w:lang w:val="fr-FR"/>
        </w:rPr>
        <w:t>89.</w:t>
      </w:r>
      <w:r w:rsidRPr="00AF5FD5">
        <w:rPr>
          <w:lang w:val="fr-FR"/>
        </w:rPr>
        <w:tab/>
        <w:t>Le Groupe de travail a adopté la proposition</w:t>
      </w:r>
      <w:r w:rsidR="002D7AC2" w:rsidRPr="00AF5FD5">
        <w:rPr>
          <w:lang w:val="fr-FR"/>
        </w:rPr>
        <w:t xml:space="preserve"> sans modification (voir annexe </w:t>
      </w:r>
      <w:r w:rsidRPr="00AF5FD5">
        <w:rPr>
          <w:lang w:val="fr-FR"/>
        </w:rPr>
        <w:t>I).</w:t>
      </w:r>
    </w:p>
    <w:p w:rsidR="00B25DBE" w:rsidRPr="00AF5FD5" w:rsidRDefault="00B25DBE" w:rsidP="002D7AC2">
      <w:pPr>
        <w:pStyle w:val="H23G"/>
        <w:rPr>
          <w:lang w:val="fr-FR"/>
        </w:rPr>
      </w:pPr>
      <w:r w:rsidRPr="00AF5FD5">
        <w:rPr>
          <w:lang w:val="fr-FR"/>
        </w:rPr>
        <w:tab/>
      </w:r>
      <w:bookmarkStart w:id="57" w:name="_Toc528147004"/>
      <w:r w:rsidRPr="00AF5FD5">
        <w:t>6.</w:t>
      </w:r>
      <w:r w:rsidRPr="00AF5FD5">
        <w:tab/>
      </w:r>
      <w:r w:rsidRPr="00AF5FD5">
        <w:rPr>
          <w:lang w:val="fr-FR"/>
        </w:rPr>
        <w:t>Proposition de modification du paragraphe 4.2.1 de l</w:t>
      </w:r>
      <w:r w:rsidR="00E84113" w:rsidRPr="00AF5FD5">
        <w:rPr>
          <w:lang w:val="fr-FR"/>
        </w:rPr>
        <w:t>’</w:t>
      </w:r>
      <w:r w:rsidRPr="00AF5FD5">
        <w:rPr>
          <w:lang w:val="fr-FR"/>
        </w:rPr>
        <w:t>appendice 2 de l</w:t>
      </w:r>
      <w:r w:rsidR="00E84113" w:rsidRPr="00AF5FD5">
        <w:rPr>
          <w:lang w:val="fr-FR"/>
        </w:rPr>
        <w:t>’</w:t>
      </w:r>
      <w:r w:rsidRPr="00AF5FD5">
        <w:rPr>
          <w:lang w:val="fr-FR"/>
        </w:rPr>
        <w:t>annexe 1 : Spécification du caisson calorimétrique</w:t>
      </w:r>
    </w:p>
    <w:bookmarkEnd w:id="57"/>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ECE/TRANS/WP.11/2018/14 (Allemagne)</w:t>
      </w:r>
      <w:r w:rsidR="002D7AC2" w:rsidRPr="00AF5FD5">
        <w:t>.</w:t>
      </w:r>
    </w:p>
    <w:p w:rsidR="00B25DBE" w:rsidRPr="00AF5FD5" w:rsidRDefault="00B25DBE" w:rsidP="00B25DBE">
      <w:pPr>
        <w:pStyle w:val="SingleTxtG"/>
      </w:pPr>
      <w:r w:rsidRPr="00AF5FD5">
        <w:t>90.</w:t>
      </w:r>
      <w:r w:rsidRPr="00AF5FD5">
        <w:tab/>
      </w:r>
      <w:r w:rsidRPr="00AF5FD5">
        <w:rPr>
          <w:lang w:val="fr-FR"/>
        </w:rPr>
        <w:t xml:space="preserve">Cette proposition a été adoptée telle que modifiée (voir annexe </w:t>
      </w:r>
      <w:r w:rsidRPr="00AF5FD5">
        <w:t>I).</w:t>
      </w:r>
    </w:p>
    <w:p w:rsidR="00B25DBE" w:rsidRPr="00AF5FD5" w:rsidRDefault="00B25DBE" w:rsidP="002D7AC2">
      <w:pPr>
        <w:pStyle w:val="H23G"/>
        <w:rPr>
          <w:lang w:val="fr-FR"/>
        </w:rPr>
      </w:pPr>
      <w:r w:rsidRPr="00AF5FD5">
        <w:tab/>
      </w:r>
      <w:bookmarkStart w:id="58" w:name="_Toc528147005"/>
      <w:r w:rsidRPr="00AF5FD5">
        <w:t>7.</w:t>
      </w:r>
      <w:r w:rsidRPr="00AF5FD5">
        <w:tab/>
      </w:r>
      <w:r w:rsidRPr="00AF5FD5">
        <w:rPr>
          <w:lang w:val="fr-FR"/>
        </w:rPr>
        <w:t xml:space="preserve">Modification rédactionnelle concernant une erreur </w:t>
      </w:r>
      <w:r w:rsidR="002D7AC2" w:rsidRPr="00AF5FD5">
        <w:rPr>
          <w:lang w:val="fr-FR"/>
        </w:rPr>
        <w:br/>
      </w:r>
      <w:r w:rsidRPr="00AF5FD5">
        <w:rPr>
          <w:lang w:val="fr-FR"/>
        </w:rPr>
        <w:t>dans la version anglaise de l</w:t>
      </w:r>
      <w:r w:rsidR="00E84113" w:rsidRPr="00AF5FD5">
        <w:rPr>
          <w:lang w:val="fr-FR"/>
        </w:rPr>
        <w:t>’</w:t>
      </w:r>
      <w:r w:rsidRPr="00AF5FD5">
        <w:rPr>
          <w:lang w:val="fr-FR"/>
        </w:rPr>
        <w:t>ATP</w:t>
      </w:r>
    </w:p>
    <w:bookmarkEnd w:id="58"/>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ECE/TRANS/WP.11/2018/16 (Italie)</w:t>
      </w:r>
      <w:r w:rsidR="002D7AC2" w:rsidRPr="00AF5FD5">
        <w:t>.</w:t>
      </w:r>
    </w:p>
    <w:p w:rsidR="00B25DBE" w:rsidRPr="00AF5FD5" w:rsidRDefault="00B25DBE" w:rsidP="00B25DBE">
      <w:pPr>
        <w:pStyle w:val="SingleTxtG"/>
      </w:pPr>
      <w:r w:rsidRPr="00AF5FD5">
        <w:t>91.</w:t>
      </w:r>
      <w:r w:rsidRPr="00AF5FD5">
        <w:tab/>
        <w:t>Cette proposi</w:t>
      </w:r>
      <w:r w:rsidR="002D7AC2" w:rsidRPr="00AF5FD5">
        <w:t>tion a été adoptée (voir annexe </w:t>
      </w:r>
      <w:r w:rsidRPr="00AF5FD5">
        <w:t>I).</w:t>
      </w:r>
    </w:p>
    <w:p w:rsidR="00B25DBE" w:rsidRPr="00AF5FD5" w:rsidRDefault="00B25DBE" w:rsidP="002D7AC2">
      <w:pPr>
        <w:pStyle w:val="H23G"/>
      </w:pPr>
      <w:r w:rsidRPr="00AF5FD5">
        <w:lastRenderedPageBreak/>
        <w:tab/>
      </w:r>
      <w:bookmarkStart w:id="59" w:name="_Toc528147006"/>
      <w:r w:rsidRPr="00AF5FD5">
        <w:t>8.</w:t>
      </w:r>
      <w:r w:rsidRPr="00AF5FD5">
        <w:tab/>
      </w:r>
      <w:r w:rsidRPr="00AF5FD5">
        <w:rPr>
          <w:lang w:val="fr-FR"/>
        </w:rPr>
        <w:t>Amendement au modèle de procès-verbal d</w:t>
      </w:r>
      <w:r w:rsidR="00E84113" w:rsidRPr="00AF5FD5">
        <w:rPr>
          <w:lang w:val="fr-FR"/>
        </w:rPr>
        <w:t>’</w:t>
      </w:r>
      <w:r w:rsidRPr="00AF5FD5">
        <w:rPr>
          <w:lang w:val="fr-FR"/>
        </w:rPr>
        <w:t>essai n</w:t>
      </w:r>
      <w:r w:rsidRPr="00AF5FD5">
        <w:rPr>
          <w:vertAlign w:val="superscript"/>
          <w:lang w:val="fr-FR"/>
        </w:rPr>
        <w:t>o</w:t>
      </w:r>
      <w:r w:rsidRPr="00AF5FD5">
        <w:rPr>
          <w:lang w:val="fr-FR"/>
        </w:rPr>
        <w:t> 12</w:t>
      </w:r>
      <w:bookmarkEnd w:id="59"/>
    </w:p>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ECE/TRANS/WP.11/2018/18 (</w:t>
      </w:r>
      <w:r w:rsidRPr="00AF5FD5">
        <w:rPr>
          <w:lang w:val="fr-FR"/>
        </w:rPr>
        <w:t>(Royaume-Uni)</w:t>
      </w:r>
      <w:r w:rsidR="002D7AC2" w:rsidRPr="00AF5FD5">
        <w:rPr>
          <w:lang w:val="fr-FR"/>
        </w:rPr>
        <w:t>.</w:t>
      </w:r>
    </w:p>
    <w:p w:rsidR="00B25DBE" w:rsidRPr="00AF5FD5" w:rsidRDefault="00B25DBE" w:rsidP="00B25DBE">
      <w:pPr>
        <w:pStyle w:val="SingleTxtG"/>
      </w:pPr>
      <w:r w:rsidRPr="00AF5FD5">
        <w:t>92.</w:t>
      </w:r>
      <w:r w:rsidRPr="00AF5FD5">
        <w:tab/>
        <w:t>Cette proposition a été adoptée telle que modifiée (voir annexe I).</w:t>
      </w:r>
    </w:p>
    <w:p w:rsidR="00B25DBE" w:rsidRPr="00AF5FD5" w:rsidRDefault="00B25DBE" w:rsidP="002D7AC2">
      <w:pPr>
        <w:pStyle w:val="H23G"/>
      </w:pPr>
      <w:r w:rsidRPr="00AF5FD5">
        <w:tab/>
      </w:r>
      <w:bookmarkStart w:id="60" w:name="_Toc528147007"/>
      <w:r w:rsidRPr="00AF5FD5">
        <w:t>9.</w:t>
      </w:r>
      <w:r w:rsidRPr="00AF5FD5">
        <w:tab/>
      </w:r>
      <w:r w:rsidRPr="00AF5FD5">
        <w:rPr>
          <w:lang w:val="fr-FR"/>
        </w:rPr>
        <w:t>Proposition de modification du paragraphe 6 de l</w:t>
      </w:r>
      <w:r w:rsidR="00E84113" w:rsidRPr="00AF5FD5">
        <w:rPr>
          <w:lang w:val="fr-FR"/>
        </w:rPr>
        <w:t>’</w:t>
      </w:r>
      <w:r w:rsidR="002D7AC2" w:rsidRPr="00AF5FD5">
        <w:rPr>
          <w:lang w:val="fr-FR"/>
        </w:rPr>
        <w:t>appendice </w:t>
      </w:r>
      <w:r w:rsidRPr="00AF5FD5">
        <w:rPr>
          <w:lang w:val="fr-FR"/>
        </w:rPr>
        <w:t>2 de l</w:t>
      </w:r>
      <w:r w:rsidR="00E84113" w:rsidRPr="00AF5FD5">
        <w:rPr>
          <w:lang w:val="fr-FR"/>
        </w:rPr>
        <w:t>’</w:t>
      </w:r>
      <w:r w:rsidRPr="00AF5FD5">
        <w:rPr>
          <w:lang w:val="fr-FR"/>
        </w:rPr>
        <w:t xml:space="preserve">annexe 1 : remplacement des fluides frigorigènes existants par de nouveaux fluides </w:t>
      </w:r>
      <w:r w:rsidR="002D7AC2" w:rsidRPr="00AF5FD5">
        <w:rPr>
          <w:lang w:val="fr-FR"/>
        </w:rPr>
        <w:br/>
      </w:r>
      <w:r w:rsidRPr="00AF5FD5">
        <w:rPr>
          <w:lang w:val="fr-FR"/>
        </w:rPr>
        <w:t>frigorigènes ayant un potentiel de réchauffement de la planète réduit</w:t>
      </w:r>
    </w:p>
    <w:bookmarkEnd w:id="60"/>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ECE/TRANS/WP.11/2018/10 (Allemagne)</w:t>
      </w:r>
      <w:r w:rsidR="002D7AC2" w:rsidRPr="00AF5FD5">
        <w:t>.</w:t>
      </w:r>
    </w:p>
    <w:p w:rsidR="00B25DBE" w:rsidRPr="00AF5FD5" w:rsidRDefault="00B25DBE" w:rsidP="00B25DBE">
      <w:pPr>
        <w:pStyle w:val="SingleTxtG"/>
      </w:pPr>
      <w:r w:rsidRPr="00AF5FD5">
        <w:t>93.</w:t>
      </w:r>
      <w:r w:rsidRPr="00AF5FD5">
        <w:tab/>
      </w:r>
      <w:r w:rsidRPr="00AF5FD5">
        <w:rPr>
          <w:lang w:val="fr-FR"/>
        </w:rPr>
        <w:t>À l</w:t>
      </w:r>
      <w:r w:rsidR="00E84113" w:rsidRPr="00AF5FD5">
        <w:rPr>
          <w:lang w:val="fr-FR"/>
        </w:rPr>
        <w:t>’</w:t>
      </w:r>
      <w:r w:rsidRPr="00AF5FD5">
        <w:rPr>
          <w:lang w:val="fr-FR"/>
        </w:rPr>
        <w:t>issue d</w:t>
      </w:r>
      <w:r w:rsidR="00E84113" w:rsidRPr="00AF5FD5">
        <w:rPr>
          <w:lang w:val="fr-FR"/>
        </w:rPr>
        <w:t>’</w:t>
      </w:r>
      <w:r w:rsidRPr="00AF5FD5">
        <w:rPr>
          <w:lang w:val="fr-FR"/>
        </w:rPr>
        <w:t>un long débat visant à clarifier toutes les questions soulevées, la proposition a été adopté</w:t>
      </w:r>
      <w:r w:rsidR="002D7AC2" w:rsidRPr="00AF5FD5">
        <w:rPr>
          <w:lang w:val="fr-FR"/>
        </w:rPr>
        <w:t>e tel que modifiée (voir annexe </w:t>
      </w:r>
      <w:r w:rsidRPr="00AF5FD5">
        <w:rPr>
          <w:lang w:val="fr-FR"/>
        </w:rPr>
        <w:t>I).</w:t>
      </w:r>
    </w:p>
    <w:p w:rsidR="00B25DBE" w:rsidRPr="00AF5FD5" w:rsidRDefault="00B25DBE" w:rsidP="00B25DBE">
      <w:pPr>
        <w:pStyle w:val="SingleTxtG"/>
      </w:pPr>
      <w:r w:rsidRPr="00AF5FD5">
        <w:t>94.</w:t>
      </w:r>
      <w:r w:rsidRPr="00AF5FD5">
        <w:tab/>
        <w:t xml:space="preserve">Il a été </w:t>
      </w:r>
      <w:r w:rsidRPr="00AF5FD5">
        <w:rPr>
          <w:lang w:val="fr-FR"/>
        </w:rPr>
        <w:t>fait remarquer que cette proposition avait été adoptée dans un souci de compromis en raison de l</w:t>
      </w:r>
      <w:r w:rsidR="00E84113" w:rsidRPr="00AF5FD5">
        <w:rPr>
          <w:lang w:val="fr-FR"/>
        </w:rPr>
        <w:t>’</w:t>
      </w:r>
      <w:r w:rsidRPr="00AF5FD5">
        <w:rPr>
          <w:lang w:val="fr-FR"/>
        </w:rPr>
        <w:t>urgence de la question, mais qu</w:t>
      </w:r>
      <w:r w:rsidR="00E84113" w:rsidRPr="00AF5FD5">
        <w:rPr>
          <w:lang w:val="fr-FR"/>
        </w:rPr>
        <w:t>’</w:t>
      </w:r>
      <w:r w:rsidRPr="00AF5FD5">
        <w:rPr>
          <w:lang w:val="fr-FR"/>
        </w:rPr>
        <w:t>il pourrait par la suite être nécessaire de procéder à des révisions.</w:t>
      </w:r>
    </w:p>
    <w:p w:rsidR="00B25DBE" w:rsidRPr="00AF5FD5" w:rsidRDefault="00B25DBE" w:rsidP="002D7AC2">
      <w:pPr>
        <w:pStyle w:val="H23G"/>
      </w:pPr>
      <w:r w:rsidRPr="00AF5FD5">
        <w:tab/>
      </w:r>
      <w:bookmarkStart w:id="61" w:name="_Toc528147008"/>
      <w:r w:rsidRPr="00AF5FD5">
        <w:t>10.</w:t>
      </w:r>
      <w:r w:rsidRPr="00AF5FD5">
        <w:tab/>
      </w:r>
      <w:r w:rsidRPr="00AF5FD5">
        <w:rPr>
          <w:lang w:val="fr-FR"/>
        </w:rPr>
        <w:t>Proposition de modification du modèle n</w:t>
      </w:r>
      <w:r w:rsidRPr="00AF5FD5">
        <w:rPr>
          <w:vertAlign w:val="superscript"/>
          <w:lang w:val="fr-FR"/>
        </w:rPr>
        <w:t>o</w:t>
      </w:r>
      <w:r w:rsidRPr="00AF5FD5">
        <w:rPr>
          <w:lang w:val="fr-FR"/>
        </w:rPr>
        <w:t> 12 de l</w:t>
      </w:r>
      <w:r w:rsidR="00E84113" w:rsidRPr="00AF5FD5">
        <w:rPr>
          <w:lang w:val="fr-FR"/>
        </w:rPr>
        <w:t>’</w:t>
      </w:r>
      <w:r w:rsidRPr="00AF5FD5">
        <w:rPr>
          <w:lang w:val="fr-FR"/>
        </w:rPr>
        <w:t>appendice 2 de l</w:t>
      </w:r>
      <w:r w:rsidR="00E84113" w:rsidRPr="00AF5FD5">
        <w:rPr>
          <w:lang w:val="fr-FR"/>
        </w:rPr>
        <w:t>’</w:t>
      </w:r>
      <w:r w:rsidRPr="00AF5FD5">
        <w:rPr>
          <w:lang w:val="fr-FR"/>
        </w:rPr>
        <w:t xml:space="preserve">annexe 1 : </w:t>
      </w:r>
      <w:r w:rsidR="002D7AC2" w:rsidRPr="00AF5FD5">
        <w:rPr>
          <w:lang w:val="fr-FR"/>
        </w:rPr>
        <w:br/>
      </w:r>
      <w:r w:rsidRPr="00AF5FD5">
        <w:rPr>
          <w:lang w:val="fr-FR"/>
        </w:rPr>
        <w:t>validité des procès-verbaux d</w:t>
      </w:r>
      <w:r w:rsidR="00E84113" w:rsidRPr="00AF5FD5">
        <w:rPr>
          <w:lang w:val="fr-FR"/>
        </w:rPr>
        <w:t>’</w:t>
      </w:r>
      <w:r w:rsidRPr="00AF5FD5">
        <w:rPr>
          <w:lang w:val="fr-FR"/>
        </w:rPr>
        <w:t>essai pour les groupes frigorifiques</w:t>
      </w:r>
    </w:p>
    <w:bookmarkEnd w:id="61"/>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ECE/TRANS/WP.11/2018/13 (Allemagne)</w:t>
      </w:r>
      <w:r w:rsidR="002D7AC2" w:rsidRPr="00AF5FD5">
        <w:t>.</w:t>
      </w:r>
    </w:p>
    <w:p w:rsidR="00B25DBE" w:rsidRPr="00AF5FD5" w:rsidRDefault="00B25DBE" w:rsidP="00B25DBE">
      <w:pPr>
        <w:pStyle w:val="SingleTxtG"/>
      </w:pPr>
      <w:r w:rsidRPr="00AF5FD5">
        <w:t>95.</w:t>
      </w:r>
      <w:r w:rsidRPr="00AF5FD5">
        <w:tab/>
      </w:r>
      <w:r w:rsidRPr="00AF5FD5">
        <w:rPr>
          <w:lang w:val="fr-FR"/>
        </w:rPr>
        <w:t>Le Groupe de travail a donné son accord de principe à cette proposition, mais sans être en mesure de décider de son emplacement dans le texte de l</w:t>
      </w:r>
      <w:r w:rsidR="00E84113" w:rsidRPr="00AF5FD5">
        <w:rPr>
          <w:lang w:val="fr-FR"/>
        </w:rPr>
        <w:t>’</w:t>
      </w:r>
      <w:r w:rsidRPr="00AF5FD5">
        <w:rPr>
          <w:lang w:val="fr-FR"/>
        </w:rPr>
        <w:t>ATP. Le représentant de l</w:t>
      </w:r>
      <w:r w:rsidR="00E84113" w:rsidRPr="00AF5FD5">
        <w:rPr>
          <w:lang w:val="fr-FR"/>
        </w:rPr>
        <w:t>’</w:t>
      </w:r>
      <w:r w:rsidRPr="00AF5FD5">
        <w:rPr>
          <w:lang w:val="fr-FR"/>
        </w:rPr>
        <w:t>Allemagne a été invité à se pencher attentivement sur la question et à soumettre une nouvelle proposition pour examen à la prochaine session.</w:t>
      </w:r>
    </w:p>
    <w:p w:rsidR="00B25DBE" w:rsidRPr="00AF5FD5" w:rsidRDefault="00B25DBE" w:rsidP="002D7AC2">
      <w:pPr>
        <w:pStyle w:val="H23G"/>
      </w:pPr>
      <w:r w:rsidRPr="00AF5FD5">
        <w:tab/>
      </w:r>
      <w:bookmarkStart w:id="62" w:name="_Toc528147009"/>
      <w:r w:rsidRPr="00AF5FD5">
        <w:t>11.</w:t>
      </w:r>
      <w:r w:rsidRPr="00AF5FD5">
        <w:tab/>
      </w:r>
      <w:r w:rsidRPr="00E22585">
        <w:t xml:space="preserve">Correction </w:t>
      </w:r>
      <w:r w:rsidR="00E22585" w:rsidRPr="00E22585">
        <w:t>à l’</w:t>
      </w:r>
      <w:r w:rsidR="0080770D">
        <w:t>A</w:t>
      </w:r>
      <w:r w:rsidRPr="00E22585">
        <w:t>TP</w:t>
      </w:r>
      <w:bookmarkEnd w:id="62"/>
    </w:p>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ECE/TRANS/WP.11/2018/19 (secrétariat)</w:t>
      </w:r>
      <w:r w:rsidR="002D7AC2" w:rsidRPr="00AF5FD5">
        <w:t>.</w:t>
      </w:r>
    </w:p>
    <w:p w:rsidR="00B25DBE" w:rsidRPr="00AF5FD5" w:rsidRDefault="00B25DBE" w:rsidP="00B25DBE">
      <w:pPr>
        <w:pStyle w:val="SingleTxtG"/>
      </w:pPr>
      <w:r w:rsidRPr="00AF5FD5">
        <w:t>96.</w:t>
      </w:r>
      <w:r w:rsidRPr="00AF5FD5">
        <w:tab/>
      </w:r>
      <w:r w:rsidRPr="00AF5FD5">
        <w:rPr>
          <w:lang w:val="fr-FR"/>
        </w:rPr>
        <w:t>La correc</w:t>
      </w:r>
      <w:r w:rsidR="002D7AC2" w:rsidRPr="00AF5FD5">
        <w:rPr>
          <w:lang w:val="fr-FR"/>
        </w:rPr>
        <w:t>tion a été adoptée (voir annexe </w:t>
      </w:r>
      <w:r w:rsidRPr="00AF5FD5">
        <w:t>II).</w:t>
      </w:r>
    </w:p>
    <w:p w:rsidR="00B25DBE" w:rsidRPr="00AF5FD5" w:rsidRDefault="00B25DBE" w:rsidP="002D7AC2">
      <w:pPr>
        <w:pStyle w:val="H23G"/>
      </w:pPr>
      <w:r w:rsidRPr="00AF5FD5">
        <w:tab/>
      </w:r>
      <w:bookmarkStart w:id="63" w:name="_Toc528147010"/>
      <w:r w:rsidRPr="00AF5FD5">
        <w:t>12.</w:t>
      </w:r>
      <w:r w:rsidRPr="00AF5FD5">
        <w:tab/>
        <w:t xml:space="preserve">Certificat temporaire pour la production limitée de prototypes </w:t>
      </w:r>
      <w:bookmarkEnd w:id="63"/>
    </w:p>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ECE/TRANS/WP.11/2018/27 (Transfrigoroute International)</w:t>
      </w:r>
      <w:r w:rsidR="002D7AC2" w:rsidRPr="00AF5FD5">
        <w:t>.</w:t>
      </w:r>
    </w:p>
    <w:p w:rsidR="00B25DBE" w:rsidRPr="00AF5FD5" w:rsidRDefault="00B25DBE" w:rsidP="00B25DBE">
      <w:pPr>
        <w:pStyle w:val="SingleTxtG"/>
      </w:pPr>
      <w:r w:rsidRPr="00AF5FD5">
        <w:t>97.</w:t>
      </w:r>
      <w:r w:rsidRPr="00AF5FD5">
        <w:tab/>
      </w:r>
      <w:r w:rsidRPr="00AF5FD5">
        <w:rPr>
          <w:lang w:val="fr-FR"/>
        </w:rPr>
        <w:t>Il a été précisé que le document se rapportait uniquement à l</w:t>
      </w:r>
      <w:r w:rsidR="00E84113" w:rsidRPr="00AF5FD5">
        <w:rPr>
          <w:lang w:val="fr-FR"/>
        </w:rPr>
        <w:t>’</w:t>
      </w:r>
      <w:r w:rsidRPr="00AF5FD5">
        <w:rPr>
          <w:lang w:val="fr-FR"/>
        </w:rPr>
        <w:t>expérimentation de nouvelles technologies sur des prototypes et que ces essais devaient être effectués sur route dans différentes conditions climatiques. Il a également été relevé qu</w:t>
      </w:r>
      <w:r w:rsidR="00E84113" w:rsidRPr="00AF5FD5">
        <w:rPr>
          <w:lang w:val="fr-FR"/>
        </w:rPr>
        <w:t>’</w:t>
      </w:r>
      <w:r w:rsidRPr="00AF5FD5">
        <w:rPr>
          <w:lang w:val="fr-FR"/>
        </w:rPr>
        <w:t>il était très difficile de rencontrer toute la gamme des conditions climatiques à l</w:t>
      </w:r>
      <w:r w:rsidR="00E84113" w:rsidRPr="00AF5FD5">
        <w:rPr>
          <w:lang w:val="fr-FR"/>
        </w:rPr>
        <w:t>’</w:t>
      </w:r>
      <w:r w:rsidRPr="00AF5FD5">
        <w:rPr>
          <w:lang w:val="fr-FR"/>
        </w:rPr>
        <w:t>intérieur des frontières d</w:t>
      </w:r>
      <w:r w:rsidR="00E84113" w:rsidRPr="00AF5FD5">
        <w:rPr>
          <w:lang w:val="fr-FR"/>
        </w:rPr>
        <w:t>’</w:t>
      </w:r>
      <w:r w:rsidR="002D7AC2" w:rsidRPr="00AF5FD5">
        <w:rPr>
          <w:lang w:val="fr-FR"/>
        </w:rPr>
        <w:t>un seul </w:t>
      </w:r>
      <w:r w:rsidRPr="00AF5FD5">
        <w:rPr>
          <w:lang w:val="fr-FR"/>
        </w:rPr>
        <w:t>pays.</w:t>
      </w:r>
    </w:p>
    <w:p w:rsidR="00B25DBE" w:rsidRPr="00AF5FD5" w:rsidRDefault="00B25DBE" w:rsidP="00B25DBE">
      <w:pPr>
        <w:pStyle w:val="SingleTxtG"/>
        <w:rPr>
          <w:lang w:val="fr-FR"/>
        </w:rPr>
      </w:pPr>
      <w:r w:rsidRPr="00AF5FD5">
        <w:t>98.</w:t>
      </w:r>
      <w:r w:rsidRPr="00AF5FD5">
        <w:tab/>
      </w:r>
      <w:r w:rsidRPr="00AF5FD5">
        <w:rPr>
          <w:lang w:val="fr-FR"/>
        </w:rPr>
        <w:t>Il a été suggéré d</w:t>
      </w:r>
      <w:r w:rsidR="00E84113" w:rsidRPr="00AF5FD5">
        <w:rPr>
          <w:lang w:val="fr-FR"/>
        </w:rPr>
        <w:t>’</w:t>
      </w:r>
      <w:r w:rsidRPr="00AF5FD5">
        <w:rPr>
          <w:lang w:val="fr-FR"/>
        </w:rPr>
        <w:t>examiner la manière dont d</w:t>
      </w:r>
      <w:r w:rsidR="00E84113" w:rsidRPr="00AF5FD5">
        <w:rPr>
          <w:lang w:val="fr-FR"/>
        </w:rPr>
        <w:t>’</w:t>
      </w:r>
      <w:r w:rsidRPr="00AF5FD5">
        <w:rPr>
          <w:lang w:val="fr-FR"/>
        </w:rPr>
        <w:t>autres Groupes de travail traitaient la certification temporaire des prototypes et d</w:t>
      </w:r>
      <w:r w:rsidR="00E84113" w:rsidRPr="00AF5FD5">
        <w:rPr>
          <w:lang w:val="fr-FR"/>
        </w:rPr>
        <w:t>’</w:t>
      </w:r>
      <w:r w:rsidRPr="00AF5FD5">
        <w:rPr>
          <w:lang w:val="fr-FR"/>
        </w:rPr>
        <w:t>essayer de trouver une solution en délivrant des dérogations ou des autorisations spéciales.</w:t>
      </w:r>
    </w:p>
    <w:p w:rsidR="00B25DBE" w:rsidRPr="00AF5FD5" w:rsidRDefault="00B25DBE" w:rsidP="00B25DBE">
      <w:pPr>
        <w:pStyle w:val="SingleTxtG"/>
      </w:pPr>
      <w:r w:rsidRPr="00AF5FD5">
        <w:t>99.</w:t>
      </w:r>
      <w:r w:rsidRPr="00AF5FD5">
        <w:tab/>
      </w:r>
      <w:r w:rsidRPr="00AF5FD5">
        <w:rPr>
          <w:lang w:val="fr-FR"/>
        </w:rPr>
        <w:t>Un document révisé sera présenté à la prochaine session. Ce document devrait également comprendre une proposition pour le marquage ou l</w:t>
      </w:r>
      <w:r w:rsidR="00E84113" w:rsidRPr="00AF5FD5">
        <w:rPr>
          <w:lang w:val="fr-FR"/>
        </w:rPr>
        <w:t>’</w:t>
      </w:r>
      <w:r w:rsidRPr="00AF5FD5">
        <w:rPr>
          <w:lang w:val="fr-FR"/>
        </w:rPr>
        <w:t>identification des prototypes.</w:t>
      </w:r>
    </w:p>
    <w:p w:rsidR="00B25DBE" w:rsidRPr="00AF5FD5" w:rsidRDefault="00B25DBE" w:rsidP="002D7AC2">
      <w:pPr>
        <w:pStyle w:val="H23G"/>
      </w:pPr>
      <w:r w:rsidRPr="00AF5FD5">
        <w:tab/>
      </w:r>
      <w:bookmarkStart w:id="64" w:name="_Toc528147011"/>
      <w:r w:rsidRPr="00AF5FD5">
        <w:t>13.</w:t>
      </w:r>
      <w:r w:rsidRPr="00AF5FD5">
        <w:tab/>
        <w:t xml:space="preserve">Correction du libellé de la version française du modèle </w:t>
      </w:r>
      <w:r w:rsidR="002D7AC2" w:rsidRPr="00AF5FD5">
        <w:rPr>
          <w:rFonts w:eastAsia="MS Mincho"/>
          <w:szCs w:val="22"/>
        </w:rPr>
        <w:t>n</w:t>
      </w:r>
      <w:r w:rsidR="002D7AC2" w:rsidRPr="00AF5FD5">
        <w:rPr>
          <w:rFonts w:eastAsia="MS Mincho"/>
          <w:szCs w:val="22"/>
          <w:vertAlign w:val="superscript"/>
        </w:rPr>
        <w:t>o</w:t>
      </w:r>
      <w:r w:rsidR="002D7AC2" w:rsidRPr="00AF5FD5">
        <w:t> </w:t>
      </w:r>
      <w:r w:rsidRPr="00AF5FD5">
        <w:t>12</w:t>
      </w:r>
      <w:bookmarkEnd w:id="64"/>
    </w:p>
    <w:p w:rsidR="00B25DBE" w:rsidRPr="00AF5FD5" w:rsidRDefault="00B25DBE" w:rsidP="002D7AC2">
      <w:pPr>
        <w:pStyle w:val="SingleTxtG"/>
        <w:ind w:left="3119" w:hanging="1985"/>
      </w:pPr>
      <w:r w:rsidRPr="00AF5FD5">
        <w:rPr>
          <w:i/>
        </w:rPr>
        <w:t>Document informel</w:t>
      </w:r>
      <w:r w:rsidR="002D7AC2" w:rsidRPr="00AF5FD5">
        <w:rPr>
          <w:i/>
        </w:rPr>
        <w:t> </w:t>
      </w:r>
      <w:r w:rsidR="002D7AC2" w:rsidRPr="00AF5FD5">
        <w:t>:</w:t>
      </w:r>
      <w:r w:rsidR="002D7AC2" w:rsidRPr="00AF5FD5">
        <w:tab/>
      </w:r>
      <w:r w:rsidRPr="00AF5FD5">
        <w:t>INF.7 (Espagne)</w:t>
      </w:r>
      <w:r w:rsidR="002D7AC2" w:rsidRPr="00AF5FD5">
        <w:t>.</w:t>
      </w:r>
    </w:p>
    <w:p w:rsidR="00B25DBE" w:rsidRPr="00AF5FD5" w:rsidRDefault="00B25DBE" w:rsidP="00B25DBE">
      <w:pPr>
        <w:pStyle w:val="SingleTxtG"/>
      </w:pPr>
      <w:r w:rsidRPr="00AF5FD5">
        <w:t>100.</w:t>
      </w:r>
      <w:r w:rsidRPr="00AF5FD5">
        <w:tab/>
      </w:r>
      <w:r w:rsidRPr="00AF5FD5">
        <w:rPr>
          <w:lang w:val="fr-FR"/>
        </w:rPr>
        <w:t>La correction a été adoptée (voir annexe</w:t>
      </w:r>
      <w:r w:rsidR="002D7AC2" w:rsidRPr="00AF5FD5">
        <w:rPr>
          <w:lang w:val="fr-FR"/>
        </w:rPr>
        <w:t> </w:t>
      </w:r>
      <w:r w:rsidRPr="00AF5FD5">
        <w:t>II).</w:t>
      </w:r>
    </w:p>
    <w:p w:rsidR="00B25DBE" w:rsidRPr="00AF5FD5" w:rsidRDefault="00B25DBE" w:rsidP="002D7AC2">
      <w:pPr>
        <w:pStyle w:val="H23G"/>
      </w:pPr>
      <w:r w:rsidRPr="00AF5FD5">
        <w:tab/>
      </w:r>
      <w:bookmarkStart w:id="65" w:name="_Toc528147012"/>
      <w:r w:rsidRPr="00AF5FD5">
        <w:t>14.</w:t>
      </w:r>
      <w:r w:rsidRPr="00AF5FD5">
        <w:tab/>
        <w:t>Degrés Celsius and Kelvin</w:t>
      </w:r>
      <w:bookmarkEnd w:id="65"/>
    </w:p>
    <w:p w:rsidR="00B25DBE" w:rsidRPr="00AF5FD5" w:rsidRDefault="00B25DBE" w:rsidP="002D7AC2">
      <w:pPr>
        <w:pStyle w:val="SingleTxtG"/>
        <w:ind w:left="3119" w:hanging="1985"/>
      </w:pPr>
      <w:r w:rsidRPr="00AF5FD5">
        <w:rPr>
          <w:i/>
        </w:rPr>
        <w:t>Document informel</w:t>
      </w:r>
      <w:r w:rsidR="002D7AC2" w:rsidRPr="00AF5FD5">
        <w:rPr>
          <w:i/>
        </w:rPr>
        <w:t> </w:t>
      </w:r>
      <w:r w:rsidR="002D7AC2" w:rsidRPr="00AF5FD5">
        <w:t>:</w:t>
      </w:r>
      <w:r w:rsidR="002D7AC2" w:rsidRPr="00AF5FD5">
        <w:tab/>
        <w:t>INF.9 (Espagne).</w:t>
      </w:r>
    </w:p>
    <w:p w:rsidR="00B25DBE" w:rsidRPr="00AF5FD5" w:rsidRDefault="00B25DBE" w:rsidP="00B25DBE">
      <w:pPr>
        <w:pStyle w:val="SingleTxtG"/>
      </w:pPr>
      <w:r w:rsidRPr="00AF5FD5">
        <w:t>101.</w:t>
      </w:r>
      <w:r w:rsidRPr="00AF5FD5">
        <w:tab/>
      </w:r>
      <w:r w:rsidRPr="00AF5FD5">
        <w:rPr>
          <w:lang w:val="fr-FR"/>
        </w:rPr>
        <w:t>Le représentant de l</w:t>
      </w:r>
      <w:r w:rsidR="00E84113" w:rsidRPr="00AF5FD5">
        <w:rPr>
          <w:lang w:val="fr-FR"/>
        </w:rPr>
        <w:t>’</w:t>
      </w:r>
      <w:r w:rsidRPr="00AF5FD5">
        <w:rPr>
          <w:lang w:val="fr-FR"/>
        </w:rPr>
        <w:t>Espagne a été invité à présenter la proposition dans un document de travail pour examen à la prochaine session.</w:t>
      </w:r>
    </w:p>
    <w:p w:rsidR="00B25DBE" w:rsidRPr="00AF5FD5" w:rsidRDefault="00B25DBE" w:rsidP="002D7AC2">
      <w:pPr>
        <w:pStyle w:val="H23G"/>
      </w:pPr>
      <w:r w:rsidRPr="00AF5FD5">
        <w:lastRenderedPageBreak/>
        <w:tab/>
      </w:r>
      <w:bookmarkStart w:id="66" w:name="_Toc528147013"/>
      <w:r w:rsidRPr="00AF5FD5">
        <w:t>15.</w:t>
      </w:r>
      <w:r w:rsidRPr="00AF5FD5">
        <w:tab/>
      </w:r>
      <w:r w:rsidRPr="00AF5FD5">
        <w:rPr>
          <w:lang w:val="fr-FR"/>
        </w:rPr>
        <w:t>Rapport du groupe de travail informel de l</w:t>
      </w:r>
      <w:r w:rsidR="00E84113" w:rsidRPr="00AF5FD5">
        <w:rPr>
          <w:lang w:val="fr-FR"/>
        </w:rPr>
        <w:t>’</w:t>
      </w:r>
      <w:r w:rsidRPr="00AF5FD5">
        <w:rPr>
          <w:lang w:val="fr-FR"/>
        </w:rPr>
        <w:t xml:space="preserve">amélioration du système </w:t>
      </w:r>
      <w:r w:rsidRPr="00AF5FD5">
        <w:rPr>
          <w:lang w:val="fr-FR"/>
        </w:rPr>
        <w:br/>
        <w:t>d</w:t>
      </w:r>
      <w:r w:rsidR="00E84113" w:rsidRPr="00AF5FD5">
        <w:rPr>
          <w:lang w:val="fr-FR"/>
        </w:rPr>
        <w:t>’</w:t>
      </w:r>
      <w:r w:rsidRPr="00AF5FD5">
        <w:rPr>
          <w:lang w:val="fr-FR"/>
        </w:rPr>
        <w:t xml:space="preserve">homologation des engins et unités thermiques ATP </w:t>
      </w:r>
      <w:bookmarkEnd w:id="66"/>
    </w:p>
    <w:p w:rsidR="00B25DBE" w:rsidRPr="00AF5FD5" w:rsidRDefault="00B25DBE" w:rsidP="002D7AC2">
      <w:pPr>
        <w:pStyle w:val="SingleTxtG"/>
        <w:ind w:left="3119" w:hanging="1985"/>
      </w:pPr>
      <w:r w:rsidRPr="00AF5FD5">
        <w:rPr>
          <w:i/>
        </w:rPr>
        <w:t>Document informel</w:t>
      </w:r>
      <w:r w:rsidR="002D7AC2" w:rsidRPr="00AF5FD5">
        <w:rPr>
          <w:i/>
        </w:rPr>
        <w:t> </w:t>
      </w:r>
      <w:r w:rsidR="002D7AC2" w:rsidRPr="00AF5FD5">
        <w:t>:</w:t>
      </w:r>
      <w:r w:rsidR="002D7AC2" w:rsidRPr="00AF5FD5">
        <w:tab/>
      </w:r>
      <w:r w:rsidRPr="00AF5FD5">
        <w:t>INF.13 (</w:t>
      </w:r>
      <w:r w:rsidRPr="00AF5FD5">
        <w:rPr>
          <w:lang w:val="fr-FR"/>
        </w:rPr>
        <w:t>Pays-Bas, au nom du groupe de travail informel</w:t>
      </w:r>
      <w:r w:rsidRPr="00AF5FD5">
        <w:t>)</w:t>
      </w:r>
      <w:r w:rsidR="002D7AC2" w:rsidRPr="00AF5FD5">
        <w:t>.</w:t>
      </w:r>
    </w:p>
    <w:p w:rsidR="00B25DBE" w:rsidRPr="00AF5FD5" w:rsidRDefault="00B25DBE" w:rsidP="00B25DBE">
      <w:pPr>
        <w:pStyle w:val="SingleTxtG"/>
        <w:rPr>
          <w:lang w:val="fr-FR"/>
        </w:rPr>
      </w:pPr>
      <w:r w:rsidRPr="00AF5FD5">
        <w:t>102.</w:t>
      </w:r>
      <w:r w:rsidRPr="00AF5FD5">
        <w:tab/>
      </w:r>
      <w:r w:rsidRPr="00AF5FD5">
        <w:rPr>
          <w:lang w:val="fr-FR"/>
        </w:rPr>
        <w:t>Le Groupe de travail a remercié le représentant des Pays-Bas et le groupe de travail informel pour le travail effectué et le rapport détaillé établi. Il a été reconnu que les problèmes liés à l</w:t>
      </w:r>
      <w:r w:rsidR="00E84113" w:rsidRPr="00AF5FD5">
        <w:rPr>
          <w:lang w:val="fr-FR"/>
        </w:rPr>
        <w:t>’</w:t>
      </w:r>
      <w:r w:rsidRPr="00AF5FD5">
        <w:rPr>
          <w:lang w:val="fr-FR"/>
        </w:rPr>
        <w:t>harmonisation des pratiques en matière de mise en œuvre de l</w:t>
      </w:r>
      <w:r w:rsidR="00E84113" w:rsidRPr="00AF5FD5">
        <w:rPr>
          <w:lang w:val="fr-FR"/>
        </w:rPr>
        <w:t>’</w:t>
      </w:r>
      <w:r w:rsidRPr="00AF5FD5">
        <w:rPr>
          <w:lang w:val="fr-FR"/>
        </w:rPr>
        <w:t>Accord devaient être résolus et que les travaux du groupe de travail informel étaient donc très importants.</w:t>
      </w:r>
    </w:p>
    <w:p w:rsidR="00B25DBE" w:rsidRPr="00AF5FD5" w:rsidRDefault="00B25DBE" w:rsidP="00B25DBE">
      <w:pPr>
        <w:pStyle w:val="SingleTxtG"/>
      </w:pPr>
      <w:r w:rsidRPr="00AF5FD5">
        <w:t>103.</w:t>
      </w:r>
      <w:r w:rsidRPr="00AF5FD5">
        <w:tab/>
      </w:r>
      <w:r w:rsidRPr="00AF5FD5">
        <w:rPr>
          <w:lang w:val="fr-FR"/>
        </w:rPr>
        <w:t>Le WP.11 a décidé de prolonger le mandat du groupe pour lui permettre de se consacrer aux thèmes et activités ci-après :</w:t>
      </w:r>
    </w:p>
    <w:p w:rsidR="00B25DBE" w:rsidRPr="00AF5FD5" w:rsidRDefault="00B25DBE" w:rsidP="002D7AC2">
      <w:pPr>
        <w:pStyle w:val="SingleTxtG"/>
        <w:ind w:firstLine="567"/>
      </w:pPr>
      <w:r w:rsidRPr="00AF5FD5">
        <w:t>a)</w:t>
      </w:r>
      <w:r w:rsidRPr="00AF5FD5">
        <w:tab/>
      </w:r>
      <w:r w:rsidRPr="00AF5FD5">
        <w:rPr>
          <w:lang w:val="fr-FR"/>
        </w:rPr>
        <w:t>Distribution d</w:t>
      </w:r>
      <w:r w:rsidR="00E84113" w:rsidRPr="00AF5FD5">
        <w:rPr>
          <w:lang w:val="fr-FR"/>
        </w:rPr>
        <w:t>’</w:t>
      </w:r>
      <w:r w:rsidRPr="00AF5FD5">
        <w:rPr>
          <w:lang w:val="fr-FR"/>
        </w:rPr>
        <w:t>un questionnaire à toutes les Parties contractantes pour qu</w:t>
      </w:r>
      <w:r w:rsidR="00E84113" w:rsidRPr="00AF5FD5">
        <w:rPr>
          <w:lang w:val="fr-FR"/>
        </w:rPr>
        <w:t>’</w:t>
      </w:r>
      <w:r w:rsidRPr="00AF5FD5">
        <w:rPr>
          <w:lang w:val="fr-FR"/>
        </w:rPr>
        <w:t>elles communiquent les informations demandées si possible avant la fin du mois de novembre 2018</w:t>
      </w:r>
      <w:r w:rsidR="0048024C" w:rsidRPr="00AF5FD5">
        <w:rPr>
          <w:lang w:val="fr-FR"/>
        </w:rPr>
        <w:t> ;</w:t>
      </w:r>
    </w:p>
    <w:p w:rsidR="00B25DBE" w:rsidRPr="00AF5FD5" w:rsidRDefault="00B25DBE" w:rsidP="002D7AC2">
      <w:pPr>
        <w:pStyle w:val="SingleTxtG"/>
        <w:ind w:firstLine="567"/>
      </w:pPr>
      <w:r w:rsidRPr="00AF5FD5">
        <w:rPr>
          <w:lang w:val="fr-FR"/>
        </w:rPr>
        <w:t>b)</w:t>
      </w:r>
      <w:r w:rsidRPr="00AF5FD5">
        <w:rPr>
          <w:lang w:val="fr-FR"/>
        </w:rPr>
        <w:tab/>
        <w:t>Élaboration de deux définitions : l</w:t>
      </w:r>
      <w:r w:rsidR="00E84113" w:rsidRPr="00AF5FD5">
        <w:rPr>
          <w:lang w:val="fr-FR"/>
        </w:rPr>
        <w:t>’</w:t>
      </w:r>
      <w:r w:rsidRPr="00AF5FD5">
        <w:rPr>
          <w:lang w:val="fr-FR"/>
        </w:rPr>
        <w:t>une pour les stations d</w:t>
      </w:r>
      <w:r w:rsidR="00E84113" w:rsidRPr="00AF5FD5">
        <w:rPr>
          <w:lang w:val="fr-FR"/>
        </w:rPr>
        <w:t>’</w:t>
      </w:r>
      <w:r w:rsidRPr="00AF5FD5">
        <w:rPr>
          <w:lang w:val="fr-FR"/>
        </w:rPr>
        <w:t>essai qui effectuent les tests de laboratoire et l</w:t>
      </w:r>
      <w:r w:rsidR="00E84113" w:rsidRPr="00AF5FD5">
        <w:rPr>
          <w:lang w:val="fr-FR"/>
        </w:rPr>
        <w:t>’</w:t>
      </w:r>
      <w:r w:rsidRPr="00AF5FD5">
        <w:rPr>
          <w:lang w:val="fr-FR"/>
        </w:rPr>
        <w:t>autre pour les stations d</w:t>
      </w:r>
      <w:r w:rsidR="00E84113" w:rsidRPr="00AF5FD5">
        <w:rPr>
          <w:lang w:val="fr-FR"/>
        </w:rPr>
        <w:t>’</w:t>
      </w:r>
      <w:r w:rsidRPr="00AF5FD5">
        <w:rPr>
          <w:lang w:val="fr-FR"/>
        </w:rPr>
        <w:t>essai chargées des autres vérifications du matériel</w:t>
      </w:r>
      <w:r w:rsidR="0048024C" w:rsidRPr="00AF5FD5">
        <w:rPr>
          <w:lang w:val="fr-FR"/>
        </w:rPr>
        <w:t> ;</w:t>
      </w:r>
    </w:p>
    <w:p w:rsidR="00B25DBE" w:rsidRPr="00AF5FD5" w:rsidRDefault="00B25DBE" w:rsidP="002D7AC2">
      <w:pPr>
        <w:pStyle w:val="SingleTxtG"/>
        <w:ind w:firstLine="567"/>
      </w:pPr>
      <w:r w:rsidRPr="00AF5FD5">
        <w:rPr>
          <w:lang w:val="fr-FR"/>
        </w:rPr>
        <w:t>c)</w:t>
      </w:r>
      <w:r w:rsidRPr="00AF5FD5">
        <w:rPr>
          <w:lang w:val="fr-FR"/>
        </w:rPr>
        <w:tab/>
        <w:t>Élaboration de dispositions plus détaillées en ce qui concerne la désignation des stations d</w:t>
      </w:r>
      <w:r w:rsidR="00E84113" w:rsidRPr="00AF5FD5">
        <w:rPr>
          <w:lang w:val="fr-FR"/>
        </w:rPr>
        <w:t>’</w:t>
      </w:r>
      <w:r w:rsidRPr="00AF5FD5">
        <w:rPr>
          <w:lang w:val="fr-FR"/>
        </w:rPr>
        <w:t>essai, afin de garantir un niveau de compétence uniforme</w:t>
      </w:r>
      <w:r w:rsidR="0048024C" w:rsidRPr="00AF5FD5">
        <w:rPr>
          <w:lang w:val="fr-FR"/>
        </w:rPr>
        <w:t> ;</w:t>
      </w:r>
    </w:p>
    <w:p w:rsidR="00B25DBE" w:rsidRPr="00AF5FD5" w:rsidRDefault="00B25DBE" w:rsidP="002D7AC2">
      <w:pPr>
        <w:pStyle w:val="SingleTxtG"/>
        <w:ind w:firstLine="567"/>
      </w:pPr>
      <w:r w:rsidRPr="00AF5FD5">
        <w:rPr>
          <w:lang w:val="fr-FR"/>
        </w:rPr>
        <w:t>d)</w:t>
      </w:r>
      <w:r w:rsidRPr="00AF5FD5">
        <w:rPr>
          <w:lang w:val="fr-FR"/>
        </w:rPr>
        <w:tab/>
        <w:t>Élaboration d</w:t>
      </w:r>
      <w:r w:rsidR="00E84113" w:rsidRPr="00AF5FD5">
        <w:rPr>
          <w:lang w:val="fr-FR"/>
        </w:rPr>
        <w:t>’</w:t>
      </w:r>
      <w:r w:rsidRPr="00AF5FD5">
        <w:rPr>
          <w:lang w:val="fr-FR"/>
        </w:rPr>
        <w:t>un nouveau descriptif des stations d</w:t>
      </w:r>
      <w:r w:rsidR="00E84113" w:rsidRPr="00AF5FD5">
        <w:rPr>
          <w:lang w:val="fr-FR"/>
        </w:rPr>
        <w:t>’</w:t>
      </w:r>
      <w:r w:rsidRPr="00AF5FD5">
        <w:rPr>
          <w:lang w:val="fr-FR"/>
        </w:rPr>
        <w:t>essai indiquant clairement leurs capacités. La révision périodique de ce document devrait être envisagée</w:t>
      </w:r>
      <w:r w:rsidR="0048024C" w:rsidRPr="00AF5FD5">
        <w:rPr>
          <w:lang w:val="fr-FR"/>
        </w:rPr>
        <w:t> ;</w:t>
      </w:r>
    </w:p>
    <w:p w:rsidR="00B25DBE" w:rsidRPr="00AF5FD5" w:rsidRDefault="00B25DBE" w:rsidP="002D7AC2">
      <w:pPr>
        <w:pStyle w:val="SingleTxtG"/>
        <w:ind w:firstLine="567"/>
      </w:pPr>
      <w:r w:rsidRPr="00AF5FD5">
        <w:rPr>
          <w:lang w:val="fr-FR"/>
        </w:rPr>
        <w:t>e)</w:t>
      </w:r>
      <w:r w:rsidRPr="00AF5FD5">
        <w:rPr>
          <w:lang w:val="fr-FR"/>
        </w:rPr>
        <w:tab/>
        <w:t>Mise au point d</w:t>
      </w:r>
      <w:r w:rsidR="00E84113" w:rsidRPr="00AF5FD5">
        <w:rPr>
          <w:lang w:val="fr-FR"/>
        </w:rPr>
        <w:t>’</w:t>
      </w:r>
      <w:r w:rsidRPr="00AF5FD5">
        <w:rPr>
          <w:lang w:val="fr-FR"/>
        </w:rPr>
        <w:t>un texte précisant que la délivrance d</w:t>
      </w:r>
      <w:r w:rsidR="00E84113" w:rsidRPr="00AF5FD5">
        <w:rPr>
          <w:lang w:val="fr-FR"/>
        </w:rPr>
        <w:t>’</w:t>
      </w:r>
      <w:r w:rsidRPr="00AF5FD5">
        <w:rPr>
          <w:lang w:val="fr-FR"/>
        </w:rPr>
        <w:t>un certificat d</w:t>
      </w:r>
      <w:r w:rsidR="00E84113" w:rsidRPr="00AF5FD5">
        <w:rPr>
          <w:lang w:val="fr-FR"/>
        </w:rPr>
        <w:t>’</w:t>
      </w:r>
      <w:r w:rsidRPr="00AF5FD5">
        <w:rPr>
          <w:lang w:val="fr-FR"/>
        </w:rPr>
        <w:t>homologation de type incombe à l</w:t>
      </w:r>
      <w:r w:rsidR="00E84113" w:rsidRPr="00AF5FD5">
        <w:rPr>
          <w:lang w:val="fr-FR"/>
        </w:rPr>
        <w:t>’</w:t>
      </w:r>
      <w:r w:rsidRPr="00AF5FD5">
        <w:rPr>
          <w:lang w:val="fr-FR"/>
        </w:rPr>
        <w:t>autorité compétente</w:t>
      </w:r>
      <w:r w:rsidR="0048024C" w:rsidRPr="00AF5FD5">
        <w:rPr>
          <w:lang w:val="fr-FR"/>
        </w:rPr>
        <w:t> ;</w:t>
      </w:r>
    </w:p>
    <w:p w:rsidR="00B25DBE" w:rsidRPr="00AF5FD5" w:rsidRDefault="00B25DBE" w:rsidP="002D7AC2">
      <w:pPr>
        <w:pStyle w:val="SingleTxtG"/>
        <w:ind w:firstLine="567"/>
      </w:pPr>
      <w:r w:rsidRPr="00AF5FD5">
        <w:rPr>
          <w:lang w:val="fr-FR"/>
        </w:rPr>
        <w:t>f)</w:t>
      </w:r>
      <w:r w:rsidRPr="00AF5FD5">
        <w:rPr>
          <w:lang w:val="fr-FR"/>
        </w:rPr>
        <w:tab/>
        <w:t>Élaboration d</w:t>
      </w:r>
      <w:r w:rsidR="00E84113" w:rsidRPr="00AF5FD5">
        <w:rPr>
          <w:lang w:val="fr-FR"/>
        </w:rPr>
        <w:t>’</w:t>
      </w:r>
      <w:r w:rsidRPr="00AF5FD5">
        <w:rPr>
          <w:lang w:val="fr-FR"/>
        </w:rPr>
        <w:t>une formulation attribuant à l</w:t>
      </w:r>
      <w:r w:rsidR="00E84113" w:rsidRPr="00AF5FD5">
        <w:rPr>
          <w:lang w:val="fr-FR"/>
        </w:rPr>
        <w:t>’</w:t>
      </w:r>
      <w:r w:rsidRPr="00AF5FD5">
        <w:rPr>
          <w:lang w:val="fr-FR"/>
        </w:rPr>
        <w:t>autorité compétente en matière de délivrance des certificats d</w:t>
      </w:r>
      <w:r w:rsidR="00E84113" w:rsidRPr="00AF5FD5">
        <w:rPr>
          <w:lang w:val="fr-FR"/>
        </w:rPr>
        <w:t>’</w:t>
      </w:r>
      <w:r w:rsidRPr="00AF5FD5">
        <w:rPr>
          <w:lang w:val="fr-FR"/>
        </w:rPr>
        <w:t>homologation de type la responsabilité de la supervision de la production en série</w:t>
      </w:r>
      <w:r w:rsidR="0048024C" w:rsidRPr="00AF5FD5">
        <w:rPr>
          <w:lang w:val="fr-FR"/>
        </w:rPr>
        <w:t> ;</w:t>
      </w:r>
    </w:p>
    <w:p w:rsidR="00B25DBE" w:rsidRPr="00AF5FD5" w:rsidRDefault="00B25DBE" w:rsidP="002D7AC2">
      <w:pPr>
        <w:pStyle w:val="SingleTxtG"/>
        <w:ind w:firstLine="567"/>
      </w:pPr>
      <w:r w:rsidRPr="00AF5FD5">
        <w:rPr>
          <w:lang w:val="fr-FR"/>
        </w:rPr>
        <w:t>g)</w:t>
      </w:r>
      <w:r w:rsidRPr="00AF5FD5">
        <w:rPr>
          <w:lang w:val="fr-FR"/>
        </w:rPr>
        <w:tab/>
        <w:t>Demande à la réunion de la Sous-Commission CERTE de l</w:t>
      </w:r>
      <w:r w:rsidR="00E84113" w:rsidRPr="00AF5FD5">
        <w:rPr>
          <w:lang w:val="fr-FR"/>
        </w:rPr>
        <w:t>’</w:t>
      </w:r>
      <w:r w:rsidRPr="00AF5FD5">
        <w:rPr>
          <w:lang w:val="fr-FR"/>
        </w:rPr>
        <w:t>IIR/IIF d</w:t>
      </w:r>
      <w:r w:rsidR="00E84113" w:rsidRPr="00AF5FD5">
        <w:rPr>
          <w:lang w:val="fr-FR"/>
        </w:rPr>
        <w:t>’</w:t>
      </w:r>
      <w:r w:rsidRPr="00AF5FD5">
        <w:rPr>
          <w:lang w:val="fr-FR"/>
        </w:rPr>
        <w:t>élaborer un récapitulatif des informations requises pour un essai en laboratoire pour les différents essais de l</w:t>
      </w:r>
      <w:r w:rsidR="00E84113" w:rsidRPr="00AF5FD5">
        <w:rPr>
          <w:lang w:val="fr-FR"/>
        </w:rPr>
        <w:t>’</w:t>
      </w:r>
      <w:r w:rsidRPr="00AF5FD5">
        <w:rPr>
          <w:lang w:val="fr-FR"/>
        </w:rPr>
        <w:t>appendice 2 de l</w:t>
      </w:r>
      <w:r w:rsidR="00E84113" w:rsidRPr="00AF5FD5">
        <w:rPr>
          <w:lang w:val="fr-FR"/>
        </w:rPr>
        <w:t>’</w:t>
      </w:r>
      <w:r w:rsidRPr="00AF5FD5">
        <w:rPr>
          <w:lang w:val="fr-FR"/>
        </w:rPr>
        <w:t>annexe 1 de l</w:t>
      </w:r>
      <w:r w:rsidR="00E84113" w:rsidRPr="00AF5FD5">
        <w:rPr>
          <w:lang w:val="fr-FR"/>
        </w:rPr>
        <w:t>’</w:t>
      </w:r>
      <w:r w:rsidRPr="00AF5FD5">
        <w:rPr>
          <w:lang w:val="fr-FR"/>
        </w:rPr>
        <w:t>ATP</w:t>
      </w:r>
      <w:r w:rsidR="0048024C" w:rsidRPr="00AF5FD5">
        <w:rPr>
          <w:lang w:val="fr-FR"/>
        </w:rPr>
        <w:t> ;</w:t>
      </w:r>
    </w:p>
    <w:p w:rsidR="00B25DBE" w:rsidRPr="00AF5FD5" w:rsidRDefault="00B25DBE" w:rsidP="002D7AC2">
      <w:pPr>
        <w:pStyle w:val="SingleTxtG"/>
        <w:ind w:firstLine="567"/>
      </w:pPr>
      <w:r w:rsidRPr="00AF5FD5">
        <w:rPr>
          <w:lang w:val="fr-FR"/>
        </w:rPr>
        <w:t>h)</w:t>
      </w:r>
      <w:r w:rsidRPr="00AF5FD5">
        <w:rPr>
          <w:lang w:val="fr-FR"/>
        </w:rPr>
        <w:tab/>
        <w:t>Élaboration d</w:t>
      </w:r>
      <w:r w:rsidR="00E84113" w:rsidRPr="00AF5FD5">
        <w:rPr>
          <w:lang w:val="fr-FR"/>
        </w:rPr>
        <w:t>’</w:t>
      </w:r>
      <w:r w:rsidRPr="00AF5FD5">
        <w:rPr>
          <w:lang w:val="fr-FR"/>
        </w:rPr>
        <w:t>un ensemble d</w:t>
      </w:r>
      <w:r w:rsidR="00E84113" w:rsidRPr="00AF5FD5">
        <w:rPr>
          <w:lang w:val="fr-FR"/>
        </w:rPr>
        <w:t>’</w:t>
      </w:r>
      <w:r w:rsidRPr="00AF5FD5">
        <w:rPr>
          <w:lang w:val="fr-FR"/>
        </w:rPr>
        <w:t>informations harmonisé pour les procès</w:t>
      </w:r>
      <w:r w:rsidRPr="00AF5FD5">
        <w:rPr>
          <w:lang w:val="fr-FR"/>
        </w:rPr>
        <w:noBreakHyphen/>
        <w:t>verbaux d</w:t>
      </w:r>
      <w:r w:rsidR="00E84113" w:rsidRPr="00AF5FD5">
        <w:rPr>
          <w:lang w:val="fr-FR"/>
        </w:rPr>
        <w:t>’</w:t>
      </w:r>
      <w:r w:rsidRPr="00AF5FD5">
        <w:rPr>
          <w:lang w:val="fr-FR"/>
        </w:rPr>
        <w:t>essai afin d</w:t>
      </w:r>
      <w:r w:rsidR="00E84113" w:rsidRPr="00AF5FD5">
        <w:rPr>
          <w:lang w:val="fr-FR"/>
        </w:rPr>
        <w:t>’</w:t>
      </w:r>
      <w:r w:rsidRPr="00AF5FD5">
        <w:rPr>
          <w:lang w:val="fr-FR"/>
        </w:rPr>
        <w:t>éviter les retards en matière d</w:t>
      </w:r>
      <w:r w:rsidR="00E84113" w:rsidRPr="00AF5FD5">
        <w:rPr>
          <w:lang w:val="fr-FR"/>
        </w:rPr>
        <w:t>’</w:t>
      </w:r>
      <w:r w:rsidRPr="00AF5FD5">
        <w:rPr>
          <w:lang w:val="fr-FR"/>
        </w:rPr>
        <w:t>homologation du matériel sur le territoire des Parties contractantes</w:t>
      </w:r>
      <w:r w:rsidR="0048024C" w:rsidRPr="00AF5FD5">
        <w:rPr>
          <w:lang w:val="fr-FR"/>
        </w:rPr>
        <w:t> ;</w:t>
      </w:r>
    </w:p>
    <w:p w:rsidR="00B25DBE" w:rsidRPr="00AF5FD5" w:rsidRDefault="00B25DBE" w:rsidP="002D7AC2">
      <w:pPr>
        <w:pStyle w:val="SingleTxtG"/>
        <w:ind w:firstLine="567"/>
      </w:pPr>
      <w:r w:rsidRPr="00AF5FD5">
        <w:rPr>
          <w:lang w:val="fr-FR"/>
        </w:rPr>
        <w:t>i)</w:t>
      </w:r>
      <w:r w:rsidRPr="00AF5FD5">
        <w:rPr>
          <w:lang w:val="fr-FR"/>
        </w:rPr>
        <w:tab/>
        <w:t>Mise au point d</w:t>
      </w:r>
      <w:r w:rsidR="00E84113" w:rsidRPr="00AF5FD5">
        <w:rPr>
          <w:lang w:val="fr-FR"/>
        </w:rPr>
        <w:t>’</w:t>
      </w:r>
      <w:r w:rsidRPr="00AF5FD5">
        <w:rPr>
          <w:lang w:val="fr-FR"/>
        </w:rPr>
        <w:t>une formulation plus appropriée pour le paragraphe 6 b) de l</w:t>
      </w:r>
      <w:r w:rsidR="00E84113" w:rsidRPr="00AF5FD5">
        <w:rPr>
          <w:lang w:val="fr-FR"/>
        </w:rPr>
        <w:t>’</w:t>
      </w:r>
      <w:r w:rsidRPr="00AF5FD5">
        <w:rPr>
          <w:lang w:val="fr-FR"/>
        </w:rPr>
        <w:t>appendice 1 de l</w:t>
      </w:r>
      <w:r w:rsidR="00E84113" w:rsidRPr="00AF5FD5">
        <w:rPr>
          <w:lang w:val="fr-FR"/>
        </w:rPr>
        <w:t>’</w:t>
      </w:r>
      <w:r w:rsidRPr="00AF5FD5">
        <w:rPr>
          <w:lang w:val="fr-FR"/>
        </w:rPr>
        <w:t>annexe 1</w:t>
      </w:r>
      <w:r w:rsidR="0048024C" w:rsidRPr="00AF5FD5">
        <w:rPr>
          <w:lang w:val="fr-FR"/>
        </w:rPr>
        <w:t> ;</w:t>
      </w:r>
    </w:p>
    <w:p w:rsidR="00B25DBE" w:rsidRPr="00AF5FD5" w:rsidRDefault="00B25DBE" w:rsidP="002D7AC2">
      <w:pPr>
        <w:pStyle w:val="SingleTxtG"/>
        <w:ind w:firstLine="567"/>
      </w:pPr>
      <w:r w:rsidRPr="00AF5FD5">
        <w:rPr>
          <w:lang w:val="fr-FR"/>
        </w:rPr>
        <w:t>j)</w:t>
      </w:r>
      <w:r w:rsidRPr="00AF5FD5">
        <w:rPr>
          <w:lang w:val="fr-FR"/>
        </w:rPr>
        <w:tab/>
        <w:t>Élaboration de directives en vue de l</w:t>
      </w:r>
      <w:r w:rsidR="00E84113" w:rsidRPr="00AF5FD5">
        <w:rPr>
          <w:lang w:val="fr-FR"/>
        </w:rPr>
        <w:t>’</w:t>
      </w:r>
      <w:r w:rsidRPr="00AF5FD5">
        <w:rPr>
          <w:lang w:val="fr-FR"/>
        </w:rPr>
        <w:t>harmonisation des aspects à prendre en compte lors de l</w:t>
      </w:r>
      <w:r w:rsidR="00E84113" w:rsidRPr="00AF5FD5">
        <w:rPr>
          <w:lang w:val="fr-FR"/>
        </w:rPr>
        <w:t>’</w:t>
      </w:r>
      <w:r w:rsidRPr="00AF5FD5">
        <w:rPr>
          <w:lang w:val="fr-FR"/>
        </w:rPr>
        <w:t>audit d</w:t>
      </w:r>
      <w:r w:rsidR="00E84113" w:rsidRPr="00AF5FD5">
        <w:rPr>
          <w:lang w:val="fr-FR"/>
        </w:rPr>
        <w:t>’</w:t>
      </w:r>
      <w:r w:rsidRPr="00AF5FD5">
        <w:rPr>
          <w:lang w:val="fr-FR"/>
        </w:rPr>
        <w:t>un fabricant et du rapport d</w:t>
      </w:r>
      <w:r w:rsidR="00E84113" w:rsidRPr="00AF5FD5">
        <w:rPr>
          <w:lang w:val="fr-FR"/>
        </w:rPr>
        <w:t>’</w:t>
      </w:r>
      <w:r w:rsidRPr="00AF5FD5">
        <w:rPr>
          <w:lang w:val="fr-FR"/>
        </w:rPr>
        <w:t>audit afin d</w:t>
      </w:r>
      <w:r w:rsidR="00E84113" w:rsidRPr="00AF5FD5">
        <w:rPr>
          <w:lang w:val="fr-FR"/>
        </w:rPr>
        <w:t>’</w:t>
      </w:r>
      <w:r w:rsidRPr="00AF5FD5">
        <w:rPr>
          <w:lang w:val="fr-FR"/>
        </w:rPr>
        <w:t>éviter la répétition par d</w:t>
      </w:r>
      <w:r w:rsidR="00E84113" w:rsidRPr="00AF5FD5">
        <w:rPr>
          <w:lang w:val="fr-FR"/>
        </w:rPr>
        <w:t>’</w:t>
      </w:r>
      <w:r w:rsidRPr="00AF5FD5">
        <w:rPr>
          <w:lang w:val="fr-FR"/>
        </w:rPr>
        <w:t>autres Parties contractantes.</w:t>
      </w:r>
    </w:p>
    <w:p w:rsidR="00B25DBE" w:rsidRPr="00AF5FD5" w:rsidRDefault="00B25DBE" w:rsidP="00B25DBE">
      <w:pPr>
        <w:pStyle w:val="SingleTxtG"/>
      </w:pPr>
      <w:r w:rsidRPr="00AF5FD5">
        <w:t>104.</w:t>
      </w:r>
      <w:r w:rsidRPr="00AF5FD5">
        <w:tab/>
        <w:t>Les dates des 26 et 27</w:t>
      </w:r>
      <w:r w:rsidR="002D7AC2" w:rsidRPr="00AF5FD5">
        <w:t> </w:t>
      </w:r>
      <w:r w:rsidRPr="00AF5FD5">
        <w:t>novembre 2018 ont été retenues pour une session à venir, qui devrait se tenir à Bruxelles.</w:t>
      </w:r>
    </w:p>
    <w:p w:rsidR="00B25DBE" w:rsidRPr="00AF5FD5" w:rsidRDefault="00B25DBE" w:rsidP="00B25DBE">
      <w:pPr>
        <w:pStyle w:val="SingleTxtG"/>
      </w:pPr>
      <w:r w:rsidRPr="00AF5FD5">
        <w:t>105.</w:t>
      </w:r>
      <w:r w:rsidRPr="00AF5FD5">
        <w:tab/>
      </w:r>
      <w:r w:rsidRPr="00AF5FD5">
        <w:rPr>
          <w:lang w:val="fr-FR"/>
        </w:rPr>
        <w:t>Le WP.11 a invité le secrétariat à envoyer à la Section des traités de l</w:t>
      </w:r>
      <w:r w:rsidR="00E84113" w:rsidRPr="00AF5FD5">
        <w:rPr>
          <w:lang w:val="fr-FR"/>
        </w:rPr>
        <w:t>’</w:t>
      </w:r>
      <w:r w:rsidRPr="00AF5FD5">
        <w:rPr>
          <w:lang w:val="fr-FR"/>
        </w:rPr>
        <w:t>ONU les propositions d</w:t>
      </w:r>
      <w:r w:rsidR="00E84113" w:rsidRPr="00AF5FD5">
        <w:rPr>
          <w:lang w:val="fr-FR"/>
        </w:rPr>
        <w:t>’</w:t>
      </w:r>
      <w:r w:rsidRPr="00AF5FD5">
        <w:rPr>
          <w:lang w:val="fr-FR"/>
        </w:rPr>
        <w:t>amendement qu</w:t>
      </w:r>
      <w:r w:rsidR="00E84113" w:rsidRPr="00AF5FD5">
        <w:rPr>
          <w:lang w:val="fr-FR"/>
        </w:rPr>
        <w:t>’</w:t>
      </w:r>
      <w:r w:rsidRPr="00AF5FD5">
        <w:rPr>
          <w:lang w:val="fr-FR"/>
        </w:rPr>
        <w:t>il avait adoptées, qui figurent à l</w:t>
      </w:r>
      <w:r w:rsidR="00E84113" w:rsidRPr="00AF5FD5">
        <w:rPr>
          <w:lang w:val="fr-FR"/>
        </w:rPr>
        <w:t>’</w:t>
      </w:r>
      <w:r w:rsidRPr="00AF5FD5">
        <w:rPr>
          <w:lang w:val="fr-FR"/>
        </w:rPr>
        <w:t>annexe I du présent rapport, ainsi que les corrections apportées à l</w:t>
      </w:r>
      <w:r w:rsidR="00E84113" w:rsidRPr="00AF5FD5">
        <w:rPr>
          <w:lang w:val="fr-FR"/>
        </w:rPr>
        <w:t>’</w:t>
      </w:r>
      <w:r w:rsidRPr="00AF5FD5">
        <w:rPr>
          <w:lang w:val="fr-FR"/>
        </w:rPr>
        <w:t>annexe III, pour notification officielle aux Parties contractantes à l</w:t>
      </w:r>
      <w:r w:rsidR="00E84113" w:rsidRPr="00AF5FD5">
        <w:rPr>
          <w:lang w:val="fr-FR"/>
        </w:rPr>
        <w:t>’</w:t>
      </w:r>
      <w:r w:rsidRPr="00AF5FD5">
        <w:rPr>
          <w:lang w:val="fr-FR"/>
        </w:rPr>
        <w:t>ATP.</w:t>
      </w:r>
    </w:p>
    <w:p w:rsidR="00B25DBE" w:rsidRPr="00AF5FD5" w:rsidRDefault="00B25DBE" w:rsidP="002D7AC2">
      <w:pPr>
        <w:pStyle w:val="HChG"/>
      </w:pPr>
      <w:r w:rsidRPr="00AF5FD5">
        <w:tab/>
      </w:r>
      <w:bookmarkStart w:id="67" w:name="_Toc528147014"/>
      <w:r w:rsidR="002D7AC2" w:rsidRPr="00AF5FD5">
        <w:t>VIII.</w:t>
      </w:r>
      <w:r w:rsidR="002D7AC2" w:rsidRPr="00AF5FD5">
        <w:tab/>
        <w:t>Manuel ATP (point </w:t>
      </w:r>
      <w:r w:rsidRPr="00AF5FD5">
        <w:t>7 de l</w:t>
      </w:r>
      <w:r w:rsidR="00E84113" w:rsidRPr="00AF5FD5">
        <w:t>’</w:t>
      </w:r>
      <w:r w:rsidRPr="00AF5FD5">
        <w:t>ordre du jour)</w:t>
      </w:r>
      <w:bookmarkEnd w:id="67"/>
    </w:p>
    <w:p w:rsidR="00B25DBE" w:rsidRPr="00AF5FD5" w:rsidRDefault="00B25DBE" w:rsidP="002D7AC2">
      <w:pPr>
        <w:pStyle w:val="H1G"/>
      </w:pPr>
      <w:r w:rsidRPr="00AF5FD5">
        <w:tab/>
      </w:r>
      <w:bookmarkStart w:id="68" w:name="_Toc528147015"/>
      <w:r w:rsidRPr="00AF5FD5">
        <w:t>A.</w:t>
      </w:r>
      <w:r w:rsidRPr="00AF5FD5">
        <w:tab/>
        <w:t>Manuel ATP</w:t>
      </w:r>
      <w:r w:rsidR="002D7AC2" w:rsidRPr="00AF5FD5">
        <w:t> </w:t>
      </w:r>
      <w:r w:rsidRPr="00AF5FD5">
        <w:t>: Paragraphe 1.2 de l</w:t>
      </w:r>
      <w:r w:rsidR="00E84113" w:rsidRPr="00AF5FD5">
        <w:t>’</w:t>
      </w:r>
      <w:r w:rsidR="002D7AC2" w:rsidRPr="00AF5FD5">
        <w:t>appendice </w:t>
      </w:r>
      <w:r w:rsidRPr="00AF5FD5">
        <w:t>2 de l</w:t>
      </w:r>
      <w:r w:rsidR="00E84113" w:rsidRPr="00AF5FD5">
        <w:t>’</w:t>
      </w:r>
      <w:r w:rsidRPr="00AF5FD5">
        <w:t>a</w:t>
      </w:r>
      <w:r w:rsidR="002D7AC2" w:rsidRPr="00AF5FD5">
        <w:t>nnexe </w:t>
      </w:r>
      <w:r w:rsidRPr="00AF5FD5">
        <w:t>1</w:t>
      </w:r>
      <w:bookmarkEnd w:id="68"/>
    </w:p>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ECE/TRANS/WP.11/2018/6 (Royaume-Uni)</w:t>
      </w:r>
      <w:r w:rsidR="002D7AC2" w:rsidRPr="00AF5FD5">
        <w:t>.</w:t>
      </w:r>
    </w:p>
    <w:p w:rsidR="00B25DBE" w:rsidRPr="00AF5FD5" w:rsidRDefault="00B25DBE" w:rsidP="00B25DBE">
      <w:pPr>
        <w:pStyle w:val="SingleTxtG"/>
      </w:pPr>
      <w:r w:rsidRPr="00AF5FD5">
        <w:t>106.</w:t>
      </w:r>
      <w:r w:rsidRPr="00AF5FD5">
        <w:tab/>
        <w:t>Cette proposi</w:t>
      </w:r>
      <w:r w:rsidR="002D7AC2" w:rsidRPr="00AF5FD5">
        <w:t>tion a été adoptée (voir annexe </w:t>
      </w:r>
      <w:r w:rsidRPr="00AF5FD5">
        <w:t>III)</w:t>
      </w:r>
      <w:r w:rsidR="002D7AC2" w:rsidRPr="00AF5FD5">
        <w:t>.</w:t>
      </w:r>
    </w:p>
    <w:p w:rsidR="00B25DBE" w:rsidRPr="00AF5FD5" w:rsidRDefault="00B25DBE" w:rsidP="002D7AC2">
      <w:pPr>
        <w:pStyle w:val="H1G"/>
        <w:rPr>
          <w:lang w:val="fr-FR"/>
        </w:rPr>
      </w:pPr>
      <w:r w:rsidRPr="00AF5FD5">
        <w:lastRenderedPageBreak/>
        <w:tab/>
      </w:r>
      <w:bookmarkStart w:id="69" w:name="_Toc528147016"/>
      <w:r w:rsidRPr="00AF5FD5">
        <w:t>B.</w:t>
      </w:r>
      <w:r w:rsidRPr="00AF5FD5">
        <w:tab/>
      </w:r>
      <w:r w:rsidRPr="00AF5FD5">
        <w:rPr>
          <w:lang w:val="fr-FR"/>
        </w:rPr>
        <w:t>Précisions dans l</w:t>
      </w:r>
      <w:r w:rsidR="00E84113" w:rsidRPr="00AF5FD5">
        <w:rPr>
          <w:lang w:val="fr-FR"/>
        </w:rPr>
        <w:t>’</w:t>
      </w:r>
      <w:r w:rsidRPr="00AF5FD5">
        <w:rPr>
          <w:lang w:val="fr-FR"/>
        </w:rPr>
        <w:t>ATP concernant le coefficient global de transmission thermique (coefficient K) de la caisse d</w:t>
      </w:r>
      <w:r w:rsidR="00E84113" w:rsidRPr="00AF5FD5">
        <w:rPr>
          <w:lang w:val="fr-FR"/>
        </w:rPr>
        <w:t>’</w:t>
      </w:r>
      <w:r w:rsidRPr="00AF5FD5">
        <w:rPr>
          <w:lang w:val="fr-FR"/>
        </w:rPr>
        <w:t>un engin de transport spécial, en remplaçant la marge d</w:t>
      </w:r>
      <w:r w:rsidR="00E84113" w:rsidRPr="00AF5FD5">
        <w:rPr>
          <w:lang w:val="fr-FR"/>
        </w:rPr>
        <w:t>’</w:t>
      </w:r>
      <w:r w:rsidRPr="00AF5FD5">
        <w:rPr>
          <w:lang w:val="fr-FR"/>
        </w:rPr>
        <w:t>erreur par l</w:t>
      </w:r>
      <w:r w:rsidR="00E84113" w:rsidRPr="00AF5FD5">
        <w:rPr>
          <w:lang w:val="fr-FR"/>
        </w:rPr>
        <w:t>’</w:t>
      </w:r>
      <w:r w:rsidRPr="00AF5FD5">
        <w:rPr>
          <w:lang w:val="fr-FR"/>
        </w:rPr>
        <w:t>incertitude, ainsi que dans le</w:t>
      </w:r>
      <w:r w:rsidR="002D7AC2" w:rsidRPr="00AF5FD5">
        <w:rPr>
          <w:lang w:val="fr-FR"/>
        </w:rPr>
        <w:t> </w:t>
      </w:r>
      <w:r w:rsidRPr="00AF5FD5">
        <w:rPr>
          <w:lang w:val="fr-FR"/>
        </w:rPr>
        <w:t>Manuel ATP concernant les méthodes recommandées pour déterminer l</w:t>
      </w:r>
      <w:r w:rsidR="00E84113" w:rsidRPr="00AF5FD5">
        <w:rPr>
          <w:lang w:val="fr-FR"/>
        </w:rPr>
        <w:t>’</w:t>
      </w:r>
      <w:r w:rsidRPr="00AF5FD5">
        <w:rPr>
          <w:lang w:val="fr-FR"/>
        </w:rPr>
        <w:t>incertitude de mesure du coefficient K</w:t>
      </w:r>
    </w:p>
    <w:bookmarkEnd w:id="69"/>
    <w:p w:rsidR="00B25DBE" w:rsidRPr="00AF5FD5" w:rsidRDefault="00B25DBE" w:rsidP="002D7AC2">
      <w:pPr>
        <w:pStyle w:val="SingleTxtG"/>
        <w:ind w:left="3119" w:hanging="1985"/>
      </w:pPr>
      <w:r w:rsidRPr="00AF5FD5">
        <w:rPr>
          <w:i/>
        </w:rPr>
        <w:t>Document</w:t>
      </w:r>
      <w:r w:rsidR="002D7AC2" w:rsidRPr="00AF5FD5">
        <w:rPr>
          <w:i/>
        </w:rPr>
        <w:t> </w:t>
      </w:r>
      <w:r w:rsidR="002D7AC2" w:rsidRPr="00AF5FD5">
        <w:t>:</w:t>
      </w:r>
      <w:r w:rsidR="002D7AC2" w:rsidRPr="00AF5FD5">
        <w:tab/>
      </w:r>
      <w:r w:rsidRPr="00AF5FD5">
        <w:t>ECE/TRANS/WP.11/2018/20 (Fédération de Russie)</w:t>
      </w:r>
      <w:r w:rsidR="002D7AC2" w:rsidRPr="00AF5FD5">
        <w:t>.</w:t>
      </w:r>
    </w:p>
    <w:p w:rsidR="00B25DBE" w:rsidRPr="00AF5FD5" w:rsidRDefault="00B25DBE" w:rsidP="00B25DBE">
      <w:pPr>
        <w:pStyle w:val="SingleTxtG"/>
      </w:pPr>
      <w:r w:rsidRPr="00AF5FD5">
        <w:t>107.</w:t>
      </w:r>
      <w:r w:rsidRPr="00AF5FD5">
        <w:tab/>
      </w:r>
      <w:r w:rsidRPr="00AF5FD5">
        <w:rPr>
          <w:lang w:val="fr-FR"/>
        </w:rPr>
        <w:t>Le Groupe de travail a remercié la Fédération de Russie de sa proposition et estimé qu</w:t>
      </w:r>
      <w:r w:rsidR="00E84113" w:rsidRPr="00AF5FD5">
        <w:rPr>
          <w:lang w:val="fr-FR"/>
        </w:rPr>
        <w:t>’</w:t>
      </w:r>
      <w:r w:rsidRPr="00AF5FD5">
        <w:rPr>
          <w:lang w:val="fr-FR"/>
        </w:rPr>
        <w:t>il était utile de l</w:t>
      </w:r>
      <w:r w:rsidR="00E84113" w:rsidRPr="00AF5FD5">
        <w:rPr>
          <w:lang w:val="fr-FR"/>
        </w:rPr>
        <w:t>’</w:t>
      </w:r>
      <w:r w:rsidRPr="00AF5FD5">
        <w:rPr>
          <w:lang w:val="fr-FR"/>
        </w:rPr>
        <w:t>inclure dans le Manuel ATP à l</w:t>
      </w:r>
      <w:r w:rsidR="00E84113" w:rsidRPr="00AF5FD5">
        <w:rPr>
          <w:lang w:val="fr-FR"/>
        </w:rPr>
        <w:t>’</w:t>
      </w:r>
      <w:r w:rsidRPr="00AF5FD5">
        <w:rPr>
          <w:lang w:val="fr-FR"/>
        </w:rPr>
        <w:t>intention des stations d</w:t>
      </w:r>
      <w:r w:rsidR="00E84113" w:rsidRPr="00AF5FD5">
        <w:rPr>
          <w:lang w:val="fr-FR"/>
        </w:rPr>
        <w:t>’</w:t>
      </w:r>
      <w:r w:rsidRPr="00AF5FD5">
        <w:rPr>
          <w:lang w:val="fr-FR"/>
        </w:rPr>
        <w:t>essais qui ne sont pas certifiées ISO et qui ne disposent peut-être pas d</w:t>
      </w:r>
      <w:r w:rsidR="00E84113" w:rsidRPr="00AF5FD5">
        <w:rPr>
          <w:lang w:val="fr-FR"/>
        </w:rPr>
        <w:t>’</w:t>
      </w:r>
      <w:r w:rsidRPr="00AF5FD5">
        <w:rPr>
          <w:lang w:val="fr-FR"/>
        </w:rPr>
        <w:t>une méthode adaptée pour estimer l</w:t>
      </w:r>
      <w:r w:rsidR="00E84113" w:rsidRPr="00AF5FD5">
        <w:rPr>
          <w:lang w:val="fr-FR"/>
        </w:rPr>
        <w:t>’</w:t>
      </w:r>
      <w:r w:rsidRPr="00AF5FD5">
        <w:rPr>
          <w:lang w:val="fr-FR"/>
        </w:rPr>
        <w:t>incertitud</w:t>
      </w:r>
      <w:r w:rsidR="002D7AC2" w:rsidRPr="00AF5FD5">
        <w:rPr>
          <w:lang w:val="fr-FR"/>
        </w:rPr>
        <w:t>e dans le calcul du coefficient </w:t>
      </w:r>
      <w:r w:rsidRPr="00AF5FD5">
        <w:rPr>
          <w:lang w:val="fr-FR"/>
        </w:rPr>
        <w:t xml:space="preserve">K. La proposition </w:t>
      </w:r>
      <w:r w:rsidR="002D7AC2" w:rsidRPr="00AF5FD5">
        <w:rPr>
          <w:lang w:val="fr-FR"/>
        </w:rPr>
        <w:t>a donc été adoptée (voir annexe </w:t>
      </w:r>
      <w:r w:rsidRPr="00AF5FD5">
        <w:t>III).</w:t>
      </w:r>
    </w:p>
    <w:p w:rsidR="00B25DBE" w:rsidRPr="00AF5FD5" w:rsidRDefault="00B25DBE" w:rsidP="002D7AC2">
      <w:pPr>
        <w:pStyle w:val="HChG"/>
      </w:pPr>
      <w:r w:rsidRPr="00AF5FD5">
        <w:tab/>
      </w:r>
      <w:bookmarkStart w:id="70" w:name="_Toc528147017"/>
      <w:r w:rsidR="002D7AC2" w:rsidRPr="00AF5FD5">
        <w:t>XII.</w:t>
      </w:r>
      <w:r w:rsidR="002D7AC2" w:rsidRPr="00AF5FD5">
        <w:tab/>
        <w:t>Élection du Bureau (point </w:t>
      </w:r>
      <w:r w:rsidRPr="00AF5FD5">
        <w:t>11 de l</w:t>
      </w:r>
      <w:r w:rsidR="00E84113" w:rsidRPr="00AF5FD5">
        <w:t>’</w:t>
      </w:r>
      <w:r w:rsidRPr="00AF5FD5">
        <w:t xml:space="preserve">ordre du jour) </w:t>
      </w:r>
      <w:bookmarkEnd w:id="70"/>
      <w:r w:rsidRPr="00AF5FD5">
        <w:t xml:space="preserve"> </w:t>
      </w:r>
    </w:p>
    <w:p w:rsidR="00B25DBE" w:rsidRPr="00AF5FD5" w:rsidRDefault="00B25DBE" w:rsidP="00B25DBE">
      <w:pPr>
        <w:pStyle w:val="SingleTxtG"/>
      </w:pPr>
      <w:r w:rsidRPr="00AF5FD5">
        <w:t>108.</w:t>
      </w:r>
      <w:r w:rsidRPr="00AF5FD5">
        <w:tab/>
      </w:r>
      <w:r w:rsidRPr="00AF5FD5">
        <w:rPr>
          <w:lang w:val="fr-FR"/>
        </w:rPr>
        <w:t>L</w:t>
      </w:r>
      <w:r w:rsidR="0012699C" w:rsidRPr="00AF5FD5">
        <w:rPr>
          <w:lang w:val="fr-FR"/>
        </w:rPr>
        <w:t>e Groupe de travail a élu M. T. </w:t>
      </w:r>
      <w:r w:rsidRPr="00AF5FD5">
        <w:rPr>
          <w:lang w:val="fr-FR"/>
        </w:rPr>
        <w:t>Nobre (Portugal) Président, ainsi que M. K.</w:t>
      </w:r>
      <w:r w:rsidR="002D7AC2" w:rsidRPr="00AF5FD5">
        <w:rPr>
          <w:lang w:val="fr-FR"/>
        </w:rPr>
        <w:t> </w:t>
      </w:r>
      <w:r w:rsidRPr="00AF5FD5">
        <w:rPr>
          <w:lang w:val="fr-FR"/>
        </w:rPr>
        <w:t>de Putter (Pays-Bas)</w:t>
      </w:r>
      <w:r w:rsidR="002D7AC2" w:rsidRPr="00AF5FD5">
        <w:rPr>
          <w:lang w:val="fr-FR"/>
        </w:rPr>
        <w:t xml:space="preserve"> et M. </w:t>
      </w:r>
      <w:r w:rsidRPr="00AF5FD5">
        <w:rPr>
          <w:lang w:val="fr-FR"/>
        </w:rPr>
        <w:t>J.-M. Bonnal (France) Vice-Présidents de s</w:t>
      </w:r>
      <w:r w:rsidR="0012699C" w:rsidRPr="00AF5FD5">
        <w:rPr>
          <w:lang w:val="fr-FR"/>
        </w:rPr>
        <w:t>a soixante</w:t>
      </w:r>
      <w:r w:rsidR="0012699C" w:rsidRPr="00AF5FD5">
        <w:rPr>
          <w:lang w:val="fr-FR"/>
        </w:rPr>
        <w:noBreakHyphen/>
        <w:t>quinzième session en </w:t>
      </w:r>
      <w:r w:rsidRPr="00AF5FD5">
        <w:rPr>
          <w:lang w:val="fr-FR"/>
        </w:rPr>
        <w:t>2019. Il a remercié le Bureau et le secrétariat de leur travail.</w:t>
      </w:r>
    </w:p>
    <w:p w:rsidR="00B25DBE" w:rsidRPr="00AF5FD5" w:rsidRDefault="00B25DBE" w:rsidP="002D7AC2">
      <w:pPr>
        <w:pStyle w:val="HChG"/>
      </w:pPr>
      <w:r w:rsidRPr="00AF5FD5">
        <w:tab/>
      </w:r>
      <w:bookmarkStart w:id="71" w:name="_Toc528147018"/>
      <w:r w:rsidR="002D7AC2" w:rsidRPr="00AF5FD5">
        <w:t>XIII.</w:t>
      </w:r>
      <w:r w:rsidR="002D7AC2" w:rsidRPr="00AF5FD5">
        <w:tab/>
        <w:t>Questions diverses (point </w:t>
      </w:r>
      <w:r w:rsidRPr="00AF5FD5">
        <w:t>12 de l</w:t>
      </w:r>
      <w:r w:rsidR="00E84113" w:rsidRPr="00AF5FD5">
        <w:t>’</w:t>
      </w:r>
      <w:r w:rsidRPr="00AF5FD5">
        <w:t>ordre du jour)</w:t>
      </w:r>
      <w:bookmarkEnd w:id="71"/>
    </w:p>
    <w:p w:rsidR="00B25DBE" w:rsidRPr="00AF5FD5" w:rsidRDefault="00B25DBE" w:rsidP="00B25DBE">
      <w:pPr>
        <w:pStyle w:val="SingleTxtG"/>
      </w:pPr>
      <w:r w:rsidRPr="00AF5FD5">
        <w:t>109.</w:t>
      </w:r>
      <w:r w:rsidRPr="00AF5FD5">
        <w:tab/>
        <w:t>Le Groupe de travail a été informé que M.</w:t>
      </w:r>
      <w:r w:rsidR="002D7AC2" w:rsidRPr="00AF5FD5">
        <w:t> </w:t>
      </w:r>
      <w:r w:rsidRPr="00AF5FD5">
        <w:t>Devin (France) était appelé à d</w:t>
      </w:r>
      <w:r w:rsidR="00E84113" w:rsidRPr="00AF5FD5">
        <w:t>’</w:t>
      </w:r>
      <w:r w:rsidRPr="00AF5FD5">
        <w:t>autres fonctions et qu</w:t>
      </w:r>
      <w:r w:rsidR="00E84113" w:rsidRPr="00AF5FD5">
        <w:t>’</w:t>
      </w:r>
      <w:r w:rsidRPr="00AF5FD5">
        <w:t xml:space="preserve">il ne participerait plus à ses sessions. Toutes </w:t>
      </w:r>
      <w:r w:rsidR="002D7AC2" w:rsidRPr="00AF5FD5">
        <w:t>les délégations ont remercié M. </w:t>
      </w:r>
      <w:r w:rsidRPr="00AF5FD5">
        <w:t>Devin d</w:t>
      </w:r>
      <w:r w:rsidR="00E84113" w:rsidRPr="00AF5FD5">
        <w:t>’</w:t>
      </w:r>
      <w:r w:rsidRPr="00AF5FD5">
        <w:t>avoir contribué activement aux travaux du Groupe de travail et lui ont souhaité plein succès dans ses activités futures.</w:t>
      </w:r>
    </w:p>
    <w:p w:rsidR="00B25DBE" w:rsidRPr="00AF5FD5" w:rsidRDefault="00B25DBE" w:rsidP="00B25DBE">
      <w:pPr>
        <w:pStyle w:val="SingleTxtG"/>
      </w:pPr>
      <w:r w:rsidRPr="00AF5FD5">
        <w:t>110.</w:t>
      </w:r>
      <w:r w:rsidRPr="00AF5FD5">
        <w:tab/>
        <w:t>La Fédération de Russie a relevé la question de l</w:t>
      </w:r>
      <w:r w:rsidR="00E84113" w:rsidRPr="00AF5FD5">
        <w:t>’</w:t>
      </w:r>
      <w:r w:rsidRPr="00AF5FD5">
        <w:t>application de normes régionales dans des accords internationaux tels que l</w:t>
      </w:r>
      <w:r w:rsidR="00E84113" w:rsidRPr="00AF5FD5">
        <w:t>’</w:t>
      </w:r>
      <w:r w:rsidRPr="00AF5FD5">
        <w:t>ATP. Elle est restée sur sa position consistant à dire qu</w:t>
      </w:r>
      <w:r w:rsidR="00E84113" w:rsidRPr="00AF5FD5">
        <w:t>’</w:t>
      </w:r>
      <w:r w:rsidRPr="00AF5FD5">
        <w:t>il faudrait utiliser les normes ISO dans les accords internationaux et qu</w:t>
      </w:r>
      <w:r w:rsidR="00E84113" w:rsidRPr="00AF5FD5">
        <w:t>’</w:t>
      </w:r>
      <w:r w:rsidRPr="00AF5FD5">
        <w:t>à défaut les textes pertinents des normes régionales devraient être incorporées au texte de l</w:t>
      </w:r>
      <w:r w:rsidR="00E84113" w:rsidRPr="00AF5FD5">
        <w:t>’</w:t>
      </w:r>
      <w:r w:rsidR="002D7AC2" w:rsidRPr="00AF5FD5">
        <w:t xml:space="preserve">Accord. </w:t>
      </w:r>
    </w:p>
    <w:p w:rsidR="00B25DBE" w:rsidRPr="00AF5FD5" w:rsidRDefault="00B25DBE" w:rsidP="00B25DBE">
      <w:pPr>
        <w:pStyle w:val="SingleTxtG"/>
      </w:pPr>
      <w:r w:rsidRPr="00AF5FD5">
        <w:t>111.</w:t>
      </w:r>
      <w:r w:rsidRPr="00AF5FD5">
        <w:tab/>
        <w:t>Le représentant de la Croatie a interrogé le Groupe de travail sur la possibilité de signer électroniquement les attestations. Il a été expliqué que l</w:t>
      </w:r>
      <w:r w:rsidR="00E84113" w:rsidRPr="00AF5FD5">
        <w:t>’</w:t>
      </w:r>
      <w:r w:rsidRPr="00AF5FD5">
        <w:t>autorité compétente devait décider comment mettre en œuvre la procédure de signature dans chaque pays mais que la signature électronique des attestations ATP était une option dans certains pays. Il a été proposé de demander aux Parties contractantes de partager leur expérience en matière de procédure de signature électronique ainsi que d</w:t>
      </w:r>
      <w:r w:rsidR="00E84113" w:rsidRPr="00AF5FD5">
        <w:t>’</w:t>
      </w:r>
      <w:r w:rsidRPr="00AF5FD5">
        <w:t>autres techniques utilisées pour éviter ou réduire les possibilités de falsification.</w:t>
      </w:r>
    </w:p>
    <w:p w:rsidR="00B25DBE" w:rsidRPr="00AF5FD5" w:rsidRDefault="00B25DBE" w:rsidP="002D7AC2">
      <w:pPr>
        <w:pStyle w:val="H1G"/>
      </w:pPr>
      <w:r w:rsidRPr="00AF5FD5">
        <w:tab/>
      </w:r>
      <w:r w:rsidRPr="00AF5FD5">
        <w:tab/>
        <w:t>Dates de la soixante-quinzième session</w:t>
      </w:r>
    </w:p>
    <w:p w:rsidR="00B25DBE" w:rsidRPr="00AF5FD5" w:rsidRDefault="002D7AC2" w:rsidP="00B25DBE">
      <w:pPr>
        <w:pStyle w:val="SingleTxtG"/>
      </w:pPr>
      <w:r w:rsidRPr="00AF5FD5">
        <w:t>112.</w:t>
      </w:r>
      <w:r w:rsidRPr="00AF5FD5">
        <w:tab/>
        <w:t>Les dates du 8 au 11 </w:t>
      </w:r>
      <w:r w:rsidR="00B25DBE" w:rsidRPr="00AF5FD5">
        <w:t>octobre 2019 (mardi à vendredi) ont été retenues pour la soixante-quinzième session du Groupe de travail. La date limite de soumission des documents a été fixée au 16</w:t>
      </w:r>
      <w:r w:rsidRPr="00AF5FD5">
        <w:t> </w:t>
      </w:r>
      <w:r w:rsidR="00B25DBE" w:rsidRPr="00AF5FD5">
        <w:t>juillet 2019.</w:t>
      </w:r>
    </w:p>
    <w:p w:rsidR="00B25DBE" w:rsidRPr="00AF5FD5" w:rsidRDefault="00B25DBE" w:rsidP="002D7AC2">
      <w:pPr>
        <w:pStyle w:val="HChG"/>
      </w:pPr>
      <w:r w:rsidRPr="00AF5FD5">
        <w:tab/>
      </w:r>
      <w:bookmarkStart w:id="72" w:name="_Toc528147019"/>
      <w:r w:rsidR="002D7AC2" w:rsidRPr="00AF5FD5">
        <w:t>XIV.</w:t>
      </w:r>
      <w:r w:rsidR="002D7AC2" w:rsidRPr="00AF5FD5">
        <w:tab/>
        <w:t>Adoption du rapport (point </w:t>
      </w:r>
      <w:r w:rsidRPr="00AF5FD5">
        <w:t>13 de l</w:t>
      </w:r>
      <w:r w:rsidR="00E84113" w:rsidRPr="00AF5FD5">
        <w:t>’</w:t>
      </w:r>
      <w:r w:rsidRPr="00AF5FD5">
        <w:t>ordre du jour)</w:t>
      </w:r>
      <w:bookmarkEnd w:id="72"/>
    </w:p>
    <w:p w:rsidR="00B25DBE" w:rsidRPr="00AF5FD5" w:rsidRDefault="00B25DBE" w:rsidP="00B25DBE">
      <w:pPr>
        <w:pStyle w:val="SingleTxtG"/>
      </w:pPr>
      <w:r w:rsidRPr="00AF5FD5">
        <w:t>113.</w:t>
      </w:r>
      <w:r w:rsidRPr="00AF5FD5">
        <w:tab/>
        <w:t>Le Groupe de travail a adopté le rapport sur sa soixante-quatorzième session sur la base d</w:t>
      </w:r>
      <w:r w:rsidR="00E84113" w:rsidRPr="00AF5FD5">
        <w:t>’</w:t>
      </w:r>
      <w:r w:rsidRPr="00AF5FD5">
        <w:t>un projet établi par le secrétariat.</w:t>
      </w:r>
    </w:p>
    <w:p w:rsidR="00B25DBE" w:rsidRPr="00AF5FD5" w:rsidRDefault="00B25DBE" w:rsidP="002D7AC2">
      <w:pPr>
        <w:pStyle w:val="HChG"/>
      </w:pPr>
      <w:r w:rsidRPr="00AF5FD5">
        <w:br w:type="page"/>
      </w:r>
      <w:r w:rsidRPr="00AF5FD5">
        <w:lastRenderedPageBreak/>
        <w:tab/>
      </w:r>
      <w:bookmarkStart w:id="73" w:name="_Toc432670211"/>
      <w:bookmarkStart w:id="74" w:name="_Toc528147020"/>
      <w:r w:rsidR="002D7AC2" w:rsidRPr="00AF5FD5">
        <w:t>Annexe </w:t>
      </w:r>
      <w:r w:rsidRPr="00AF5FD5">
        <w:t>I</w:t>
      </w:r>
      <w:bookmarkEnd w:id="73"/>
      <w:bookmarkEnd w:id="74"/>
    </w:p>
    <w:p w:rsidR="00B25DBE" w:rsidRPr="00AF5FD5" w:rsidRDefault="00B25DBE" w:rsidP="0012699C">
      <w:pPr>
        <w:pStyle w:val="HChG"/>
      </w:pPr>
      <w:r w:rsidRPr="00AF5FD5">
        <w:tab/>
      </w:r>
      <w:r w:rsidRPr="00AF5FD5">
        <w:tab/>
      </w:r>
      <w:bookmarkStart w:id="75" w:name="_Toc432670212"/>
      <w:bookmarkStart w:id="76" w:name="_Toc528147021"/>
      <w:r w:rsidRPr="00AF5FD5">
        <w:t>Propositions d</w:t>
      </w:r>
      <w:r w:rsidR="00E84113" w:rsidRPr="00AF5FD5">
        <w:t>’</w:t>
      </w:r>
      <w:r w:rsidRPr="00AF5FD5">
        <w:t>amendements à l</w:t>
      </w:r>
      <w:r w:rsidR="00E84113" w:rsidRPr="00AF5FD5">
        <w:t>’</w:t>
      </w:r>
      <w:r w:rsidRPr="00AF5FD5">
        <w:t>ATP</w:t>
      </w:r>
    </w:p>
    <w:p w:rsidR="00B25DBE" w:rsidRPr="00AF5FD5" w:rsidRDefault="00B25DBE" w:rsidP="0012699C">
      <w:pPr>
        <w:pStyle w:val="H1G"/>
      </w:pPr>
      <w:bookmarkStart w:id="77" w:name="_Toc401568282"/>
      <w:bookmarkStart w:id="78" w:name="_Toc401568687"/>
      <w:bookmarkEnd w:id="75"/>
      <w:bookmarkEnd w:id="76"/>
      <w:r w:rsidRPr="00AF5FD5">
        <w:tab/>
      </w:r>
      <w:r w:rsidRPr="00AF5FD5">
        <w:tab/>
      </w:r>
      <w:bookmarkStart w:id="79" w:name="_Toc528147022"/>
      <w:r w:rsidRPr="00AF5FD5">
        <w:t>Proposition d</w:t>
      </w:r>
      <w:r w:rsidR="00E84113" w:rsidRPr="00AF5FD5">
        <w:t>’</w:t>
      </w:r>
      <w:r w:rsidRPr="00AF5FD5">
        <w:t>amendement 1</w:t>
      </w:r>
      <w:bookmarkEnd w:id="79"/>
    </w:p>
    <w:p w:rsidR="00B25DBE" w:rsidRPr="00AF5FD5" w:rsidRDefault="00B25DBE" w:rsidP="0012699C">
      <w:pPr>
        <w:pStyle w:val="H23G"/>
      </w:pPr>
      <w:r w:rsidRPr="00AF5FD5">
        <w:tab/>
      </w:r>
      <w:bookmarkStart w:id="80" w:name="_Toc528147023"/>
      <w:r w:rsidR="0012699C" w:rsidRPr="00AF5FD5">
        <w:t>1.</w:t>
      </w:r>
      <w:r w:rsidR="0012699C" w:rsidRPr="00AF5FD5">
        <w:tab/>
        <w:t>Annexe </w:t>
      </w:r>
      <w:r w:rsidRPr="00AF5FD5">
        <w:t>1, appendice 2,</w:t>
      </w:r>
      <w:r w:rsidR="0012699C" w:rsidRPr="00AF5FD5">
        <w:t xml:space="preserve"> section </w:t>
      </w:r>
      <w:r w:rsidRPr="00AF5FD5">
        <w:t>1.2</w:t>
      </w:r>
    </w:p>
    <w:p w:rsidR="00B25DBE" w:rsidRPr="00AF5FD5" w:rsidRDefault="0012699C" w:rsidP="00B71CF1">
      <w:pPr>
        <w:pStyle w:val="SingleTxtG"/>
      </w:pPr>
      <w:r w:rsidRPr="00AF5FD5">
        <w:t>Remplacer « </w:t>
      </w:r>
      <w:r w:rsidR="00B25DBE" w:rsidRPr="00AF5FD5">
        <w:t>Si = (((WI x LI</w:t>
      </w:r>
      <w:r w:rsidRPr="00AF5FD5">
        <w:t>) + (WI x LI) + (Wi x Wi)) x 2) </w:t>
      </w:r>
      <w:r w:rsidR="00B25DBE" w:rsidRPr="00AF5FD5">
        <w:t>» par «</w:t>
      </w:r>
      <w:r w:rsidRPr="00AF5FD5">
        <w:t> </w:t>
      </w:r>
      <w:r w:rsidR="00B25DBE" w:rsidRPr="00AF5FD5">
        <w:t>Si = (((WI x LI) + (HI</w:t>
      </w:r>
      <w:r w:rsidR="00F74AD2">
        <w:t> </w:t>
      </w:r>
      <w:r w:rsidR="00B25DBE" w:rsidRPr="00AF5FD5">
        <w:t>x LI) + (HI x WI)) x 2)</w:t>
      </w:r>
      <w:r w:rsidRPr="00AF5FD5">
        <w:t> </w:t>
      </w:r>
      <w:r w:rsidR="00B25DBE" w:rsidRPr="00AF5FD5">
        <w:t>».</w:t>
      </w:r>
    </w:p>
    <w:p w:rsidR="00B25DBE" w:rsidRPr="00AF5FD5" w:rsidRDefault="0012699C" w:rsidP="00B71CF1">
      <w:pPr>
        <w:pStyle w:val="SingleTxtG"/>
        <w:rPr>
          <w:lang w:val="en-US"/>
        </w:rPr>
      </w:pPr>
      <w:r w:rsidRPr="00AF5FD5">
        <w:rPr>
          <w:lang w:val="en-US"/>
        </w:rPr>
        <w:t>Remplacer « </w:t>
      </w:r>
      <w:r w:rsidR="00B25DBE" w:rsidRPr="00AF5FD5">
        <w:rPr>
          <w:lang w:val="en-US"/>
        </w:rPr>
        <w:t>Se = (((WE x LE</w:t>
      </w:r>
      <w:r w:rsidRPr="00AF5FD5">
        <w:rPr>
          <w:lang w:val="en-US"/>
        </w:rPr>
        <w:t>) + (WE x LE) + (We x We)) x 2) » par « </w:t>
      </w:r>
      <w:r w:rsidR="00B25DBE" w:rsidRPr="00AF5FD5">
        <w:rPr>
          <w:lang w:val="en-US"/>
        </w:rPr>
        <w:t>Se = (((WE x LE) + (HE x LE) + (HE x WE)) x 2) ».</w:t>
      </w:r>
    </w:p>
    <w:p w:rsidR="00B25DBE" w:rsidRPr="00AF5FD5" w:rsidRDefault="00B25DBE" w:rsidP="00B71CF1">
      <w:pPr>
        <w:pStyle w:val="SingleTxtG"/>
      </w:pPr>
      <w:r w:rsidRPr="00AF5FD5">
        <w:t>Remplacer</w:t>
      </w:r>
      <w:r w:rsidR="0012699C" w:rsidRPr="00AF5FD5">
        <w:t xml:space="preserve"> « </w:t>
      </w:r>
      <w:r w:rsidRPr="00AF5FD5">
        <w:t>Wi est l</w:t>
      </w:r>
      <w:r w:rsidR="00E84113" w:rsidRPr="00AF5FD5">
        <w:t>’</w:t>
      </w:r>
      <w:r w:rsidRPr="00AF5FD5">
        <w:t>axe des Z d</w:t>
      </w:r>
      <w:r w:rsidR="0012699C" w:rsidRPr="00AF5FD5">
        <w:t>e la surface intérieure » par « </w:t>
      </w:r>
      <w:r w:rsidRPr="00AF5FD5">
        <w:t>HI est l</w:t>
      </w:r>
      <w:r w:rsidR="00E84113" w:rsidRPr="00AF5FD5">
        <w:t>’</w:t>
      </w:r>
      <w:r w:rsidR="00543C14">
        <w:t>axe des </w:t>
      </w:r>
      <w:r w:rsidRPr="00AF5FD5">
        <w:t>Z de la surface intérieure ».</w:t>
      </w:r>
    </w:p>
    <w:p w:rsidR="00B25DBE" w:rsidRPr="00AF5FD5" w:rsidRDefault="0012699C" w:rsidP="00B71CF1">
      <w:pPr>
        <w:pStyle w:val="SingleTxtG"/>
      </w:pPr>
      <w:r w:rsidRPr="00AF5FD5">
        <w:t>Remplacer « </w:t>
      </w:r>
      <w:r w:rsidR="00B25DBE" w:rsidRPr="00AF5FD5">
        <w:t>WE est l</w:t>
      </w:r>
      <w:r w:rsidR="00E84113" w:rsidRPr="00AF5FD5">
        <w:t>’</w:t>
      </w:r>
      <w:r w:rsidR="00B25DBE" w:rsidRPr="00AF5FD5">
        <w:t>axe des Z de la surface extérieure » par « HE est l</w:t>
      </w:r>
      <w:r w:rsidR="00E84113" w:rsidRPr="00AF5FD5">
        <w:t>’</w:t>
      </w:r>
      <w:r w:rsidR="00B25DBE" w:rsidRPr="00AF5FD5">
        <w:t>axe des Z de la surface extérieure ».</w:t>
      </w:r>
    </w:p>
    <w:p w:rsidR="00B25DBE" w:rsidRPr="00AF5FD5" w:rsidRDefault="0012699C" w:rsidP="00B71CF1">
      <w:pPr>
        <w:pStyle w:val="SingleTxtG"/>
        <w:rPr>
          <w:lang w:val="en-US"/>
        </w:rPr>
      </w:pPr>
      <w:r w:rsidRPr="00AF5FD5">
        <w:rPr>
          <w:lang w:val="en-US"/>
        </w:rPr>
        <w:t>Remplacer « </w:t>
      </w:r>
      <w:r w:rsidR="00B25DBE" w:rsidRPr="00AF5FD5">
        <w:rPr>
          <w:lang w:val="en-US"/>
        </w:rPr>
        <w:t>WI = (WIa x a/2 + WIb (a/2 + b/2</w:t>
      </w:r>
      <w:r w:rsidRPr="00AF5FD5">
        <w:rPr>
          <w:lang w:val="en-US"/>
        </w:rPr>
        <w:t>) + WIc (b/2) / (a + b) » par « </w:t>
      </w:r>
      <w:r w:rsidR="003358B4">
        <w:rPr>
          <w:lang w:val="en-US"/>
        </w:rPr>
        <w:t>WI = (WIa </w:t>
      </w:r>
      <w:r w:rsidR="00B25DBE" w:rsidRPr="00AF5FD5">
        <w:rPr>
          <w:lang w:val="en-US"/>
        </w:rPr>
        <w:t>x</w:t>
      </w:r>
      <w:r w:rsidRPr="00AF5FD5">
        <w:rPr>
          <w:lang w:val="en-US"/>
        </w:rPr>
        <w:t> </w:t>
      </w:r>
      <w:r w:rsidR="00B25DBE" w:rsidRPr="00AF5FD5">
        <w:rPr>
          <w:lang w:val="en-US"/>
        </w:rPr>
        <w:t>a/2 + WIb (a/2 + b/2) + WIc (b/2)) / (a + b) ».</w:t>
      </w:r>
    </w:p>
    <w:p w:rsidR="00B25DBE" w:rsidRPr="00AF5FD5" w:rsidRDefault="0012699C" w:rsidP="00B71CF1">
      <w:pPr>
        <w:pStyle w:val="SingleTxtG"/>
        <w:rPr>
          <w:lang w:val="en-US"/>
        </w:rPr>
      </w:pPr>
      <w:r w:rsidRPr="00AF5FD5">
        <w:rPr>
          <w:lang w:val="en-US"/>
        </w:rPr>
        <w:t>Remplacer « </w:t>
      </w:r>
      <w:r w:rsidR="00B25DBE" w:rsidRPr="00AF5FD5">
        <w:rPr>
          <w:lang w:val="en-US"/>
        </w:rPr>
        <w:t>WI = ((WIb x b) + (WIb x c) – ((WIb – WIc) x</w:t>
      </w:r>
      <w:r w:rsidRPr="00AF5FD5">
        <w:rPr>
          <w:lang w:val="en-US"/>
        </w:rPr>
        <w:t xml:space="preserve"> c) + (2 x ((WIb – WIa) x a )))/ (a + b + c) » par « </w:t>
      </w:r>
      <w:r w:rsidR="00B25DBE" w:rsidRPr="00AF5FD5">
        <w:rPr>
          <w:lang w:val="en-US"/>
        </w:rPr>
        <w:t>WI = (WIa x a + WIb x b + (WIb + WIc)</w:t>
      </w:r>
      <w:r w:rsidR="00543C14">
        <w:rPr>
          <w:lang w:val="en-US"/>
        </w:rPr>
        <w:t> </w:t>
      </w:r>
      <w:r w:rsidR="00B25DBE" w:rsidRPr="00AF5FD5">
        <w:rPr>
          <w:lang w:val="en-US"/>
        </w:rPr>
        <w:t>/</w:t>
      </w:r>
      <w:r w:rsidR="00543C14">
        <w:rPr>
          <w:lang w:val="en-US"/>
        </w:rPr>
        <w:t> </w:t>
      </w:r>
      <w:r w:rsidR="00B25DBE" w:rsidRPr="00AF5FD5">
        <w:rPr>
          <w:lang w:val="en-US"/>
        </w:rPr>
        <w:t xml:space="preserve">2 x c) / (a + </w:t>
      </w:r>
      <w:r w:rsidRPr="00AF5FD5">
        <w:rPr>
          <w:lang w:val="en-US"/>
        </w:rPr>
        <w:t>b + c)</w:t>
      </w:r>
      <w:r w:rsidR="00B25DBE" w:rsidRPr="00AF5FD5">
        <w:rPr>
          <w:lang w:val="en-US"/>
        </w:rPr>
        <w:t> ».</w:t>
      </w:r>
    </w:p>
    <w:p w:rsidR="00B25DBE" w:rsidRPr="00AF5FD5" w:rsidRDefault="0012699C" w:rsidP="00B71CF1">
      <w:pPr>
        <w:pStyle w:val="SingleTxtG"/>
      </w:pPr>
      <w:r w:rsidRPr="00AF5FD5">
        <w:t>Remplacer « Wi = (Wi arrière + Wi avant)</w:t>
      </w:r>
      <w:r w:rsidR="00543C14">
        <w:t> </w:t>
      </w:r>
      <w:r w:rsidRPr="00AF5FD5">
        <w:t>/</w:t>
      </w:r>
      <w:r w:rsidR="00543C14">
        <w:t> </w:t>
      </w:r>
      <w:r w:rsidRPr="00AF5FD5">
        <w:t>2 » par « WI = (WI arrière + WI avant)</w:t>
      </w:r>
      <w:r w:rsidR="00543C14">
        <w:t> </w:t>
      </w:r>
      <w:r w:rsidRPr="00AF5FD5">
        <w:t>/2 </w:t>
      </w:r>
      <w:r w:rsidR="00B25DBE" w:rsidRPr="00AF5FD5">
        <w:t>».</w:t>
      </w:r>
    </w:p>
    <w:p w:rsidR="00B25DBE" w:rsidRPr="00AF5FD5" w:rsidRDefault="0012699C" w:rsidP="00B71CF1">
      <w:pPr>
        <w:pStyle w:val="SingleTxtG"/>
      </w:pPr>
      <w:r w:rsidRPr="00AF5FD5">
        <w:t>Remplacer « </w:t>
      </w:r>
      <w:r w:rsidR="00B25DBE" w:rsidRPr="00AF5FD5">
        <w:t>Wi arrière est la large</w:t>
      </w:r>
      <w:r w:rsidRPr="00AF5FD5">
        <w:t>ur mesurée à la cloison » par « </w:t>
      </w:r>
      <w:r w:rsidR="00B25DBE" w:rsidRPr="00AF5FD5">
        <w:t>WI arrière est la largeur mesurée à la cloison ».</w:t>
      </w:r>
    </w:p>
    <w:p w:rsidR="00B25DBE" w:rsidRPr="00AF5FD5" w:rsidRDefault="0012699C" w:rsidP="00B71CF1">
      <w:pPr>
        <w:pStyle w:val="SingleTxtG"/>
      </w:pPr>
      <w:r w:rsidRPr="00AF5FD5">
        <w:t>Remplacer « </w:t>
      </w:r>
      <w:r w:rsidR="00B25DBE" w:rsidRPr="00AF5FD5">
        <w:t>Wi avant est la largeur mesurée du côté de la ou des porte(s) » par « WI avant est la largeur mesuré</w:t>
      </w:r>
      <w:r w:rsidRPr="00AF5FD5">
        <w:t>e du côté de la ou des porte(s) </w:t>
      </w:r>
      <w:r w:rsidR="00B25DBE" w:rsidRPr="00AF5FD5">
        <w:t>».</w:t>
      </w:r>
    </w:p>
    <w:p w:rsidR="00B25DBE" w:rsidRDefault="0012699C" w:rsidP="00B71CF1">
      <w:pPr>
        <w:pStyle w:val="SingleTxtG"/>
      </w:pPr>
      <w:r w:rsidRPr="00AF5FD5">
        <w:t>Remplacer « </w:t>
      </w:r>
      <w:r w:rsidR="00B25DBE" w:rsidRPr="00AF5FD5">
        <w:t>WE = WI + épaisseur moyenne déclarée</w:t>
      </w:r>
      <w:r w:rsidRPr="00AF5FD5">
        <w:t> » par « </w:t>
      </w:r>
      <w:r w:rsidR="00B25DBE" w:rsidRPr="00AF5FD5">
        <w:t>WE = WI + épaisseur moyenne déclarée x 2 ».</w:t>
      </w:r>
    </w:p>
    <w:p w:rsidR="00F74AD2" w:rsidRDefault="00F74AD2" w:rsidP="00B71CF1">
      <w:pPr>
        <w:pStyle w:val="SingleTxtG"/>
      </w:pPr>
      <w:r w:rsidRPr="00AF5FD5">
        <w:t>Remplacer « </w:t>
      </w:r>
      <w:r>
        <w:t>L</w:t>
      </w:r>
      <w:r w:rsidRPr="00AF5FD5">
        <w:t xml:space="preserve">E = </w:t>
      </w:r>
      <w:r>
        <w:t>L</w:t>
      </w:r>
      <w:r w:rsidRPr="00AF5FD5">
        <w:t>I + épaisseur moyenne déclarée » par « </w:t>
      </w:r>
      <w:r>
        <w:t>L</w:t>
      </w:r>
      <w:r w:rsidRPr="00AF5FD5">
        <w:t xml:space="preserve">E = </w:t>
      </w:r>
      <w:r>
        <w:t>L</w:t>
      </w:r>
      <w:r w:rsidRPr="00AF5FD5">
        <w:t>I + épaisseur moyenne déclarée x 2 ».</w:t>
      </w:r>
    </w:p>
    <w:p w:rsidR="00F74AD2" w:rsidRDefault="00F74AD2" w:rsidP="00F74AD2">
      <w:pPr>
        <w:pStyle w:val="SingleTxtG"/>
      </w:pPr>
      <w:r w:rsidRPr="00AF5FD5">
        <w:t>Remplacer « WE = WI + épaisseur moyenne déclarée » par « </w:t>
      </w:r>
      <w:r>
        <w:t>H</w:t>
      </w:r>
      <w:r w:rsidRPr="00AF5FD5">
        <w:t xml:space="preserve">E = </w:t>
      </w:r>
      <w:r>
        <w:t>H</w:t>
      </w:r>
      <w:r w:rsidRPr="00AF5FD5">
        <w:t>I + épaisseur moyenne déclarée x 2 ».</w:t>
      </w:r>
    </w:p>
    <w:bookmarkEnd w:id="80"/>
    <w:p w:rsidR="00B25DBE" w:rsidRPr="00AF5FD5" w:rsidRDefault="00B25DBE" w:rsidP="00B25DBE">
      <w:pPr>
        <w:pStyle w:val="SingleTxtG"/>
        <w:rPr>
          <w:i/>
        </w:rPr>
      </w:pPr>
      <w:r w:rsidRPr="00AF5FD5">
        <w:rPr>
          <w:i/>
        </w:rPr>
        <w:t>(Document de référence</w:t>
      </w:r>
      <w:r w:rsidR="0012699C" w:rsidRPr="00AF5FD5">
        <w:rPr>
          <w:i/>
        </w:rPr>
        <w:t> </w:t>
      </w:r>
      <w:r w:rsidRPr="00AF5FD5">
        <w:rPr>
          <w:i/>
        </w:rPr>
        <w:t>: ECE/TRANS/WP.11/2018/7</w:t>
      </w:r>
      <w:r w:rsidR="009906A6" w:rsidRPr="00AF5FD5">
        <w:rPr>
          <w:i/>
        </w:rPr>
        <w:t>.</w:t>
      </w:r>
      <w:r w:rsidRPr="00AF5FD5">
        <w:rPr>
          <w:i/>
        </w:rPr>
        <w:t>)</w:t>
      </w:r>
    </w:p>
    <w:p w:rsidR="00B25DBE" w:rsidRPr="00AF5FD5" w:rsidRDefault="00B25DBE" w:rsidP="0012699C">
      <w:pPr>
        <w:pStyle w:val="H1G"/>
      </w:pPr>
      <w:r w:rsidRPr="00AF5FD5">
        <w:tab/>
      </w:r>
      <w:r w:rsidRPr="00AF5FD5">
        <w:tab/>
      </w:r>
      <w:bookmarkStart w:id="81" w:name="_Toc528147024"/>
      <w:r w:rsidRPr="00AF5FD5">
        <w:t>Proposition d</w:t>
      </w:r>
      <w:r w:rsidR="00E84113" w:rsidRPr="00AF5FD5">
        <w:t>’</w:t>
      </w:r>
      <w:r w:rsidRPr="00AF5FD5">
        <w:t>amendement 2</w:t>
      </w:r>
      <w:bookmarkEnd w:id="81"/>
    </w:p>
    <w:p w:rsidR="00B25DBE" w:rsidRPr="00AF5FD5" w:rsidRDefault="00B25DBE" w:rsidP="0012699C">
      <w:pPr>
        <w:pStyle w:val="H23G"/>
      </w:pPr>
      <w:r w:rsidRPr="00AF5FD5">
        <w:tab/>
      </w:r>
      <w:bookmarkStart w:id="82" w:name="_Toc528147025"/>
      <w:r w:rsidR="0012699C" w:rsidRPr="00AF5FD5">
        <w:t>2.</w:t>
      </w:r>
      <w:r w:rsidR="0012699C" w:rsidRPr="00AF5FD5">
        <w:tab/>
        <w:t>Annexe 1, appendice 2, paragraphe </w:t>
      </w:r>
      <w:r w:rsidRPr="00AF5FD5">
        <w:t>2.3.2</w:t>
      </w:r>
    </w:p>
    <w:p w:rsidR="00B25DBE" w:rsidRPr="00AF5FD5" w:rsidRDefault="0012699C" w:rsidP="00B71CF1">
      <w:pPr>
        <w:pStyle w:val="SingleTxtG"/>
      </w:pPr>
      <w:r w:rsidRPr="00AF5FD5">
        <w:t>Remplacer « </w:t>
      </w:r>
      <w:r w:rsidR="00B25DBE" w:rsidRPr="00AF5FD5">
        <w:t>erreur maximale de mesure</w:t>
      </w:r>
      <w:r w:rsidRPr="00AF5FD5">
        <w:t> »</w:t>
      </w:r>
      <w:r w:rsidR="00B25DBE" w:rsidRPr="00AF5FD5">
        <w:t xml:space="preserve"> par «</w:t>
      </w:r>
      <w:r w:rsidRPr="00AF5FD5">
        <w:t> </w:t>
      </w:r>
      <w:r w:rsidR="00B25DBE" w:rsidRPr="00AF5FD5">
        <w:t>incertitude élargie ».</w:t>
      </w:r>
    </w:p>
    <w:p w:rsidR="00B25DBE" w:rsidRPr="00AF5FD5" w:rsidRDefault="00B25DBE" w:rsidP="00B71CF1">
      <w:pPr>
        <w:pStyle w:val="SingleTxtG"/>
      </w:pPr>
      <w:r w:rsidRPr="00AF5FD5">
        <w:t>Ajouter une nouvelle d</w:t>
      </w:r>
      <w:r w:rsidR="0012699C" w:rsidRPr="00AF5FD5">
        <w:t>ernière phrase ainsi conçue : « </w:t>
      </w:r>
      <w:r w:rsidRPr="00AF5FD5">
        <w:t>L</w:t>
      </w:r>
      <w:r w:rsidR="00E84113" w:rsidRPr="00AF5FD5">
        <w:t>’</w:t>
      </w:r>
      <w:r w:rsidRPr="00AF5FD5">
        <w:t>incertitude d</w:t>
      </w:r>
      <w:r w:rsidR="0012699C" w:rsidRPr="00AF5FD5">
        <w:t>e mesure élargie du coefficient </w:t>
      </w:r>
      <w:r w:rsidRPr="00AF5FD5">
        <w:t>K devra être calculée avec un niveau de confiance d</w:t>
      </w:r>
      <w:r w:rsidR="00E84113" w:rsidRPr="00AF5FD5">
        <w:t>’</w:t>
      </w:r>
      <w:r w:rsidR="0012699C" w:rsidRPr="00AF5FD5">
        <w:t>au moins 95 %</w:t>
      </w:r>
      <w:r w:rsidRPr="00AF5FD5">
        <w:t> ».</w:t>
      </w:r>
    </w:p>
    <w:p w:rsidR="00B25DBE" w:rsidRPr="00AF5FD5" w:rsidRDefault="0012699C" w:rsidP="00B25DBE">
      <w:pPr>
        <w:pStyle w:val="SingleTxtG"/>
        <w:rPr>
          <w:i/>
        </w:rPr>
      </w:pPr>
      <w:r w:rsidRPr="00AF5FD5">
        <w:rPr>
          <w:i/>
        </w:rPr>
        <w:t>(Document de référence </w:t>
      </w:r>
      <w:r w:rsidR="00B25DBE" w:rsidRPr="00AF5FD5">
        <w:rPr>
          <w:i/>
        </w:rPr>
        <w:t>: ECE/TRANS/WP.11/2018/20, tel que modifié</w:t>
      </w:r>
      <w:r w:rsidR="009906A6" w:rsidRPr="00AF5FD5">
        <w:rPr>
          <w:i/>
        </w:rPr>
        <w:t>.</w:t>
      </w:r>
      <w:r w:rsidR="00B25DBE" w:rsidRPr="00AF5FD5">
        <w:rPr>
          <w:i/>
        </w:rPr>
        <w:t>)</w:t>
      </w:r>
    </w:p>
    <w:bookmarkEnd w:id="82"/>
    <w:p w:rsidR="00B25DBE" w:rsidRPr="00AF5FD5" w:rsidRDefault="00B25DBE" w:rsidP="0012699C">
      <w:pPr>
        <w:pStyle w:val="H23G"/>
      </w:pPr>
      <w:r w:rsidRPr="00AF5FD5">
        <w:tab/>
      </w:r>
      <w:bookmarkStart w:id="83" w:name="_Toc528147026"/>
      <w:r w:rsidR="0012699C" w:rsidRPr="00AF5FD5">
        <w:t>3.</w:t>
      </w:r>
      <w:r w:rsidR="0012699C" w:rsidRPr="00AF5FD5">
        <w:tab/>
        <w:t>Annexe 1, appendice </w:t>
      </w:r>
      <w:r w:rsidRPr="00AF5FD5">
        <w:t xml:space="preserve">2, modèles </w:t>
      </w:r>
      <w:r w:rsidR="0012699C" w:rsidRPr="00AF5FD5">
        <w:rPr>
          <w:rFonts w:eastAsia="MS Mincho"/>
          <w:szCs w:val="22"/>
        </w:rPr>
        <w:t>n</w:t>
      </w:r>
      <w:r w:rsidR="0012699C" w:rsidRPr="00AF5FD5">
        <w:rPr>
          <w:rFonts w:eastAsia="MS Mincho"/>
          <w:szCs w:val="22"/>
          <w:vertAlign w:val="superscript"/>
        </w:rPr>
        <w:t>os</w:t>
      </w:r>
      <w:r w:rsidR="0012699C" w:rsidRPr="00AF5FD5">
        <w:t> 2A et </w:t>
      </w:r>
      <w:r w:rsidRPr="00AF5FD5">
        <w:t>2B</w:t>
      </w:r>
    </w:p>
    <w:p w:rsidR="00B25DBE" w:rsidRPr="00AF5FD5" w:rsidRDefault="0012699C" w:rsidP="00B71CF1">
      <w:pPr>
        <w:pStyle w:val="SingleTxtG"/>
      </w:pPr>
      <w:r w:rsidRPr="00AF5FD5">
        <w:t>Remplacer « </w:t>
      </w:r>
      <w:r w:rsidR="00B25DBE" w:rsidRPr="00AF5FD5">
        <w:t>Erreur maximale de mesure correspondant à l</w:t>
      </w:r>
      <w:r w:rsidR="00E84113" w:rsidRPr="00AF5FD5">
        <w:t>’</w:t>
      </w:r>
      <w:r w:rsidRPr="00AF5FD5">
        <w:t>essai effectué … </w:t>
      </w:r>
      <w:r w:rsidR="00B25DBE" w:rsidRPr="00AF5FD5">
        <w:t>% » par «</w:t>
      </w:r>
      <w:r w:rsidRPr="00AF5FD5">
        <w:t> </w:t>
      </w:r>
      <w:r w:rsidR="00B25DBE" w:rsidRPr="00AF5FD5">
        <w:t>Incertitude de mesure élargie correspondant à l</w:t>
      </w:r>
      <w:r w:rsidR="00E84113" w:rsidRPr="00AF5FD5">
        <w:t>’</w:t>
      </w:r>
      <w:r w:rsidR="00B25DBE" w:rsidRPr="00AF5FD5">
        <w:t>essai effectué ... % (facteur d</w:t>
      </w:r>
      <w:r w:rsidR="00E84113" w:rsidRPr="00AF5FD5">
        <w:t>’</w:t>
      </w:r>
      <w:r w:rsidRPr="00AF5FD5">
        <w:t>élargissement k = </w:t>
      </w:r>
      <w:r w:rsidR="00B25DBE" w:rsidRPr="00AF5FD5">
        <w:t>... po</w:t>
      </w:r>
      <w:r w:rsidRPr="00AF5FD5">
        <w:t>ur un niveau de confiance de... </w:t>
      </w:r>
      <w:r w:rsidR="00B25DBE" w:rsidRPr="00AF5FD5">
        <w:t>%)³ ».</w:t>
      </w:r>
    </w:p>
    <w:p w:rsidR="00B25DBE" w:rsidRPr="00AF5FD5" w:rsidRDefault="0012699C" w:rsidP="00B71CF1">
      <w:pPr>
        <w:pStyle w:val="SingleTxtG"/>
      </w:pPr>
      <w:r w:rsidRPr="00AF5FD5">
        <w:t>Modifier la note de bas de page 3 comme suit : « </w:t>
      </w:r>
      <w:r w:rsidR="00B25DBE" w:rsidRPr="00AF5FD5">
        <w:t>³</w:t>
      </w:r>
      <w:r w:rsidRPr="00AF5FD5">
        <w:t> </w:t>
      </w:r>
      <w:r w:rsidR="00B25DBE" w:rsidRPr="00AF5FD5">
        <w:t>Les dispositions actuelles concernant l</w:t>
      </w:r>
      <w:r w:rsidR="00E84113" w:rsidRPr="00AF5FD5">
        <w:t>’</w:t>
      </w:r>
      <w:r w:rsidR="00B25DBE" w:rsidRPr="00AF5FD5">
        <w:t>utilisation des mesures d</w:t>
      </w:r>
      <w:r w:rsidR="00E84113" w:rsidRPr="00AF5FD5">
        <w:t>’</w:t>
      </w:r>
      <w:r w:rsidR="00B25DBE" w:rsidRPr="00AF5FD5">
        <w:t>incertitude élargie au lieu de l</w:t>
      </w:r>
      <w:r w:rsidR="00E84113" w:rsidRPr="00AF5FD5">
        <w:t>’</w:t>
      </w:r>
      <w:r w:rsidR="00B25DBE" w:rsidRPr="00AF5FD5">
        <w:t>erreur maximale de mesure sont applicables aux essais effectués après le 1</w:t>
      </w:r>
      <w:r w:rsidR="00B25DBE" w:rsidRPr="00AF5FD5">
        <w:rPr>
          <w:vertAlign w:val="superscript"/>
        </w:rPr>
        <w:t>er</w:t>
      </w:r>
      <w:r w:rsidRPr="00AF5FD5">
        <w:rPr>
          <w:vertAlign w:val="superscript"/>
        </w:rPr>
        <w:t> </w:t>
      </w:r>
      <w:r w:rsidR="00B25DBE" w:rsidRPr="00AF5FD5">
        <w:t>janvier 2021 ».</w:t>
      </w:r>
    </w:p>
    <w:p w:rsidR="00B25DBE" w:rsidRPr="00AF5FD5" w:rsidRDefault="00B25DBE" w:rsidP="00B71CF1">
      <w:pPr>
        <w:pStyle w:val="SingleTxtG"/>
      </w:pPr>
      <w:r w:rsidRPr="00AF5FD5">
        <w:lastRenderedPageBreak/>
        <w:t>Renuméroter l</w:t>
      </w:r>
      <w:r w:rsidR="0012699C" w:rsidRPr="00AF5FD5">
        <w:t>a note de bas de page existante </w:t>
      </w:r>
      <w:r w:rsidRPr="00AF5FD5">
        <w:t>3 à 4.</w:t>
      </w:r>
    </w:p>
    <w:p w:rsidR="00B25DBE" w:rsidRPr="00AF5FD5" w:rsidRDefault="0012699C" w:rsidP="00B25DBE">
      <w:pPr>
        <w:pStyle w:val="SingleTxtG"/>
        <w:rPr>
          <w:i/>
        </w:rPr>
      </w:pPr>
      <w:r w:rsidRPr="00AF5FD5">
        <w:rPr>
          <w:i/>
        </w:rPr>
        <w:t>(Document de référence </w:t>
      </w:r>
      <w:r w:rsidR="00B25DBE" w:rsidRPr="00AF5FD5">
        <w:rPr>
          <w:i/>
        </w:rPr>
        <w:t>: ECE/TRANS/WP.11/2018/20, tel que modifié</w:t>
      </w:r>
      <w:r w:rsidR="009906A6" w:rsidRPr="00AF5FD5">
        <w:rPr>
          <w:i/>
        </w:rPr>
        <w:t>.</w:t>
      </w:r>
      <w:r w:rsidR="00B25DBE" w:rsidRPr="00AF5FD5">
        <w:rPr>
          <w:i/>
        </w:rPr>
        <w:t>)</w:t>
      </w:r>
    </w:p>
    <w:bookmarkEnd w:id="83"/>
    <w:p w:rsidR="00B25DBE" w:rsidRPr="00AF5FD5" w:rsidRDefault="00B25DBE" w:rsidP="0012699C">
      <w:pPr>
        <w:pStyle w:val="H1G"/>
      </w:pPr>
      <w:r w:rsidRPr="00AF5FD5">
        <w:tab/>
      </w:r>
      <w:r w:rsidRPr="00AF5FD5">
        <w:tab/>
      </w:r>
      <w:bookmarkStart w:id="84" w:name="_Toc528147027"/>
      <w:r w:rsidRPr="00AF5FD5">
        <w:t>Proposition d</w:t>
      </w:r>
      <w:r w:rsidR="00E84113" w:rsidRPr="00AF5FD5">
        <w:t>’</w:t>
      </w:r>
      <w:r w:rsidR="0012699C" w:rsidRPr="00AF5FD5">
        <w:t>amendement </w:t>
      </w:r>
      <w:r w:rsidRPr="00AF5FD5">
        <w:t>3</w:t>
      </w:r>
      <w:bookmarkEnd w:id="84"/>
    </w:p>
    <w:p w:rsidR="00B25DBE" w:rsidRPr="00AF5FD5" w:rsidRDefault="00B25DBE" w:rsidP="0012699C">
      <w:pPr>
        <w:pStyle w:val="H23G"/>
      </w:pPr>
      <w:r w:rsidRPr="00AF5FD5">
        <w:tab/>
      </w:r>
      <w:bookmarkStart w:id="85" w:name="_Toc528147028"/>
      <w:r w:rsidR="0012699C" w:rsidRPr="00AF5FD5">
        <w:t>4.</w:t>
      </w:r>
      <w:r w:rsidR="0012699C" w:rsidRPr="00AF5FD5">
        <w:tab/>
        <w:t>Annexe 1, appendice </w:t>
      </w:r>
      <w:r w:rsidRPr="00AF5FD5">
        <w:t xml:space="preserve">2, modèles </w:t>
      </w:r>
      <w:r w:rsidR="0012699C" w:rsidRPr="00AF5FD5">
        <w:rPr>
          <w:rFonts w:eastAsia="MS Mincho"/>
          <w:szCs w:val="22"/>
        </w:rPr>
        <w:t>n</w:t>
      </w:r>
      <w:r w:rsidR="0012699C" w:rsidRPr="00AF5FD5">
        <w:rPr>
          <w:rFonts w:eastAsia="MS Mincho"/>
          <w:szCs w:val="22"/>
          <w:vertAlign w:val="superscript"/>
        </w:rPr>
        <w:t>os </w:t>
      </w:r>
      <w:r w:rsidRPr="00AF5FD5">
        <w:t>2A et 2B</w:t>
      </w:r>
    </w:p>
    <w:p w:rsidR="00B25DBE" w:rsidRPr="00AF5FD5" w:rsidRDefault="00B25DBE" w:rsidP="00B71CF1">
      <w:pPr>
        <w:pStyle w:val="SingleTxtG"/>
      </w:pPr>
      <w:r w:rsidRPr="00AF5FD5">
        <w:t>Remplacer « Puissance absorb</w:t>
      </w:r>
      <w:r w:rsidR="0012699C" w:rsidRPr="00AF5FD5">
        <w:t>ée par les ventilateurs » par « </w:t>
      </w:r>
      <w:r w:rsidRPr="00AF5FD5">
        <w:t>Partie de la puissance absorbée par les ventilateurs qui pénètrent dans la caisse ».</w:t>
      </w:r>
    </w:p>
    <w:p w:rsidR="00B25DBE" w:rsidRPr="00AF5FD5" w:rsidRDefault="0012699C" w:rsidP="00B25DBE">
      <w:pPr>
        <w:pStyle w:val="SingleTxtG"/>
        <w:rPr>
          <w:i/>
        </w:rPr>
      </w:pPr>
      <w:r w:rsidRPr="00AF5FD5">
        <w:rPr>
          <w:i/>
        </w:rPr>
        <w:t>(Document de référence </w:t>
      </w:r>
      <w:r w:rsidR="00B25DBE" w:rsidRPr="00AF5FD5">
        <w:rPr>
          <w:i/>
        </w:rPr>
        <w:t>: ECE/TRANS/WP.11/2018/23, tel que modifié</w:t>
      </w:r>
      <w:r w:rsidR="009906A6" w:rsidRPr="00AF5FD5">
        <w:rPr>
          <w:i/>
        </w:rPr>
        <w:t>.</w:t>
      </w:r>
      <w:r w:rsidR="00B25DBE" w:rsidRPr="00AF5FD5">
        <w:rPr>
          <w:i/>
        </w:rPr>
        <w:t>)</w:t>
      </w:r>
    </w:p>
    <w:bookmarkEnd w:id="85"/>
    <w:p w:rsidR="00B25DBE" w:rsidRPr="00AF5FD5" w:rsidRDefault="00B25DBE" w:rsidP="0012699C">
      <w:pPr>
        <w:pStyle w:val="H1G"/>
      </w:pPr>
      <w:r w:rsidRPr="00AF5FD5">
        <w:tab/>
      </w:r>
      <w:r w:rsidRPr="00AF5FD5">
        <w:tab/>
      </w:r>
      <w:bookmarkStart w:id="86" w:name="_Toc528147029"/>
      <w:r w:rsidRPr="00AF5FD5">
        <w:t>Proposition d</w:t>
      </w:r>
      <w:r w:rsidR="00E84113" w:rsidRPr="00AF5FD5">
        <w:t>’</w:t>
      </w:r>
      <w:r w:rsidR="0012699C" w:rsidRPr="00AF5FD5">
        <w:t>amendement </w:t>
      </w:r>
      <w:r w:rsidRPr="00AF5FD5">
        <w:t>4</w:t>
      </w:r>
      <w:bookmarkEnd w:id="86"/>
    </w:p>
    <w:p w:rsidR="00B25DBE" w:rsidRPr="00AF5FD5" w:rsidRDefault="00B25DBE" w:rsidP="0012699C">
      <w:pPr>
        <w:pStyle w:val="H23G"/>
      </w:pPr>
      <w:r w:rsidRPr="00AF5FD5">
        <w:tab/>
      </w:r>
      <w:bookmarkStart w:id="87" w:name="_Toc528147030"/>
      <w:r w:rsidRPr="00AF5FD5">
        <w:t>5.</w:t>
      </w:r>
      <w:r w:rsidRPr="00AF5FD5">
        <w:tab/>
      </w:r>
      <w:r w:rsidR="0012699C" w:rsidRPr="00AF5FD5">
        <w:rPr>
          <w:lang w:val="fr-FR"/>
        </w:rPr>
        <w:t>Annexe 1, appendice </w:t>
      </w:r>
      <w:r w:rsidRPr="00AF5FD5">
        <w:rPr>
          <w:lang w:val="fr-FR"/>
        </w:rPr>
        <w:t>2, paragraphe 2.1.4</w:t>
      </w:r>
    </w:p>
    <w:p w:rsidR="00B25DBE" w:rsidRPr="00AF5FD5" w:rsidRDefault="00B25DBE" w:rsidP="00B71CF1">
      <w:pPr>
        <w:pStyle w:val="SingleTxtG"/>
        <w:rPr>
          <w:i/>
          <w:iCs/>
        </w:rPr>
      </w:pPr>
      <w:r w:rsidRPr="00AF5FD5">
        <w:rPr>
          <w:i/>
          <w:lang w:val="fr-FR"/>
        </w:rPr>
        <w:t>Cet amendement ne</w:t>
      </w:r>
      <w:r w:rsidRPr="00AF5FD5">
        <w:rPr>
          <w:lang w:val="fr-FR"/>
        </w:rPr>
        <w:t xml:space="preserve"> c</w:t>
      </w:r>
      <w:r w:rsidRPr="00AF5FD5">
        <w:rPr>
          <w:i/>
          <w:lang w:val="fr-FR"/>
        </w:rPr>
        <w:t>oncerne que les versions anglaise et russe de l</w:t>
      </w:r>
      <w:r w:rsidR="00E84113" w:rsidRPr="00AF5FD5">
        <w:rPr>
          <w:i/>
          <w:lang w:val="fr-FR"/>
        </w:rPr>
        <w:t>’</w:t>
      </w:r>
      <w:r w:rsidRPr="00AF5FD5">
        <w:rPr>
          <w:i/>
          <w:lang w:val="fr-FR"/>
        </w:rPr>
        <w:t>ATP</w:t>
      </w:r>
      <w:r w:rsidR="0012699C" w:rsidRPr="00AF5FD5">
        <w:rPr>
          <w:lang w:val="fr-FR"/>
        </w:rPr>
        <w:t>.</w:t>
      </w:r>
    </w:p>
    <w:p w:rsidR="00B25DBE" w:rsidRPr="00AF5FD5" w:rsidRDefault="0012699C" w:rsidP="00B71CF1">
      <w:pPr>
        <w:pStyle w:val="SingleTxtG"/>
      </w:pPr>
      <w:r w:rsidRPr="00AF5FD5">
        <w:t>Supprimer « , to within ±0,5 </w:t>
      </w:r>
      <w:r w:rsidR="00B25DBE" w:rsidRPr="00AF5FD5">
        <w:t>K ».</w:t>
      </w:r>
    </w:p>
    <w:p w:rsidR="00B25DBE" w:rsidRPr="00AF5FD5" w:rsidRDefault="00B25DBE" w:rsidP="00B25DBE">
      <w:pPr>
        <w:pStyle w:val="SingleTxtG"/>
        <w:rPr>
          <w:i/>
        </w:rPr>
      </w:pPr>
      <w:r w:rsidRPr="00AF5FD5">
        <w:rPr>
          <w:lang w:val="fr-FR"/>
        </w:rPr>
        <w:t>(</w:t>
      </w:r>
      <w:r w:rsidRPr="00AF5FD5">
        <w:rPr>
          <w:i/>
          <w:lang w:val="fr-FR"/>
        </w:rPr>
        <w:t>Document de référence : ECE/TRANS/WP.11/2018/16</w:t>
      </w:r>
      <w:r w:rsidR="009906A6" w:rsidRPr="00AF5FD5">
        <w:rPr>
          <w:i/>
          <w:lang w:val="fr-FR"/>
        </w:rPr>
        <w:t>.</w:t>
      </w:r>
      <w:r w:rsidRPr="00AF5FD5">
        <w:rPr>
          <w:lang w:val="fr-FR"/>
        </w:rPr>
        <w:t>)</w:t>
      </w:r>
    </w:p>
    <w:bookmarkEnd w:id="87"/>
    <w:p w:rsidR="00B25DBE" w:rsidRPr="00AF5FD5" w:rsidRDefault="00B25DBE" w:rsidP="0012699C">
      <w:pPr>
        <w:pStyle w:val="H1G"/>
      </w:pPr>
      <w:r w:rsidRPr="00AF5FD5">
        <w:tab/>
      </w:r>
      <w:r w:rsidRPr="00AF5FD5">
        <w:tab/>
      </w:r>
      <w:bookmarkStart w:id="88" w:name="_Toc528147031"/>
      <w:r w:rsidRPr="00AF5FD5">
        <w:t>Proposition d</w:t>
      </w:r>
      <w:r w:rsidR="00E84113" w:rsidRPr="00AF5FD5">
        <w:t>’</w:t>
      </w:r>
      <w:r w:rsidRPr="00AF5FD5">
        <w:t>amendement 5</w:t>
      </w:r>
      <w:bookmarkEnd w:id="88"/>
    </w:p>
    <w:p w:rsidR="00B25DBE" w:rsidRPr="00AF5FD5" w:rsidRDefault="00B25DBE" w:rsidP="0012699C">
      <w:pPr>
        <w:pStyle w:val="H23G"/>
      </w:pPr>
      <w:r w:rsidRPr="00AF5FD5">
        <w:tab/>
      </w:r>
      <w:bookmarkStart w:id="89" w:name="_Toc528147032"/>
      <w:r w:rsidRPr="00AF5FD5">
        <w:t>6.</w:t>
      </w:r>
      <w:r w:rsidRPr="00AF5FD5">
        <w:tab/>
      </w:r>
      <w:r w:rsidR="0012699C" w:rsidRPr="00AF5FD5">
        <w:rPr>
          <w:lang w:val="fr-FR"/>
        </w:rPr>
        <w:t>Annexe 1, appendice </w:t>
      </w:r>
      <w:r w:rsidRPr="00AF5FD5">
        <w:rPr>
          <w:lang w:val="fr-FR"/>
        </w:rPr>
        <w:t>2, paragraphe</w:t>
      </w:r>
      <w:r w:rsidR="0012699C" w:rsidRPr="00AF5FD5">
        <w:rPr>
          <w:lang w:val="fr-FR"/>
        </w:rPr>
        <w:t> </w:t>
      </w:r>
      <w:r w:rsidRPr="00AF5FD5">
        <w:rPr>
          <w:lang w:val="fr-FR"/>
        </w:rPr>
        <w:t>3.4.3</w:t>
      </w:r>
    </w:p>
    <w:p w:rsidR="00B25DBE" w:rsidRPr="00AF5FD5" w:rsidRDefault="00B25DBE" w:rsidP="00B71CF1">
      <w:pPr>
        <w:pStyle w:val="SingleTxtG"/>
      </w:pPr>
      <w:r w:rsidRPr="00AF5FD5">
        <w:t>Renuméroter le texte existant en tant qu</w:t>
      </w:r>
      <w:r w:rsidR="00E84113" w:rsidRPr="00AF5FD5">
        <w:t>’</w:t>
      </w:r>
      <w:r w:rsidR="0012699C" w:rsidRPr="00AF5FD5">
        <w:t>alinéa </w:t>
      </w:r>
      <w:r w:rsidRPr="00AF5FD5">
        <w:t xml:space="preserve">b) </w:t>
      </w:r>
      <w:r w:rsidR="0012699C" w:rsidRPr="00AF5FD5">
        <w:t>et modifier le début comme suit :</w:t>
      </w:r>
      <w:r w:rsidRPr="00AF5FD5">
        <w:t xml:space="preserve"> </w:t>
      </w:r>
      <w:r w:rsidR="0012699C" w:rsidRPr="00AF5FD5">
        <w:t>« </w:t>
      </w:r>
      <w:r w:rsidRPr="00AF5FD5">
        <w:t>Lorsque la mesure est effectuée sur l</w:t>
      </w:r>
      <w:r w:rsidR="00E84113" w:rsidRPr="00AF5FD5">
        <w:t>’</w:t>
      </w:r>
      <w:r w:rsidRPr="00AF5FD5">
        <w:t>engin,</w:t>
      </w:r>
      <w:r w:rsidR="0012699C" w:rsidRPr="00AF5FD5">
        <w:t xml:space="preserve"> les principales dispositions… »</w:t>
      </w:r>
      <w:r w:rsidRPr="00AF5FD5">
        <w:t xml:space="preserve"> Le reste demeure inchangé.</w:t>
      </w:r>
    </w:p>
    <w:p w:rsidR="00B25DBE" w:rsidRPr="00AF5FD5" w:rsidRDefault="00B25DBE" w:rsidP="00B71CF1">
      <w:pPr>
        <w:pStyle w:val="SingleTxtG"/>
      </w:pPr>
      <w:r w:rsidRPr="00AF5FD5">
        <w:rPr>
          <w:lang w:val="fr-FR"/>
        </w:rPr>
        <w:t>Ajouter au début du paragraphe un nouvel alinéa a) ainsi conçu :</w:t>
      </w:r>
    </w:p>
    <w:p w:rsidR="00B25DBE" w:rsidRPr="00AF5FD5" w:rsidRDefault="00B25DBE" w:rsidP="0012699C">
      <w:pPr>
        <w:pStyle w:val="SingleTxtG"/>
        <w:ind w:firstLine="567"/>
      </w:pPr>
      <w:r w:rsidRPr="00AF5FD5">
        <w:rPr>
          <w:lang w:val="fr-FR"/>
        </w:rPr>
        <w:t>« a)</w:t>
      </w:r>
      <w:r w:rsidRPr="00AF5FD5">
        <w:rPr>
          <w:lang w:val="fr-FR"/>
        </w:rPr>
        <w:tab/>
        <w:t>La procédure générale pour mesurer la puissance frigorifique utile des dispositifs frig</w:t>
      </w:r>
      <w:r w:rsidR="0012699C" w:rsidRPr="00AF5FD5">
        <w:rPr>
          <w:lang w:val="fr-FR"/>
        </w:rPr>
        <w:t>orifiques visés aux paragraphes </w:t>
      </w:r>
      <w:r w:rsidRPr="00AF5FD5">
        <w:rPr>
          <w:lang w:val="fr-FR"/>
        </w:rPr>
        <w:t>4.1 et 4.2 doit être appliquée après avoir été adaptée de manière à pouvoir être utilisée pour mesurer la puissance de chauffage des dispositifs calorifiques utilisant un caisson calorimétrique.</w:t>
      </w:r>
    </w:p>
    <w:p w:rsidR="00B25DBE" w:rsidRPr="00AF5FD5" w:rsidRDefault="00B25DBE" w:rsidP="0012699C">
      <w:pPr>
        <w:pStyle w:val="SingleTxtG"/>
        <w:ind w:firstLine="567"/>
      </w:pPr>
      <w:r w:rsidRPr="00AF5FD5">
        <w:rPr>
          <w:lang w:val="fr-FR"/>
        </w:rPr>
        <w:t>La température à l</w:t>
      </w:r>
      <w:r w:rsidR="00E84113" w:rsidRPr="00AF5FD5">
        <w:rPr>
          <w:lang w:val="fr-FR"/>
        </w:rPr>
        <w:t>’</w:t>
      </w:r>
      <w:r w:rsidRPr="00AF5FD5">
        <w:rPr>
          <w:lang w:val="fr-FR"/>
        </w:rPr>
        <w:t>entrée d</w:t>
      </w:r>
      <w:r w:rsidR="00E84113" w:rsidRPr="00AF5FD5">
        <w:rPr>
          <w:lang w:val="fr-FR"/>
        </w:rPr>
        <w:t>’</w:t>
      </w:r>
      <w:r w:rsidRPr="00AF5FD5">
        <w:rPr>
          <w:lang w:val="fr-FR"/>
        </w:rPr>
        <w:t>air du dispositif thermique ou à l</w:t>
      </w:r>
      <w:r w:rsidR="00E84113" w:rsidRPr="00AF5FD5">
        <w:rPr>
          <w:lang w:val="fr-FR"/>
        </w:rPr>
        <w:t>’</w:t>
      </w:r>
      <w:r w:rsidRPr="00AF5FD5">
        <w:rPr>
          <w:lang w:val="fr-FR"/>
        </w:rPr>
        <w:t>entrée d</w:t>
      </w:r>
      <w:r w:rsidR="00E84113" w:rsidRPr="00AF5FD5">
        <w:rPr>
          <w:lang w:val="fr-FR"/>
        </w:rPr>
        <w:t>’</w:t>
      </w:r>
      <w:r w:rsidRPr="00AF5FD5">
        <w:rPr>
          <w:lang w:val="fr-FR"/>
        </w:rPr>
        <w:t>air de l</w:t>
      </w:r>
      <w:r w:rsidR="00E84113" w:rsidRPr="00AF5FD5">
        <w:rPr>
          <w:lang w:val="fr-FR"/>
        </w:rPr>
        <w:t>’</w:t>
      </w:r>
      <w:r w:rsidRPr="00AF5FD5">
        <w:rPr>
          <w:lang w:val="fr-FR"/>
        </w:rPr>
        <w:t>évaporateur à l</w:t>
      </w:r>
      <w:r w:rsidR="00E84113" w:rsidRPr="00AF5FD5">
        <w:rPr>
          <w:lang w:val="fr-FR"/>
        </w:rPr>
        <w:t>’</w:t>
      </w:r>
      <w:r w:rsidRPr="00AF5FD5">
        <w:rPr>
          <w:lang w:val="fr-FR"/>
        </w:rPr>
        <w:t>intérieur du caisson calorimétrique doit être de +12 °C.</w:t>
      </w:r>
    </w:p>
    <w:p w:rsidR="00B25DBE" w:rsidRPr="00AF5FD5" w:rsidRDefault="00B25DBE" w:rsidP="0012699C">
      <w:pPr>
        <w:pStyle w:val="SingleTxtG"/>
        <w:ind w:firstLine="567"/>
      </w:pPr>
      <w:r w:rsidRPr="00AF5FD5">
        <w:rPr>
          <w:lang w:val="fr-FR"/>
        </w:rPr>
        <w:t xml:space="preserve">Pour la mesure des puissances de chauffage utiles des classes A, E et I, un essai doit être réalisé à une température extérieure moyenne (Te) de -10 °C. </w:t>
      </w:r>
    </w:p>
    <w:p w:rsidR="00B25DBE" w:rsidRPr="00AF5FD5" w:rsidRDefault="00B25DBE" w:rsidP="0012699C">
      <w:pPr>
        <w:pStyle w:val="SingleTxtG"/>
        <w:ind w:firstLine="567"/>
      </w:pPr>
      <w:r w:rsidRPr="00AF5FD5">
        <w:rPr>
          <w:lang w:val="fr-FR"/>
        </w:rPr>
        <w:t>Pour la mesure des puissances de chauffage utiles des classes B, F et J, des essais doivent être réalisés à deux températures extérieures moyennes (Te) : l</w:t>
      </w:r>
      <w:r w:rsidR="00E84113" w:rsidRPr="00AF5FD5">
        <w:rPr>
          <w:lang w:val="fr-FR"/>
        </w:rPr>
        <w:t>’</w:t>
      </w:r>
      <w:r w:rsidRPr="00AF5FD5">
        <w:rPr>
          <w:lang w:val="fr-FR"/>
        </w:rPr>
        <w:t>un à -10 °C et l</w:t>
      </w:r>
      <w:r w:rsidR="00E84113" w:rsidRPr="00AF5FD5">
        <w:rPr>
          <w:lang w:val="fr-FR"/>
        </w:rPr>
        <w:t>’</w:t>
      </w:r>
      <w:r w:rsidRPr="00AF5FD5">
        <w:rPr>
          <w:lang w:val="fr-FR"/>
        </w:rPr>
        <w:t xml:space="preserve">autre à -20 °C. </w:t>
      </w:r>
    </w:p>
    <w:p w:rsidR="00B25DBE" w:rsidRPr="00AF5FD5" w:rsidRDefault="00B25DBE" w:rsidP="0012699C">
      <w:pPr>
        <w:pStyle w:val="SingleTxtG"/>
        <w:ind w:firstLine="567"/>
        <w:rPr>
          <w:lang w:val="fr-FR"/>
        </w:rPr>
      </w:pPr>
      <w:r w:rsidRPr="00AF5FD5">
        <w:rPr>
          <w:lang w:val="fr-FR"/>
        </w:rPr>
        <w:t xml:space="preserve">Pour la mesure des puissances de chauffage utiles des classes C, D, G, H, K ou L, trois essais doivent être réalisés : le premier à une température extérieure moyenne (Te) de </w:t>
      </w:r>
      <w:r w:rsidR="0012699C" w:rsidRPr="00AF5FD5">
        <w:rPr>
          <w:lang w:val="fr-FR"/>
        </w:rPr>
        <w:noBreakHyphen/>
      </w:r>
      <w:r w:rsidRPr="00AF5FD5">
        <w:rPr>
          <w:lang w:val="fr-FR"/>
        </w:rPr>
        <w:t>10 °C, le deuxième à la température extérieure minimale requise par la classe et le troisième à une température extérieure intermédiaire pour permettre une interpolation des puissances de chauffage utiles pour d</w:t>
      </w:r>
      <w:r w:rsidR="00E84113" w:rsidRPr="00AF5FD5">
        <w:rPr>
          <w:lang w:val="fr-FR"/>
        </w:rPr>
        <w:t>’</w:t>
      </w:r>
      <w:r w:rsidRPr="00AF5FD5">
        <w:rPr>
          <w:lang w:val="fr-FR"/>
        </w:rPr>
        <w:t>autres températures comprises entre deux classes.</w:t>
      </w:r>
    </w:p>
    <w:p w:rsidR="00B25DBE" w:rsidRPr="00AF5FD5" w:rsidRDefault="00B25DBE" w:rsidP="0012699C">
      <w:pPr>
        <w:pStyle w:val="SingleTxtG"/>
        <w:ind w:firstLine="567"/>
      </w:pPr>
      <w:r w:rsidRPr="00AF5FD5">
        <w:t>Pour les systèmes de chauffage purement électriques, au moins un essai doit être effectué pour mesurer les puissances de chauffage utiles des classes A, B, C, D, E, F, G, H, I, J, K ou L. Cet essai doit être effectué à une température de +12 °C à l</w:t>
      </w:r>
      <w:r w:rsidR="00E84113" w:rsidRPr="00AF5FD5">
        <w:t>’</w:t>
      </w:r>
      <w:r w:rsidRPr="00AF5FD5">
        <w:t>entrée d</w:t>
      </w:r>
      <w:r w:rsidR="00E84113" w:rsidRPr="00AF5FD5">
        <w:t>’</w:t>
      </w:r>
      <w:r w:rsidRPr="00AF5FD5">
        <w:t>air de l</w:t>
      </w:r>
      <w:r w:rsidR="00E84113" w:rsidRPr="00AF5FD5">
        <w:t>’</w:t>
      </w:r>
      <w:r w:rsidRPr="00AF5FD5">
        <w:t xml:space="preserve">évaporateur et à la température extérieure minimale requise par la classe. </w:t>
      </w:r>
    </w:p>
    <w:p w:rsidR="00B25DBE" w:rsidRPr="00AF5FD5" w:rsidRDefault="00B25DBE" w:rsidP="0012699C">
      <w:pPr>
        <w:pStyle w:val="SingleTxtG"/>
        <w:ind w:left="2268" w:hanging="567"/>
      </w:pPr>
      <w:r w:rsidRPr="00AF5FD5">
        <w:t>i)</w:t>
      </w:r>
      <w:r w:rsidRPr="00AF5FD5">
        <w:tab/>
        <w:t>Si la mesure de la puissance de chauffage utile est effectuée à la température extérieure la plus basse requise par la classe, aucun autre essai n</w:t>
      </w:r>
      <w:r w:rsidR="00E84113" w:rsidRPr="00AF5FD5">
        <w:t>’</w:t>
      </w:r>
      <w:r w:rsidRPr="00AF5FD5">
        <w:t>est requis.</w:t>
      </w:r>
    </w:p>
    <w:p w:rsidR="00B25DBE" w:rsidRPr="00AF5FD5" w:rsidRDefault="00B25DBE" w:rsidP="0012699C">
      <w:pPr>
        <w:pStyle w:val="SingleTxtG"/>
        <w:ind w:left="2268" w:hanging="567"/>
      </w:pPr>
      <w:r w:rsidRPr="00AF5FD5">
        <w:t>ii)</w:t>
      </w:r>
      <w:r w:rsidRPr="00AF5FD5">
        <w:tab/>
        <w:t>Si la mesure de la puissance de chauffage utile n</w:t>
      </w:r>
      <w:r w:rsidR="00E84113" w:rsidRPr="00AF5FD5">
        <w:t>’</w:t>
      </w:r>
      <w:r w:rsidRPr="00AF5FD5">
        <w:t xml:space="preserve">est pas effectuée à la température extérieure la plus basse requise par la classe, un essai fonctionnel supplémentaire du dispositif de chauffage doit être effectué. Cet essai </w:t>
      </w:r>
      <w:r w:rsidRPr="00AF5FD5">
        <w:lastRenderedPageBreak/>
        <w:t>fonctionnel doit être effectué à la température minimale requise par la classe (par exemple, -40 °C pour la classe L) pour vérifier que le dispositif calorifique et son système de transmission démarrent et fonctionnent correctement à la temp</w:t>
      </w:r>
      <w:r w:rsidR="0012699C" w:rsidRPr="00AF5FD5">
        <w:t>érature la plus basse. »</w:t>
      </w:r>
    </w:p>
    <w:p w:rsidR="00B25DBE" w:rsidRPr="00AF5FD5" w:rsidRDefault="0012699C" w:rsidP="00B25DBE">
      <w:pPr>
        <w:pStyle w:val="SingleTxtG"/>
        <w:rPr>
          <w:i/>
        </w:rPr>
      </w:pPr>
      <w:r w:rsidRPr="00AF5FD5">
        <w:rPr>
          <w:i/>
        </w:rPr>
        <w:t>(Documents de référence </w:t>
      </w:r>
      <w:r w:rsidR="00B25DBE" w:rsidRPr="00AF5FD5">
        <w:rPr>
          <w:i/>
        </w:rPr>
        <w:t>: ECE/TRANS/WP.11/2018/11 et Corr.1</w:t>
      </w:r>
      <w:r w:rsidR="009906A6" w:rsidRPr="00AF5FD5">
        <w:rPr>
          <w:i/>
        </w:rPr>
        <w:t>.</w:t>
      </w:r>
      <w:r w:rsidR="00B25DBE" w:rsidRPr="00AF5FD5">
        <w:rPr>
          <w:i/>
        </w:rPr>
        <w:t>)</w:t>
      </w:r>
    </w:p>
    <w:bookmarkEnd w:id="89"/>
    <w:p w:rsidR="00B25DBE" w:rsidRPr="00AF5FD5" w:rsidRDefault="00B25DBE" w:rsidP="0012699C">
      <w:pPr>
        <w:pStyle w:val="H1G"/>
      </w:pPr>
      <w:r w:rsidRPr="00AF5FD5">
        <w:tab/>
      </w:r>
      <w:r w:rsidRPr="00AF5FD5">
        <w:tab/>
      </w:r>
      <w:bookmarkStart w:id="90" w:name="_Toc528147033"/>
      <w:r w:rsidRPr="00AF5FD5">
        <w:t>Proposition d</w:t>
      </w:r>
      <w:r w:rsidR="00E84113" w:rsidRPr="00AF5FD5">
        <w:t>’</w:t>
      </w:r>
      <w:r w:rsidR="0012699C" w:rsidRPr="00AF5FD5">
        <w:t>amendement </w:t>
      </w:r>
      <w:r w:rsidRPr="00AF5FD5">
        <w:t>6</w:t>
      </w:r>
      <w:bookmarkEnd w:id="90"/>
    </w:p>
    <w:p w:rsidR="00B25DBE" w:rsidRPr="00AF5FD5" w:rsidRDefault="00B25DBE" w:rsidP="0012699C">
      <w:pPr>
        <w:pStyle w:val="H23G"/>
      </w:pPr>
      <w:r w:rsidRPr="00AF5FD5">
        <w:tab/>
      </w:r>
      <w:bookmarkStart w:id="91" w:name="_Toc528147034"/>
      <w:r w:rsidRPr="00AF5FD5">
        <w:t>7.</w:t>
      </w:r>
      <w:r w:rsidRPr="00AF5FD5">
        <w:tab/>
      </w:r>
      <w:r w:rsidR="0012699C" w:rsidRPr="00AF5FD5">
        <w:rPr>
          <w:lang w:val="fr-FR"/>
        </w:rPr>
        <w:t>Annexe 1, appendice 2, paragraphe </w:t>
      </w:r>
      <w:r w:rsidRPr="00AF5FD5">
        <w:rPr>
          <w:lang w:val="fr-FR"/>
        </w:rPr>
        <w:t>4.2.1</w:t>
      </w:r>
    </w:p>
    <w:p w:rsidR="00B25DBE" w:rsidRPr="00AF5FD5" w:rsidRDefault="00B25DBE" w:rsidP="00B71CF1">
      <w:pPr>
        <w:pStyle w:val="SingleTxtG"/>
      </w:pPr>
      <w:r w:rsidRPr="00AF5FD5">
        <w:t>Dans l</w:t>
      </w:r>
      <w:r w:rsidR="00E84113" w:rsidRPr="00AF5FD5">
        <w:t>’</w:t>
      </w:r>
      <w:r w:rsidRPr="00AF5FD5">
        <w:t>avant-dernier paragraphe, remplacer « du flux thermique total » par « de la puissance frigorifique utile ».</w:t>
      </w:r>
    </w:p>
    <w:p w:rsidR="00B25DBE" w:rsidRPr="00AF5FD5" w:rsidRDefault="00B25DBE" w:rsidP="00B71CF1">
      <w:pPr>
        <w:pStyle w:val="SingleTxtG"/>
      </w:pPr>
      <w:r w:rsidRPr="00AF5FD5">
        <w:t>Dans le dernier paragraphe, remplacer « isotherme renforcé » par « isotherme normal au minimum ».</w:t>
      </w:r>
    </w:p>
    <w:p w:rsidR="00B25DBE" w:rsidRPr="00AF5FD5" w:rsidRDefault="00B25DBE" w:rsidP="00B25DBE">
      <w:pPr>
        <w:pStyle w:val="SingleTxtG"/>
        <w:rPr>
          <w:i/>
        </w:rPr>
      </w:pPr>
      <w:r w:rsidRPr="00AF5FD5">
        <w:rPr>
          <w:lang w:val="fr-FR"/>
        </w:rPr>
        <w:t>(</w:t>
      </w:r>
      <w:r w:rsidRPr="00AF5FD5">
        <w:rPr>
          <w:i/>
          <w:lang w:val="fr-FR"/>
        </w:rPr>
        <w:t>Document de référence : ECE/TRANS/WP.11/2018/14</w:t>
      </w:r>
      <w:r w:rsidRPr="00AF5FD5">
        <w:t xml:space="preserve"> </w:t>
      </w:r>
      <w:r w:rsidRPr="00AF5FD5">
        <w:rPr>
          <w:i/>
          <w:lang w:val="fr-FR"/>
        </w:rPr>
        <w:t>tel que modifié</w:t>
      </w:r>
      <w:r w:rsidR="009906A6" w:rsidRPr="00AF5FD5">
        <w:rPr>
          <w:i/>
          <w:lang w:val="fr-FR"/>
        </w:rPr>
        <w:t>.</w:t>
      </w:r>
      <w:r w:rsidRPr="00AF5FD5">
        <w:rPr>
          <w:lang w:val="fr-FR"/>
        </w:rPr>
        <w:t>)</w:t>
      </w:r>
    </w:p>
    <w:bookmarkEnd w:id="91"/>
    <w:p w:rsidR="00B25DBE" w:rsidRPr="00AF5FD5" w:rsidRDefault="00B25DBE" w:rsidP="0012699C">
      <w:pPr>
        <w:pStyle w:val="H1G"/>
      </w:pPr>
      <w:r w:rsidRPr="00AF5FD5">
        <w:tab/>
      </w:r>
      <w:r w:rsidRPr="00AF5FD5">
        <w:tab/>
      </w:r>
      <w:bookmarkStart w:id="92" w:name="_Toc528147035"/>
      <w:r w:rsidRPr="00AF5FD5">
        <w:t>Proposition d</w:t>
      </w:r>
      <w:r w:rsidR="00E84113" w:rsidRPr="00AF5FD5">
        <w:t>’</w:t>
      </w:r>
      <w:r w:rsidR="0012699C" w:rsidRPr="00AF5FD5">
        <w:t>amendement </w:t>
      </w:r>
      <w:r w:rsidRPr="00AF5FD5">
        <w:t>7</w:t>
      </w:r>
      <w:bookmarkEnd w:id="92"/>
    </w:p>
    <w:p w:rsidR="00B25DBE" w:rsidRPr="00AF5FD5" w:rsidRDefault="00B25DBE" w:rsidP="0012699C">
      <w:pPr>
        <w:pStyle w:val="H23G"/>
      </w:pPr>
      <w:r w:rsidRPr="00AF5FD5">
        <w:tab/>
      </w:r>
      <w:bookmarkStart w:id="93" w:name="_Toc528147036"/>
      <w:r w:rsidRPr="00AF5FD5">
        <w:t>8.</w:t>
      </w:r>
      <w:r w:rsidRPr="00AF5FD5">
        <w:tab/>
      </w:r>
      <w:r w:rsidRPr="00AF5FD5">
        <w:rPr>
          <w:lang w:val="fr-FR"/>
        </w:rPr>
        <w:t>An</w:t>
      </w:r>
      <w:r w:rsidR="0012699C" w:rsidRPr="00AF5FD5">
        <w:rPr>
          <w:lang w:val="fr-FR"/>
        </w:rPr>
        <w:t>nexe 1, appendice 2, paragraphe </w:t>
      </w:r>
      <w:r w:rsidRPr="00AF5FD5">
        <w:rPr>
          <w:lang w:val="fr-FR"/>
        </w:rPr>
        <w:t>4.3.4</w:t>
      </w:r>
    </w:p>
    <w:p w:rsidR="00B25DBE" w:rsidRPr="00AF5FD5" w:rsidRDefault="00543C14" w:rsidP="00B71CF1">
      <w:pPr>
        <w:pStyle w:val="SingleTxtG"/>
      </w:pPr>
      <w:r>
        <w:t>Remplacer « ISO 5801:</w:t>
      </w:r>
      <w:r w:rsidR="00B25DBE" w:rsidRPr="00AF5FD5">
        <w:t>2008, AMCA 210-99 e</w:t>
      </w:r>
      <w:r>
        <w:t>t AMCA 210-07 » par « ISO 5801:</w:t>
      </w:r>
      <w:r w:rsidR="00B25DBE" w:rsidRPr="00AF5FD5">
        <w:t>2017 et AMCA 210-16 ».</w:t>
      </w:r>
    </w:p>
    <w:p w:rsidR="00B25DBE" w:rsidRPr="00AF5FD5" w:rsidRDefault="00B25DBE" w:rsidP="00B25DBE">
      <w:pPr>
        <w:pStyle w:val="SingleTxtG"/>
        <w:rPr>
          <w:i/>
        </w:rPr>
      </w:pPr>
      <w:r w:rsidRPr="00AF5FD5">
        <w:rPr>
          <w:lang w:val="fr-FR"/>
        </w:rPr>
        <w:t>(</w:t>
      </w:r>
      <w:r w:rsidRPr="00AF5FD5">
        <w:rPr>
          <w:i/>
          <w:lang w:val="fr-FR"/>
        </w:rPr>
        <w:t>Document de référence : ECE/TRANS/WP.11/2018/12</w:t>
      </w:r>
      <w:r w:rsidR="009906A6" w:rsidRPr="00AF5FD5">
        <w:rPr>
          <w:i/>
          <w:lang w:val="fr-FR"/>
        </w:rPr>
        <w:t>.</w:t>
      </w:r>
      <w:r w:rsidRPr="00AF5FD5">
        <w:rPr>
          <w:lang w:val="fr-FR"/>
        </w:rPr>
        <w:t>)</w:t>
      </w:r>
    </w:p>
    <w:bookmarkEnd w:id="93"/>
    <w:p w:rsidR="00B25DBE" w:rsidRPr="00AF5FD5" w:rsidRDefault="00B25DBE" w:rsidP="0012699C">
      <w:pPr>
        <w:pStyle w:val="H1G"/>
      </w:pPr>
      <w:r w:rsidRPr="00AF5FD5">
        <w:tab/>
      </w:r>
      <w:r w:rsidRPr="00AF5FD5">
        <w:tab/>
      </w:r>
      <w:bookmarkStart w:id="94" w:name="_Toc528147037"/>
      <w:r w:rsidRPr="00AF5FD5">
        <w:t>Proposition d</w:t>
      </w:r>
      <w:r w:rsidR="00E84113" w:rsidRPr="00AF5FD5">
        <w:t>’</w:t>
      </w:r>
      <w:r w:rsidR="0012699C" w:rsidRPr="00AF5FD5">
        <w:t>amendement </w:t>
      </w:r>
      <w:r w:rsidRPr="00AF5FD5">
        <w:t>8</w:t>
      </w:r>
      <w:bookmarkEnd w:id="94"/>
    </w:p>
    <w:p w:rsidR="00B25DBE" w:rsidRPr="00AF5FD5" w:rsidRDefault="00B25DBE" w:rsidP="0012699C">
      <w:pPr>
        <w:pStyle w:val="H23G"/>
      </w:pPr>
      <w:r w:rsidRPr="00AF5FD5">
        <w:tab/>
      </w:r>
      <w:bookmarkStart w:id="95" w:name="_Toc528147038"/>
      <w:r w:rsidRPr="00AF5FD5">
        <w:t>9.</w:t>
      </w:r>
      <w:r w:rsidRPr="00AF5FD5">
        <w:tab/>
      </w:r>
      <w:r w:rsidRPr="00AF5FD5">
        <w:rPr>
          <w:lang w:val="fr-FR"/>
        </w:rPr>
        <w:t xml:space="preserve">Annexe 1, appendice 2, modèles </w:t>
      </w:r>
      <w:r w:rsidR="0012699C" w:rsidRPr="00AF5FD5">
        <w:rPr>
          <w:rFonts w:eastAsia="MS Mincho"/>
          <w:szCs w:val="22"/>
          <w:lang w:val="fr-FR"/>
        </w:rPr>
        <w:t>n</w:t>
      </w:r>
      <w:r w:rsidR="0012699C" w:rsidRPr="00AF5FD5">
        <w:rPr>
          <w:rFonts w:eastAsia="MS Mincho"/>
          <w:szCs w:val="22"/>
          <w:vertAlign w:val="superscript"/>
          <w:lang w:val="fr-FR"/>
        </w:rPr>
        <w:t>os</w:t>
      </w:r>
      <w:r w:rsidR="0012699C" w:rsidRPr="00AF5FD5">
        <w:rPr>
          <w:lang w:val="fr-FR"/>
        </w:rPr>
        <w:t> 5 et </w:t>
      </w:r>
      <w:r w:rsidRPr="00AF5FD5">
        <w:rPr>
          <w:lang w:val="fr-FR"/>
        </w:rPr>
        <w:t>7</w:t>
      </w:r>
    </w:p>
    <w:p w:rsidR="00B25DBE" w:rsidRPr="00AF5FD5" w:rsidRDefault="00B25DBE" w:rsidP="00B71CF1">
      <w:pPr>
        <w:pStyle w:val="SingleTxtG"/>
      </w:pPr>
      <w:r w:rsidRPr="00AF5FD5">
        <w:t>Dans la partie « Compresseur », à la rubrique « Mode d</w:t>
      </w:r>
      <w:r w:rsidR="00E84113" w:rsidRPr="00AF5FD5">
        <w:t>’</w:t>
      </w:r>
      <w:r w:rsidRPr="00AF5FD5">
        <w:t>entraînement », ajouter « /autre » après « hydraulique ».</w:t>
      </w:r>
    </w:p>
    <w:p w:rsidR="00B25DBE" w:rsidRPr="00AF5FD5" w:rsidRDefault="00B25DBE" w:rsidP="00B25DBE">
      <w:pPr>
        <w:pStyle w:val="SingleTxtG"/>
        <w:rPr>
          <w:i/>
        </w:rPr>
      </w:pPr>
      <w:r w:rsidRPr="00AF5FD5">
        <w:rPr>
          <w:lang w:val="fr-FR"/>
        </w:rPr>
        <w:t>(</w:t>
      </w:r>
      <w:r w:rsidRPr="00AF5FD5">
        <w:rPr>
          <w:i/>
          <w:lang w:val="fr-FR"/>
        </w:rPr>
        <w:t>Document de référence : ECE/TRANS/WP.11/2018/18 tel que modifié</w:t>
      </w:r>
      <w:r w:rsidR="009906A6" w:rsidRPr="00AF5FD5">
        <w:rPr>
          <w:i/>
          <w:lang w:val="fr-FR"/>
        </w:rPr>
        <w:t>.</w:t>
      </w:r>
      <w:r w:rsidRPr="00AF5FD5">
        <w:rPr>
          <w:lang w:val="fr-FR"/>
        </w:rPr>
        <w:t>)</w:t>
      </w:r>
    </w:p>
    <w:bookmarkEnd w:id="95"/>
    <w:p w:rsidR="00B25DBE" w:rsidRPr="00AF5FD5" w:rsidRDefault="00B25DBE" w:rsidP="0012699C">
      <w:pPr>
        <w:pStyle w:val="H23G"/>
      </w:pPr>
      <w:r w:rsidRPr="00AF5FD5">
        <w:tab/>
      </w:r>
      <w:bookmarkStart w:id="96" w:name="_Toc528147039"/>
      <w:r w:rsidRPr="00AF5FD5">
        <w:t>10.</w:t>
      </w:r>
      <w:r w:rsidRPr="00AF5FD5">
        <w:tab/>
      </w:r>
      <w:r w:rsidR="0012699C" w:rsidRPr="00AF5FD5">
        <w:rPr>
          <w:lang w:val="fr-FR"/>
        </w:rPr>
        <w:t>Annexe </w:t>
      </w:r>
      <w:r w:rsidRPr="00AF5FD5">
        <w:rPr>
          <w:lang w:val="fr-FR"/>
        </w:rPr>
        <w:t xml:space="preserve">1, appendice 2, modèle </w:t>
      </w:r>
      <w:r w:rsidR="0012699C" w:rsidRPr="00AF5FD5">
        <w:rPr>
          <w:rFonts w:eastAsia="MS Mincho"/>
          <w:szCs w:val="22"/>
          <w:lang w:val="fr-FR"/>
        </w:rPr>
        <w:t>n</w:t>
      </w:r>
      <w:r w:rsidR="0012699C" w:rsidRPr="00AF5FD5">
        <w:rPr>
          <w:rFonts w:eastAsia="MS Mincho"/>
          <w:szCs w:val="22"/>
          <w:vertAlign w:val="superscript"/>
          <w:lang w:val="fr-FR"/>
        </w:rPr>
        <w:t>o</w:t>
      </w:r>
      <w:r w:rsidR="0012699C" w:rsidRPr="00AF5FD5">
        <w:rPr>
          <w:lang w:val="fr-FR"/>
        </w:rPr>
        <w:t> </w:t>
      </w:r>
      <w:r w:rsidRPr="00AF5FD5">
        <w:rPr>
          <w:lang w:val="fr-FR"/>
        </w:rPr>
        <w:t>12</w:t>
      </w:r>
    </w:p>
    <w:p w:rsidR="00B25DBE" w:rsidRPr="00AF5FD5" w:rsidRDefault="00B25DBE" w:rsidP="00B71CF1">
      <w:pPr>
        <w:pStyle w:val="SingleTxtG"/>
      </w:pPr>
      <w:r w:rsidRPr="00AF5FD5">
        <w:t>À la rubrique « Mode d</w:t>
      </w:r>
      <w:r w:rsidR="00E84113" w:rsidRPr="00AF5FD5">
        <w:t>’</w:t>
      </w:r>
      <w:r w:rsidRPr="00AF5FD5">
        <w:t>entraînement », ajouter « , autre » après « déplacement du véhicule ».</w:t>
      </w:r>
    </w:p>
    <w:p w:rsidR="00B25DBE" w:rsidRPr="00AF5FD5" w:rsidRDefault="00B25DBE" w:rsidP="00B71CF1">
      <w:pPr>
        <w:pStyle w:val="SingleTxtG"/>
      </w:pPr>
      <w:r w:rsidRPr="00AF5FD5">
        <w:t>Entre les rubriques « Alternateur » et « Vitesse de rotation », ajouter une nouvelle ligne avec la mention « Autre : … ».</w:t>
      </w:r>
    </w:p>
    <w:p w:rsidR="00B25DBE" w:rsidRPr="00AF5FD5" w:rsidRDefault="00B25DBE" w:rsidP="00B25DBE">
      <w:pPr>
        <w:pStyle w:val="SingleTxtG"/>
      </w:pPr>
      <w:r w:rsidRPr="00AF5FD5">
        <w:rPr>
          <w:lang w:val="fr-FR"/>
        </w:rPr>
        <w:t>(</w:t>
      </w:r>
      <w:r w:rsidRPr="00AF5FD5">
        <w:rPr>
          <w:i/>
          <w:lang w:val="fr-FR"/>
        </w:rPr>
        <w:t>Document de référence : ECE/TRANS/WP.11/2018/18 tel que modifié</w:t>
      </w:r>
      <w:r w:rsidR="009906A6" w:rsidRPr="00AF5FD5">
        <w:rPr>
          <w:i/>
          <w:lang w:val="fr-FR"/>
        </w:rPr>
        <w:t>.</w:t>
      </w:r>
      <w:r w:rsidRPr="00AF5FD5">
        <w:rPr>
          <w:lang w:val="fr-FR"/>
        </w:rPr>
        <w:t>)</w:t>
      </w:r>
    </w:p>
    <w:bookmarkEnd w:id="96"/>
    <w:p w:rsidR="00B25DBE" w:rsidRPr="00AF5FD5" w:rsidRDefault="00B25DBE" w:rsidP="0012699C">
      <w:pPr>
        <w:pStyle w:val="H1G"/>
      </w:pPr>
      <w:r w:rsidRPr="00AF5FD5">
        <w:tab/>
      </w:r>
      <w:r w:rsidRPr="00AF5FD5">
        <w:tab/>
      </w:r>
      <w:bookmarkStart w:id="97" w:name="_Toc528147040"/>
      <w:r w:rsidRPr="00AF5FD5">
        <w:t>Proposition d</w:t>
      </w:r>
      <w:r w:rsidR="00E84113" w:rsidRPr="00AF5FD5">
        <w:t>’</w:t>
      </w:r>
      <w:r w:rsidR="0012699C" w:rsidRPr="00AF5FD5">
        <w:t>amendement </w:t>
      </w:r>
      <w:r w:rsidRPr="00AF5FD5">
        <w:t>9</w:t>
      </w:r>
      <w:bookmarkEnd w:id="97"/>
    </w:p>
    <w:p w:rsidR="00B25DBE" w:rsidRPr="00AF5FD5" w:rsidRDefault="00B25DBE" w:rsidP="0012699C">
      <w:pPr>
        <w:pStyle w:val="H23G"/>
        <w:rPr>
          <w:lang w:val="fr-FR"/>
        </w:rPr>
      </w:pPr>
      <w:r w:rsidRPr="00AF5FD5">
        <w:tab/>
      </w:r>
      <w:bookmarkStart w:id="98" w:name="_Toc528147041"/>
      <w:r w:rsidRPr="00AF5FD5">
        <w:t>11.</w:t>
      </w:r>
      <w:r w:rsidRPr="00AF5FD5">
        <w:tab/>
      </w:r>
      <w:r w:rsidRPr="00AF5FD5">
        <w:rPr>
          <w:lang w:val="fr-FR"/>
        </w:rPr>
        <w:t>Annexe 1, ap</w:t>
      </w:r>
      <w:r w:rsidR="0012699C" w:rsidRPr="00AF5FD5">
        <w:rPr>
          <w:lang w:val="fr-FR"/>
        </w:rPr>
        <w:t>pendice 2, section </w:t>
      </w:r>
      <w:r w:rsidRPr="00AF5FD5">
        <w:rPr>
          <w:lang w:val="fr-FR"/>
        </w:rPr>
        <w:t>6.2</w:t>
      </w:r>
    </w:p>
    <w:p w:rsidR="00B25DBE" w:rsidRPr="00AF5FD5" w:rsidRDefault="00B25DBE" w:rsidP="00B71CF1">
      <w:pPr>
        <w:pStyle w:val="SingleTxtG"/>
        <w:rPr>
          <w:lang w:val="fr-FR"/>
        </w:rPr>
      </w:pPr>
      <w:r w:rsidRPr="00AF5FD5">
        <w:rPr>
          <w:lang w:val="fr-FR"/>
        </w:rPr>
        <w:t>Ajouter au début de la section 6.2 un nouveau paragraphe 6.2.1 intitulé « Engins autonomes ».</w:t>
      </w:r>
    </w:p>
    <w:p w:rsidR="00B25DBE" w:rsidRPr="00AF5FD5" w:rsidRDefault="00B25DBE" w:rsidP="00B71CF1">
      <w:pPr>
        <w:pStyle w:val="SingleTxtG"/>
      </w:pPr>
      <w:r w:rsidRPr="00AF5FD5">
        <w:t xml:space="preserve">Ajouter juste avant le point iii) </w:t>
      </w:r>
      <w:r w:rsidRPr="00AF5FD5">
        <w:rPr>
          <w:lang w:val="fr-FR"/>
        </w:rPr>
        <w:t>un nouveau paragraphe 6.2.2 intitulé « Engins non autonomes ».</w:t>
      </w:r>
    </w:p>
    <w:p w:rsidR="00B25DBE" w:rsidRPr="00AF5FD5" w:rsidRDefault="00B25DBE" w:rsidP="00B71CF1">
      <w:pPr>
        <w:pStyle w:val="SingleTxtG"/>
      </w:pPr>
      <w:r w:rsidRPr="00AF5FD5">
        <w:t>Les points iii) et iv) deviennent les points i) et ii).</w:t>
      </w:r>
    </w:p>
    <w:p w:rsidR="00B25DBE" w:rsidRPr="00AF5FD5" w:rsidRDefault="00B25DBE" w:rsidP="00B71CF1">
      <w:pPr>
        <w:pStyle w:val="SingleTxtG"/>
      </w:pPr>
      <w:r w:rsidRPr="00AF5FD5">
        <w:t xml:space="preserve">Ajouter un nouveau paragraphe </w:t>
      </w:r>
      <w:r w:rsidRPr="00AF5FD5">
        <w:rPr>
          <w:lang w:val="fr-FR"/>
        </w:rPr>
        <w:t>6.2.3 ainsi conçu :</w:t>
      </w:r>
    </w:p>
    <w:p w:rsidR="00B25DBE" w:rsidRPr="00AF5FD5" w:rsidRDefault="00B25DBE" w:rsidP="0012699C">
      <w:pPr>
        <w:pStyle w:val="SingleTxtG"/>
        <w:ind w:left="2268" w:hanging="1134"/>
        <w:rPr>
          <w:lang w:val="fr-FR"/>
        </w:rPr>
      </w:pPr>
      <w:r w:rsidRPr="00AF5FD5">
        <w:rPr>
          <w:lang w:val="fr-FR"/>
        </w:rPr>
        <w:t>« 6.2.3</w:t>
      </w:r>
      <w:r w:rsidRPr="00AF5FD5">
        <w:rPr>
          <w:lang w:val="fr-FR"/>
        </w:rPr>
        <w:tab/>
      </w:r>
      <w:r w:rsidR="0012699C" w:rsidRPr="00AF5FD5">
        <w:rPr>
          <w:lang w:val="fr-FR"/>
        </w:rPr>
        <w:tab/>
      </w:r>
      <w:r w:rsidRPr="00AF5FD5">
        <w:rPr>
          <w:lang w:val="fr-FR"/>
        </w:rPr>
        <w:t>À la demande du fabricant, le remplacement du fluide frigorigène d</w:t>
      </w:r>
      <w:r w:rsidR="00E84113" w:rsidRPr="00AF5FD5">
        <w:rPr>
          <w:lang w:val="fr-FR"/>
        </w:rPr>
        <w:t>’</w:t>
      </w:r>
      <w:r w:rsidRPr="00AF5FD5">
        <w:rPr>
          <w:lang w:val="fr-FR"/>
        </w:rPr>
        <w:t>origine d</w:t>
      </w:r>
      <w:r w:rsidR="00E84113" w:rsidRPr="00AF5FD5">
        <w:rPr>
          <w:lang w:val="fr-FR"/>
        </w:rPr>
        <w:t>’</w:t>
      </w:r>
      <w:r w:rsidRPr="00AF5FD5">
        <w:rPr>
          <w:lang w:val="fr-FR"/>
        </w:rPr>
        <w:t>un engin frigorifique en service est autorisé pour les fluides frigorigènes indiqués dans le tableau ci-dessous dans les conditions ci-après :</w:t>
      </w:r>
    </w:p>
    <w:tbl>
      <w:tblPr>
        <w:tblStyle w:val="Grilledutableau1"/>
        <w:tblW w:w="6237" w:type="dxa"/>
        <w:tblInd w:w="2268" w:type="dxa"/>
        <w:tblLayout w:type="fixed"/>
        <w:tblLook w:val="04A0" w:firstRow="1" w:lastRow="0" w:firstColumn="1" w:lastColumn="0" w:noHBand="0" w:noVBand="1"/>
      </w:tblPr>
      <w:tblGrid>
        <w:gridCol w:w="3118"/>
        <w:gridCol w:w="3119"/>
      </w:tblGrid>
      <w:tr w:rsidR="00B25DBE" w:rsidRPr="00AF5FD5" w:rsidTr="0012699C">
        <w:tc>
          <w:tcPr>
            <w:tcW w:w="3118" w:type="dxa"/>
            <w:shd w:val="clear" w:color="auto" w:fill="auto"/>
          </w:tcPr>
          <w:p w:rsidR="00B25DBE" w:rsidRPr="00AF5FD5" w:rsidRDefault="00B25DBE" w:rsidP="0012699C">
            <w:pPr>
              <w:pStyle w:val="SingleTxtG"/>
              <w:ind w:left="57" w:right="57"/>
              <w:rPr>
                <w:lang w:val="fr-FR"/>
              </w:rPr>
            </w:pPr>
            <w:r w:rsidRPr="00AF5FD5">
              <w:rPr>
                <w:lang w:val="fr-FR"/>
              </w:rPr>
              <w:lastRenderedPageBreak/>
              <w:t>Fluide frigorigène d</w:t>
            </w:r>
            <w:r w:rsidR="00E84113" w:rsidRPr="00AF5FD5">
              <w:rPr>
                <w:lang w:val="fr-FR"/>
              </w:rPr>
              <w:t>’</w:t>
            </w:r>
            <w:r w:rsidRPr="00AF5FD5">
              <w:rPr>
                <w:lang w:val="fr-FR"/>
              </w:rPr>
              <w:t>origine</w:t>
            </w:r>
          </w:p>
        </w:tc>
        <w:tc>
          <w:tcPr>
            <w:tcW w:w="3119" w:type="dxa"/>
            <w:shd w:val="clear" w:color="auto" w:fill="auto"/>
          </w:tcPr>
          <w:p w:rsidR="00B25DBE" w:rsidRPr="00AF5FD5" w:rsidRDefault="00B25DBE" w:rsidP="0012699C">
            <w:pPr>
              <w:pStyle w:val="SingleTxtG"/>
              <w:ind w:left="57" w:right="57"/>
              <w:rPr>
                <w:lang w:val="fr-FR"/>
              </w:rPr>
            </w:pPr>
            <w:r w:rsidRPr="00AF5FD5">
              <w:rPr>
                <w:lang w:val="fr-FR"/>
              </w:rPr>
              <w:t>Fluide frigorigène de substitution</w:t>
            </w:r>
          </w:p>
        </w:tc>
      </w:tr>
      <w:tr w:rsidR="00B25DBE" w:rsidRPr="00AF5FD5" w:rsidTr="0012699C">
        <w:tc>
          <w:tcPr>
            <w:tcW w:w="3118" w:type="dxa"/>
            <w:shd w:val="clear" w:color="auto" w:fill="auto"/>
          </w:tcPr>
          <w:p w:rsidR="00B25DBE" w:rsidRPr="00AF5FD5" w:rsidRDefault="00B25DBE" w:rsidP="0012699C">
            <w:pPr>
              <w:pStyle w:val="SingleTxtG"/>
              <w:ind w:left="57" w:right="57"/>
              <w:rPr>
                <w:lang w:val="fr-FR"/>
              </w:rPr>
            </w:pPr>
            <w:r w:rsidRPr="00AF5FD5">
              <w:rPr>
                <w:lang w:val="fr-FR"/>
              </w:rPr>
              <w:t>R404A</w:t>
            </w:r>
          </w:p>
        </w:tc>
        <w:tc>
          <w:tcPr>
            <w:tcW w:w="3119" w:type="dxa"/>
            <w:shd w:val="clear" w:color="auto" w:fill="auto"/>
          </w:tcPr>
          <w:p w:rsidR="00B25DBE" w:rsidRPr="00AF5FD5" w:rsidRDefault="00B25DBE" w:rsidP="0012699C">
            <w:pPr>
              <w:pStyle w:val="SingleTxtG"/>
              <w:ind w:left="57" w:right="57"/>
              <w:rPr>
                <w:lang w:val="fr-FR"/>
              </w:rPr>
            </w:pPr>
            <w:r w:rsidRPr="00AF5FD5">
              <w:rPr>
                <w:lang w:val="fr-FR"/>
              </w:rPr>
              <w:t>R452A</w:t>
            </w:r>
          </w:p>
        </w:tc>
      </w:tr>
    </w:tbl>
    <w:p w:rsidR="00B25DBE" w:rsidRPr="00AF5FD5" w:rsidRDefault="00B25DBE" w:rsidP="009906A6">
      <w:pPr>
        <w:pStyle w:val="Bullet2G"/>
        <w:rPr>
          <w:lang w:val="fr-FR"/>
        </w:rPr>
      </w:pPr>
      <w:r w:rsidRPr="00AF5FD5">
        <w:rPr>
          <w:lang w:val="fr-FR"/>
        </w:rPr>
        <w:t>Il existe un procès-verbal d</w:t>
      </w:r>
      <w:r w:rsidR="00E84113" w:rsidRPr="00AF5FD5">
        <w:rPr>
          <w:lang w:val="fr-FR"/>
        </w:rPr>
        <w:t>’</w:t>
      </w:r>
      <w:r w:rsidRPr="00AF5FD5">
        <w:rPr>
          <w:lang w:val="fr-FR"/>
        </w:rPr>
        <w:t>essai, ou un additif à un tel procès-verbal, confirmant l</w:t>
      </w:r>
      <w:r w:rsidR="00E84113" w:rsidRPr="00AF5FD5">
        <w:rPr>
          <w:lang w:val="fr-FR"/>
        </w:rPr>
        <w:t>’</w:t>
      </w:r>
      <w:r w:rsidRPr="00AF5FD5">
        <w:rPr>
          <w:lang w:val="fr-FR"/>
        </w:rPr>
        <w:t>équivalence à un groupe frigorifique similaire avec le fluide frigorigène de substitution</w:t>
      </w:r>
      <w:r w:rsidR="0048024C" w:rsidRPr="00AF5FD5">
        <w:rPr>
          <w:lang w:val="fr-FR"/>
        </w:rPr>
        <w:t> ;</w:t>
      </w:r>
      <w:r w:rsidRPr="00AF5FD5">
        <w:rPr>
          <w:lang w:val="fr-FR"/>
        </w:rPr>
        <w:t xml:space="preserve"> et</w:t>
      </w:r>
    </w:p>
    <w:p w:rsidR="00B25DBE" w:rsidRPr="00AF5FD5" w:rsidRDefault="00B25DBE" w:rsidP="009906A6">
      <w:pPr>
        <w:pStyle w:val="Bullet2G"/>
        <w:rPr>
          <w:lang w:val="fr-FR"/>
        </w:rPr>
      </w:pPr>
      <w:r w:rsidRPr="00AF5FD5">
        <w:rPr>
          <w:lang w:val="fr-FR"/>
        </w:rPr>
        <w:t>Un essai d</w:t>
      </w:r>
      <w:r w:rsidR="00E84113" w:rsidRPr="00AF5FD5">
        <w:rPr>
          <w:lang w:val="fr-FR"/>
        </w:rPr>
        <w:t>’</w:t>
      </w:r>
      <w:r w:rsidRPr="00AF5FD5">
        <w:rPr>
          <w:lang w:val="fr-FR"/>
        </w:rPr>
        <w:t>efficacité a été réalisé avec succès conformément aux dispositions du paragraphe 6.2.1.</w:t>
      </w:r>
    </w:p>
    <w:p w:rsidR="00B25DBE" w:rsidRPr="00AF5FD5" w:rsidRDefault="00B25DBE" w:rsidP="009906A6">
      <w:pPr>
        <w:pStyle w:val="SingleTxtG"/>
        <w:ind w:left="2268"/>
        <w:rPr>
          <w:lang w:val="fr-FR"/>
        </w:rPr>
      </w:pPr>
      <w:r w:rsidRPr="00AF5FD5">
        <w:rPr>
          <w:lang w:val="fr-FR"/>
        </w:rPr>
        <w:t>La plaque du fabricant doit être corrigée ou remplacée pour qu</w:t>
      </w:r>
      <w:r w:rsidR="00E84113" w:rsidRPr="00AF5FD5">
        <w:rPr>
          <w:lang w:val="fr-FR"/>
        </w:rPr>
        <w:t>’</w:t>
      </w:r>
      <w:r w:rsidRPr="00AF5FD5">
        <w:rPr>
          <w:lang w:val="fr-FR"/>
        </w:rPr>
        <w:t>il soit fait mention du fluide frigorigène de substitution et de la charge requise.</w:t>
      </w:r>
    </w:p>
    <w:p w:rsidR="00B25DBE" w:rsidRPr="00AF5FD5" w:rsidRDefault="00B25DBE" w:rsidP="009906A6">
      <w:pPr>
        <w:pStyle w:val="SingleTxtG"/>
        <w:ind w:left="2268"/>
        <w:rPr>
          <w:lang w:val="fr-FR"/>
        </w:rPr>
      </w:pPr>
      <w:r w:rsidRPr="00AF5FD5">
        <w:rPr>
          <w:lang w:val="fr-FR"/>
        </w:rPr>
        <w:t>Le numéro du procès-verbal d</w:t>
      </w:r>
      <w:r w:rsidR="00E84113" w:rsidRPr="00AF5FD5">
        <w:rPr>
          <w:lang w:val="fr-FR"/>
        </w:rPr>
        <w:t>’</w:t>
      </w:r>
      <w:r w:rsidRPr="00AF5FD5">
        <w:rPr>
          <w:lang w:val="fr-FR"/>
        </w:rPr>
        <w:t>essai initial doit être conservé dans l</w:t>
      </w:r>
      <w:r w:rsidR="00E84113" w:rsidRPr="00AF5FD5">
        <w:rPr>
          <w:lang w:val="fr-FR"/>
        </w:rPr>
        <w:t>’</w:t>
      </w:r>
      <w:r w:rsidRPr="00AF5FD5">
        <w:rPr>
          <w:lang w:val="fr-FR"/>
        </w:rPr>
        <w:t>attestation de conformité ATP et complété par un renvoi au procès-verbal d</w:t>
      </w:r>
      <w:r w:rsidR="00E84113" w:rsidRPr="00AF5FD5">
        <w:rPr>
          <w:lang w:val="fr-FR"/>
        </w:rPr>
        <w:t>’</w:t>
      </w:r>
      <w:r w:rsidRPr="00AF5FD5">
        <w:rPr>
          <w:lang w:val="fr-FR"/>
        </w:rPr>
        <w:t>essai ou à l</w:t>
      </w:r>
      <w:r w:rsidR="00E84113" w:rsidRPr="00AF5FD5">
        <w:rPr>
          <w:lang w:val="fr-FR"/>
        </w:rPr>
        <w:t>’</w:t>
      </w:r>
      <w:r w:rsidRPr="00AF5FD5">
        <w:rPr>
          <w:lang w:val="fr-FR"/>
        </w:rPr>
        <w:t>additif de référence po</w:t>
      </w:r>
      <w:r w:rsidR="009906A6" w:rsidRPr="00AF5FD5">
        <w:rPr>
          <w:lang w:val="fr-FR"/>
        </w:rPr>
        <w:t>ur le fluide de substitution. »</w:t>
      </w:r>
    </w:p>
    <w:p w:rsidR="00B25DBE" w:rsidRPr="00AF5FD5" w:rsidRDefault="00B25DBE" w:rsidP="00B25DBE">
      <w:pPr>
        <w:pStyle w:val="SingleTxtG"/>
        <w:rPr>
          <w:i/>
          <w:lang w:val="fr-FR"/>
        </w:rPr>
      </w:pPr>
      <w:r w:rsidRPr="00AF5FD5">
        <w:rPr>
          <w:i/>
          <w:lang w:val="fr-FR"/>
        </w:rPr>
        <w:t>(Documents de référence : ECE/TRANS/WP.11/2018/8 et ECE/TRANS/ WP.11/2018/10 tel que modifié.)</w:t>
      </w:r>
    </w:p>
    <w:bookmarkEnd w:id="98"/>
    <w:p w:rsidR="00B25DBE" w:rsidRPr="00AF5FD5" w:rsidRDefault="00B25DBE" w:rsidP="006E618B">
      <w:pPr>
        <w:pStyle w:val="HChG"/>
      </w:pPr>
      <w:r w:rsidRPr="00AF5FD5">
        <w:br w:type="page"/>
      </w:r>
      <w:r w:rsidRPr="00AF5FD5">
        <w:lastRenderedPageBreak/>
        <w:tab/>
      </w:r>
      <w:bookmarkStart w:id="99" w:name="_Toc432670213"/>
      <w:bookmarkStart w:id="100" w:name="_Toc528147042"/>
      <w:r w:rsidR="006E618B" w:rsidRPr="00AF5FD5">
        <w:t>Annexe </w:t>
      </w:r>
      <w:r w:rsidRPr="00AF5FD5">
        <w:t>II</w:t>
      </w:r>
      <w:bookmarkStart w:id="101" w:name="_Toc401568283"/>
      <w:bookmarkStart w:id="102" w:name="_Toc401568688"/>
      <w:bookmarkEnd w:id="77"/>
      <w:bookmarkEnd w:id="78"/>
      <w:bookmarkEnd w:id="99"/>
      <w:bookmarkEnd w:id="100"/>
    </w:p>
    <w:p w:rsidR="00B25DBE" w:rsidRPr="00AF5FD5" w:rsidRDefault="00B25DBE" w:rsidP="006E618B">
      <w:pPr>
        <w:pStyle w:val="HChG"/>
      </w:pPr>
      <w:r w:rsidRPr="00AF5FD5">
        <w:tab/>
      </w:r>
      <w:r w:rsidRPr="00AF5FD5">
        <w:tab/>
      </w:r>
      <w:bookmarkStart w:id="103" w:name="_Toc432670214"/>
      <w:bookmarkStart w:id="104" w:name="_Toc528147043"/>
      <w:r w:rsidRPr="00AF5FD5">
        <w:rPr>
          <w:lang w:val="fr-FR"/>
        </w:rPr>
        <w:t>Rectification de l</w:t>
      </w:r>
      <w:r w:rsidR="00E84113" w:rsidRPr="00AF5FD5">
        <w:rPr>
          <w:lang w:val="fr-FR"/>
        </w:rPr>
        <w:t>’</w:t>
      </w:r>
      <w:r w:rsidRPr="00AF5FD5">
        <w:rPr>
          <w:lang w:val="fr-FR"/>
        </w:rPr>
        <w:t>ATP</w:t>
      </w:r>
      <w:r w:rsidRPr="00AF5FD5">
        <w:t xml:space="preserve"> </w:t>
      </w:r>
      <w:bookmarkEnd w:id="101"/>
      <w:bookmarkEnd w:id="102"/>
      <w:bookmarkEnd w:id="103"/>
      <w:bookmarkEnd w:id="104"/>
    </w:p>
    <w:p w:rsidR="00B25DBE" w:rsidRPr="00AF5FD5" w:rsidRDefault="00B25DBE" w:rsidP="006E618B">
      <w:pPr>
        <w:pStyle w:val="H23G"/>
        <w:rPr>
          <w:lang w:val="fr-FR"/>
        </w:rPr>
      </w:pPr>
      <w:r w:rsidRPr="00AF5FD5">
        <w:tab/>
      </w:r>
      <w:bookmarkStart w:id="105" w:name="_Toc528147044"/>
      <w:r w:rsidRPr="00AF5FD5">
        <w:t>1.</w:t>
      </w:r>
      <w:r w:rsidRPr="00AF5FD5">
        <w:tab/>
      </w:r>
      <w:r w:rsidR="006E618B" w:rsidRPr="00AF5FD5">
        <w:rPr>
          <w:lang w:val="fr-FR"/>
        </w:rPr>
        <w:t>Annexe 1, section </w:t>
      </w:r>
      <w:r w:rsidRPr="00AF5FD5">
        <w:rPr>
          <w:lang w:val="fr-FR"/>
        </w:rPr>
        <w:t>6.1</w:t>
      </w:r>
    </w:p>
    <w:p w:rsidR="00B25DBE" w:rsidRPr="00AF5FD5" w:rsidRDefault="00B25DBE" w:rsidP="006E618B">
      <w:pPr>
        <w:pStyle w:val="SingleTxtG"/>
        <w:rPr>
          <w:lang w:val="fr-FR"/>
        </w:rPr>
      </w:pPr>
      <w:r w:rsidRPr="00AF5FD5">
        <w:rPr>
          <w:i/>
          <w:lang w:val="fr-FR"/>
        </w:rPr>
        <w:t>Remplacer</w:t>
      </w:r>
      <w:r w:rsidRPr="00AF5FD5">
        <w:rPr>
          <w:lang w:val="fr-FR"/>
        </w:rPr>
        <w:t xml:space="preserve"> « (ajouter la date) » </w:t>
      </w:r>
      <w:r w:rsidRPr="00AF5FD5">
        <w:rPr>
          <w:i/>
          <w:lang w:val="fr-FR"/>
        </w:rPr>
        <w:t>par</w:t>
      </w:r>
      <w:r w:rsidRPr="00AF5FD5">
        <w:rPr>
          <w:lang w:val="fr-FR"/>
        </w:rPr>
        <w:t xml:space="preserve"> « (6 janvier 2018) ».</w:t>
      </w:r>
    </w:p>
    <w:p w:rsidR="00B25DBE" w:rsidRPr="00AF5FD5" w:rsidRDefault="00B25DBE" w:rsidP="00B25DBE">
      <w:pPr>
        <w:pStyle w:val="SingleTxtG"/>
        <w:rPr>
          <w:i/>
          <w:lang w:val="fr-FR"/>
        </w:rPr>
      </w:pPr>
      <w:r w:rsidRPr="00AF5FD5">
        <w:rPr>
          <w:i/>
          <w:lang w:val="fr-FR"/>
        </w:rPr>
        <w:t>(Document de référence : ECE/TRANS/WP.11/2018/19.)</w:t>
      </w:r>
    </w:p>
    <w:p w:rsidR="00B25DBE" w:rsidRPr="00AF5FD5" w:rsidRDefault="006E618B" w:rsidP="006E618B">
      <w:pPr>
        <w:pStyle w:val="H23G"/>
        <w:rPr>
          <w:lang w:val="fr-FR"/>
        </w:rPr>
      </w:pPr>
      <w:r w:rsidRPr="00AF5FD5">
        <w:rPr>
          <w:lang w:val="fr-FR"/>
        </w:rPr>
        <w:tab/>
        <w:t>2.</w:t>
      </w:r>
      <w:r w:rsidRPr="00AF5FD5">
        <w:rPr>
          <w:lang w:val="fr-FR"/>
        </w:rPr>
        <w:tab/>
        <w:t>Annexe 1, appendice </w:t>
      </w:r>
      <w:r w:rsidR="00B25DBE" w:rsidRPr="00AF5FD5">
        <w:rPr>
          <w:lang w:val="fr-FR"/>
        </w:rPr>
        <w:t>2, modèle n</w:t>
      </w:r>
      <w:r w:rsidR="00B25DBE" w:rsidRPr="00AF5FD5">
        <w:rPr>
          <w:vertAlign w:val="superscript"/>
          <w:lang w:val="fr-FR"/>
        </w:rPr>
        <w:t>o</w:t>
      </w:r>
      <w:r w:rsidR="00B25DBE" w:rsidRPr="00AF5FD5">
        <w:rPr>
          <w:lang w:val="fr-FR"/>
        </w:rPr>
        <w:t> 12</w:t>
      </w:r>
    </w:p>
    <w:p w:rsidR="00B25DBE" w:rsidRPr="00AF5FD5" w:rsidRDefault="00B25DBE" w:rsidP="006E618B">
      <w:pPr>
        <w:pStyle w:val="SingleTxtG"/>
        <w:rPr>
          <w:i/>
          <w:iCs/>
        </w:rPr>
      </w:pPr>
      <w:r w:rsidRPr="00AF5FD5">
        <w:rPr>
          <w:i/>
          <w:iCs/>
        </w:rPr>
        <w:t>Ne s</w:t>
      </w:r>
      <w:r w:rsidR="00E84113" w:rsidRPr="00AF5FD5">
        <w:rPr>
          <w:i/>
          <w:iCs/>
        </w:rPr>
        <w:t>’</w:t>
      </w:r>
      <w:r w:rsidRPr="00AF5FD5">
        <w:rPr>
          <w:i/>
          <w:iCs/>
        </w:rPr>
        <w:t>applique pas aux versions anglaise et russe du texte.</w:t>
      </w:r>
    </w:p>
    <w:p w:rsidR="00B25DBE" w:rsidRPr="00AF5FD5" w:rsidRDefault="00B25DBE" w:rsidP="006E618B">
      <w:pPr>
        <w:pStyle w:val="SingleTxtG"/>
        <w:rPr>
          <w:lang w:val="fr-FR"/>
        </w:rPr>
      </w:pPr>
      <w:r w:rsidRPr="00AF5FD5">
        <w:rPr>
          <w:lang w:val="fr-FR"/>
        </w:rPr>
        <w:t>Dans la version française du texte :</w:t>
      </w:r>
    </w:p>
    <w:p w:rsidR="00B25DBE" w:rsidRPr="00AF5FD5" w:rsidRDefault="00B25DBE" w:rsidP="00B25DBE">
      <w:pPr>
        <w:pStyle w:val="SingleTxtG"/>
        <w:rPr>
          <w:b/>
        </w:rPr>
      </w:pPr>
      <w:r w:rsidRPr="00AF5FD5">
        <w:rPr>
          <w:b/>
          <w:lang w:val="fr-FR"/>
        </w:rPr>
        <w:t xml:space="preserve">Deuxième tableau, </w:t>
      </w:r>
      <w:r w:rsidRPr="00AF5FD5">
        <w:rPr>
          <w:b/>
        </w:rPr>
        <w:t>en tête de la colonne Température</w:t>
      </w:r>
    </w:p>
    <w:p w:rsidR="00B25DBE" w:rsidRPr="00AF5FD5" w:rsidRDefault="00B25DBE" w:rsidP="00B25DBE">
      <w:pPr>
        <w:pStyle w:val="SingleTxtG"/>
        <w:rPr>
          <w:lang w:val="fr-FR"/>
        </w:rPr>
      </w:pPr>
      <w:r w:rsidRPr="00AF5FD5">
        <w:rPr>
          <w:i/>
        </w:rPr>
        <w:t>R</w:t>
      </w:r>
      <w:r w:rsidRPr="00AF5FD5">
        <w:rPr>
          <w:i/>
          <w:lang w:val="fr-FR"/>
        </w:rPr>
        <w:t>emplacer</w:t>
      </w:r>
      <w:r w:rsidRPr="00AF5FD5">
        <w:rPr>
          <w:lang w:val="fr-FR"/>
        </w:rPr>
        <w:t xml:space="preserve"> « Température » </w:t>
      </w:r>
      <w:r w:rsidRPr="00AF5FD5">
        <w:rPr>
          <w:i/>
          <w:lang w:val="fr-FR"/>
        </w:rPr>
        <w:t>par</w:t>
      </w:r>
      <w:r w:rsidRPr="00AF5FD5">
        <w:rPr>
          <w:lang w:val="fr-FR"/>
        </w:rPr>
        <w:t xml:space="preserve"> « Température moyenne autour de l</w:t>
      </w:r>
      <w:r w:rsidR="00E84113" w:rsidRPr="00AF5FD5">
        <w:rPr>
          <w:lang w:val="fr-FR"/>
        </w:rPr>
        <w:t>’</w:t>
      </w:r>
      <w:r w:rsidR="006E618B" w:rsidRPr="00AF5FD5">
        <w:rPr>
          <w:lang w:val="fr-FR"/>
        </w:rPr>
        <w:t>engin spécial. »</w:t>
      </w:r>
    </w:p>
    <w:p w:rsidR="006E618B" w:rsidRPr="00AF5FD5" w:rsidRDefault="00B25DBE" w:rsidP="00B25DBE">
      <w:pPr>
        <w:pStyle w:val="SingleTxtG"/>
        <w:rPr>
          <w:i/>
          <w:lang w:val="fr-FR"/>
        </w:rPr>
      </w:pPr>
      <w:r w:rsidRPr="00AF5FD5">
        <w:rPr>
          <w:i/>
          <w:lang w:val="fr-FR"/>
        </w:rPr>
        <w:t>(Document de réf</w:t>
      </w:r>
      <w:r w:rsidR="006E618B" w:rsidRPr="00AF5FD5">
        <w:rPr>
          <w:i/>
          <w:lang w:val="fr-FR"/>
        </w:rPr>
        <w:t>érence : document informel INF.</w:t>
      </w:r>
      <w:r w:rsidRPr="00AF5FD5">
        <w:rPr>
          <w:i/>
          <w:lang w:val="fr-FR"/>
        </w:rPr>
        <w:t>7.)</w:t>
      </w:r>
    </w:p>
    <w:p w:rsidR="00B25DBE" w:rsidRPr="00AF5FD5" w:rsidRDefault="006E618B" w:rsidP="006E618B">
      <w:pPr>
        <w:pStyle w:val="HChG"/>
      </w:pPr>
      <w:r w:rsidRPr="00AF5FD5">
        <w:rPr>
          <w:i/>
          <w:lang w:val="fr-FR"/>
        </w:rPr>
        <w:br w:type="page"/>
      </w:r>
      <w:bookmarkStart w:id="106" w:name="_Toc401568284"/>
      <w:bookmarkStart w:id="107" w:name="_Toc401568689"/>
      <w:bookmarkStart w:id="108" w:name="_Toc432670215"/>
      <w:bookmarkStart w:id="109" w:name="_Toc528147046"/>
      <w:bookmarkEnd w:id="105"/>
      <w:r w:rsidRPr="00AF5FD5">
        <w:lastRenderedPageBreak/>
        <w:t>Annexe </w:t>
      </w:r>
      <w:r w:rsidR="00B25DBE" w:rsidRPr="00AF5FD5">
        <w:t>III</w:t>
      </w:r>
      <w:bookmarkEnd w:id="106"/>
      <w:bookmarkEnd w:id="107"/>
      <w:bookmarkEnd w:id="108"/>
      <w:bookmarkEnd w:id="109"/>
      <w:r w:rsidR="00B25DBE" w:rsidRPr="00AF5FD5">
        <w:t xml:space="preserve"> </w:t>
      </w:r>
    </w:p>
    <w:p w:rsidR="00B25DBE" w:rsidRPr="00AF5FD5" w:rsidRDefault="00B25DBE" w:rsidP="006E618B">
      <w:pPr>
        <w:pStyle w:val="HChG"/>
      </w:pPr>
      <w:r w:rsidRPr="00AF5FD5">
        <w:tab/>
      </w:r>
      <w:r w:rsidRPr="00AF5FD5">
        <w:tab/>
        <w:t>Ajouts au Manuel ATP</w:t>
      </w:r>
    </w:p>
    <w:p w:rsidR="00B25DBE" w:rsidRPr="00AF5FD5" w:rsidRDefault="00B25DBE" w:rsidP="006E618B">
      <w:pPr>
        <w:pStyle w:val="H23G"/>
      </w:pPr>
      <w:r w:rsidRPr="00AF5FD5">
        <w:tab/>
      </w:r>
      <w:bookmarkStart w:id="110" w:name="_Toc528147048"/>
      <w:r w:rsidRPr="00AF5FD5">
        <w:t>1.</w:t>
      </w:r>
      <w:r w:rsidR="006E618B" w:rsidRPr="00AF5FD5">
        <w:tab/>
        <w:t>Annexe 1, appendice 2, section </w:t>
      </w:r>
      <w:r w:rsidRPr="00AF5FD5">
        <w:t>1.2</w:t>
      </w:r>
      <w:bookmarkEnd w:id="110"/>
    </w:p>
    <w:p w:rsidR="00B25DBE" w:rsidRPr="00AF5FD5" w:rsidRDefault="00B25DBE" w:rsidP="00B25DBE">
      <w:pPr>
        <w:pStyle w:val="SingleTxtG"/>
      </w:pPr>
      <w:r w:rsidRPr="00AF5FD5">
        <w:t>Dans les obse</w:t>
      </w:r>
      <w:r w:rsidR="006E618B" w:rsidRPr="00AF5FD5">
        <w:t>rvations relatives à la section </w:t>
      </w:r>
      <w:r w:rsidRPr="00AF5FD5">
        <w:t xml:space="preserve">1.2, remplacer les </w:t>
      </w:r>
      <w:r w:rsidR="00B71CF1" w:rsidRPr="00AF5FD5">
        <w:t>figures 1 à </w:t>
      </w:r>
      <w:r w:rsidR="006E618B" w:rsidRPr="00AF5FD5">
        <w:t>5 par les suivantes :</w:t>
      </w:r>
    </w:p>
    <w:p w:rsidR="00B25DBE" w:rsidRPr="00AF5FD5" w:rsidRDefault="006E618B" w:rsidP="00B25DBE">
      <w:pPr>
        <w:pStyle w:val="SingleTxtG"/>
      </w:pPr>
      <w:r w:rsidRPr="00AF5FD5">
        <w:t>« </w:t>
      </w:r>
    </w:p>
    <w:p w:rsidR="00B25DBE" w:rsidRPr="00AF5FD5" w:rsidRDefault="007B4D98" w:rsidP="00B25DBE">
      <w:pPr>
        <w:pStyle w:val="SingleTxtG"/>
      </w:pPr>
      <w:r w:rsidRPr="00AF5FD5">
        <w:rPr>
          <w:noProof/>
          <w:lang w:eastAsia="fr-CH"/>
        </w:rPr>
        <mc:AlternateContent>
          <mc:Choice Requires="wps">
            <w:drawing>
              <wp:anchor distT="0" distB="0" distL="114300" distR="114300" simplePos="0" relativeHeight="251656704" behindDoc="0" locked="0" layoutInCell="1" allowOverlap="1" wp14:anchorId="18D86501" wp14:editId="40A792C8">
                <wp:simplePos x="0" y="0"/>
                <wp:positionH relativeFrom="column">
                  <wp:posOffset>3644055</wp:posOffset>
                </wp:positionH>
                <wp:positionV relativeFrom="paragraph">
                  <wp:posOffset>1879924</wp:posOffset>
                </wp:positionV>
                <wp:extent cx="962025" cy="123416"/>
                <wp:effectExtent l="0" t="0" r="9525" b="0"/>
                <wp:wrapNone/>
                <wp:docPr id="23" name="Zone de texte 23"/>
                <wp:cNvGraphicFramePr/>
                <a:graphic xmlns:a="http://schemas.openxmlformats.org/drawingml/2006/main">
                  <a:graphicData uri="http://schemas.microsoft.com/office/word/2010/wordprocessingShape">
                    <wps:wsp>
                      <wps:cNvSpPr txBox="1"/>
                      <wps:spPr>
                        <a:xfrm>
                          <a:off x="0" y="0"/>
                          <a:ext cx="962025" cy="123416"/>
                        </a:xfrm>
                        <a:prstGeom prst="rect">
                          <a:avLst/>
                        </a:prstGeom>
                        <a:solidFill>
                          <a:schemeClr val="lt1"/>
                        </a:solidFill>
                        <a:ln w="6350">
                          <a:noFill/>
                        </a:ln>
                      </wps:spPr>
                      <wps:txbx>
                        <w:txbxContent>
                          <w:p w:rsidR="007B4D98" w:rsidRPr="006E618B" w:rsidRDefault="007B4D98" w:rsidP="007B4D98">
                            <w:pPr>
                              <w:spacing w:line="240" w:lineRule="auto"/>
                              <w:jc w:val="center"/>
                              <w:rPr>
                                <w:sz w:val="12"/>
                                <w:szCs w:val="12"/>
                              </w:rPr>
                            </w:pPr>
                            <w:r>
                              <w:rPr>
                                <w:sz w:val="12"/>
                                <w:szCs w:val="12"/>
                              </w:rPr>
                              <w:t>Épaisseur moyenne déclarée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86501" id="_x0000_t202" coordsize="21600,21600" o:spt="202" path="m,l,21600r21600,l21600,xe">
                <v:stroke joinstyle="miter"/>
                <v:path gradientshapeok="t" o:connecttype="rect"/>
              </v:shapetype>
              <v:shape id="Zone de texte 23" o:spid="_x0000_s1026" type="#_x0000_t202" style="position:absolute;left:0;text-align:left;margin-left:286.95pt;margin-top:148.05pt;width:75.75pt;height: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" fillcolor="white [3201]" stroked="f" strokeweight=".5pt">
                <v:textbox inset="0,0,0,0">
                  <w:txbxContent>
                    <w:p w:rsidR="007B4D98" w:rsidRPr="006E618B" w:rsidRDefault="007B4D98" w:rsidP="007B4D98">
                      <w:pPr>
                        <w:spacing w:line="240" w:lineRule="auto"/>
                        <w:jc w:val="center"/>
                        <w:rPr>
                          <w:sz w:val="12"/>
                          <w:szCs w:val="12"/>
                        </w:rPr>
                      </w:pPr>
                      <w:r>
                        <w:rPr>
                          <w:sz w:val="12"/>
                          <w:szCs w:val="12"/>
                        </w:rPr>
                        <w:t>Épaisseur moyenne déclarée</w:t>
                      </w:r>
                    </w:p>
                  </w:txbxContent>
                </v:textbox>
              </v:shape>
            </w:pict>
          </mc:Fallback>
        </mc:AlternateContent>
      </w:r>
      <w:r w:rsidRPr="00AF5FD5">
        <w:rPr>
          <w:noProof/>
          <w:lang w:eastAsia="fr-CH"/>
        </w:rPr>
        <mc:AlternateContent>
          <mc:Choice Requires="wps">
            <w:drawing>
              <wp:anchor distT="0" distB="0" distL="114300" distR="114300" simplePos="0" relativeHeight="251654656" behindDoc="0" locked="0" layoutInCell="1" allowOverlap="1" wp14:anchorId="31F02D9E" wp14:editId="6612D4D9">
                <wp:simplePos x="0" y="0"/>
                <wp:positionH relativeFrom="column">
                  <wp:posOffset>1602374</wp:posOffset>
                </wp:positionH>
                <wp:positionV relativeFrom="paragraph">
                  <wp:posOffset>993985</wp:posOffset>
                </wp:positionV>
                <wp:extent cx="962025" cy="190734"/>
                <wp:effectExtent l="0" t="0" r="9525" b="0"/>
                <wp:wrapNone/>
                <wp:docPr id="6" name="Zone de texte 6"/>
                <wp:cNvGraphicFramePr/>
                <a:graphic xmlns:a="http://schemas.openxmlformats.org/drawingml/2006/main">
                  <a:graphicData uri="http://schemas.microsoft.com/office/word/2010/wordprocessingShape">
                    <wps:wsp>
                      <wps:cNvSpPr txBox="1"/>
                      <wps:spPr>
                        <a:xfrm>
                          <a:off x="0" y="0"/>
                          <a:ext cx="962025" cy="190734"/>
                        </a:xfrm>
                        <a:prstGeom prst="rect">
                          <a:avLst/>
                        </a:prstGeom>
                        <a:solidFill>
                          <a:schemeClr val="lt1"/>
                        </a:solidFill>
                        <a:ln w="6350">
                          <a:noFill/>
                        </a:ln>
                      </wps:spPr>
                      <wps:txbx>
                        <w:txbxContent>
                          <w:p w:rsidR="007B4D98" w:rsidRPr="006E618B" w:rsidRDefault="007B4D98" w:rsidP="007B4D98">
                            <w:pPr>
                              <w:spacing w:line="240" w:lineRule="auto"/>
                              <w:jc w:val="center"/>
                              <w:rPr>
                                <w:sz w:val="12"/>
                                <w:szCs w:val="12"/>
                              </w:rPr>
                            </w:pPr>
                            <w:r>
                              <w:rPr>
                                <w:sz w:val="12"/>
                                <w:szCs w:val="12"/>
                              </w:rPr>
                              <w:t xml:space="preserve">Formes localisées pas </w:t>
                            </w:r>
                            <w:r>
                              <w:rPr>
                                <w:sz w:val="12"/>
                                <w:szCs w:val="12"/>
                              </w:rPr>
                              <w:br/>
                              <w:t>prises en considération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02D9E" id="Zone de texte 6" o:spid="_x0000_s1027" type="#_x0000_t202" style="position:absolute;left:0;text-align:left;margin-left:126.15pt;margin-top:78.25pt;width:75.7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" fillcolor="white [3201]" stroked="f" strokeweight=".5pt">
                <v:textbox inset="0,0,0,0">
                  <w:txbxContent>
                    <w:p w:rsidR="007B4D98" w:rsidRPr="006E618B" w:rsidRDefault="007B4D98" w:rsidP="007B4D98">
                      <w:pPr>
                        <w:spacing w:line="240" w:lineRule="auto"/>
                        <w:jc w:val="center"/>
                        <w:rPr>
                          <w:sz w:val="12"/>
                          <w:szCs w:val="12"/>
                        </w:rPr>
                      </w:pPr>
                      <w:r>
                        <w:rPr>
                          <w:sz w:val="12"/>
                          <w:szCs w:val="12"/>
                        </w:rPr>
                        <w:t xml:space="preserve">Formes localisées pas </w:t>
                      </w:r>
                      <w:r>
                        <w:rPr>
                          <w:sz w:val="12"/>
                          <w:szCs w:val="12"/>
                        </w:rPr>
                        <w:br/>
                        <w:t>prises en considération</w:t>
                      </w:r>
                    </w:p>
                  </w:txbxContent>
                </v:textbox>
              </v:shape>
            </w:pict>
          </mc:Fallback>
        </mc:AlternateContent>
      </w:r>
      <w:r w:rsidR="006E618B" w:rsidRPr="00AF5FD5">
        <w:rPr>
          <w:noProof/>
          <w:lang w:eastAsia="fr-CH"/>
        </w:rPr>
        <mc:AlternateContent>
          <mc:Choice Requires="wps">
            <w:drawing>
              <wp:anchor distT="0" distB="0" distL="114300" distR="114300" simplePos="0" relativeHeight="251650560" behindDoc="0" locked="0" layoutInCell="1" allowOverlap="1" wp14:anchorId="7B7C697C" wp14:editId="6EE7C663">
                <wp:simplePos x="0" y="0"/>
                <wp:positionH relativeFrom="column">
                  <wp:posOffset>1675130</wp:posOffset>
                </wp:positionH>
                <wp:positionV relativeFrom="paragraph">
                  <wp:posOffset>2890837</wp:posOffset>
                </wp:positionV>
                <wp:extent cx="962025" cy="104775"/>
                <wp:effectExtent l="0" t="0" r="9525" b="9525"/>
                <wp:wrapNone/>
                <wp:docPr id="4" name="Zone de texte 4"/>
                <wp:cNvGraphicFramePr/>
                <a:graphic xmlns:a="http://schemas.openxmlformats.org/drawingml/2006/main">
                  <a:graphicData uri="http://schemas.microsoft.com/office/word/2010/wordprocessingShape">
                    <wps:wsp>
                      <wps:cNvSpPr txBox="1"/>
                      <wps:spPr>
                        <a:xfrm>
                          <a:off x="0" y="0"/>
                          <a:ext cx="962025" cy="104775"/>
                        </a:xfrm>
                        <a:prstGeom prst="rect">
                          <a:avLst/>
                        </a:prstGeom>
                        <a:solidFill>
                          <a:schemeClr val="lt1"/>
                        </a:solidFill>
                        <a:ln w="6350">
                          <a:noFill/>
                        </a:ln>
                      </wps:spPr>
                      <wps:txbx>
                        <w:txbxContent>
                          <w:p w:rsidR="006E618B" w:rsidRPr="006E618B" w:rsidRDefault="006E618B" w:rsidP="006E618B">
                            <w:pPr>
                              <w:spacing w:line="240" w:lineRule="auto"/>
                              <w:rPr>
                                <w:sz w:val="12"/>
                                <w:szCs w:val="12"/>
                              </w:rPr>
                            </w:pPr>
                            <w:r w:rsidRPr="006E618B">
                              <w:rPr>
                                <w:sz w:val="12"/>
                                <w:szCs w:val="12"/>
                              </w:rPr>
                              <w:t>Épaisseur moyenne déclarée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697C" id="Zone de texte 4" o:spid="_x0000_s1028" type="#_x0000_t202" style="position:absolute;left:0;text-align:left;margin-left:131.9pt;margin-top:227.6pt;width:75.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" fillcolor="white [3201]" stroked="f" strokeweight=".5pt">
                <v:textbox inset="0,0,0,0">
                  <w:txbxContent>
                    <w:p w:rsidR="006E618B" w:rsidRPr="006E618B" w:rsidRDefault="006E618B" w:rsidP="006E618B">
                      <w:pPr>
                        <w:spacing w:line="240" w:lineRule="auto"/>
                        <w:rPr>
                          <w:sz w:val="12"/>
                          <w:szCs w:val="12"/>
                        </w:rPr>
                      </w:pPr>
                      <w:r w:rsidRPr="006E618B">
                        <w:rPr>
                          <w:sz w:val="12"/>
                          <w:szCs w:val="12"/>
                        </w:rPr>
                        <w:t>Épaisseur moyenne déclarée</w:t>
                      </w:r>
                    </w:p>
                  </w:txbxContent>
                </v:textbox>
              </v:shape>
            </w:pict>
          </mc:Fallback>
        </mc:AlternateContent>
      </w:r>
      <w:r w:rsidR="00B25DBE" w:rsidRPr="00AF5FD5">
        <w:rPr>
          <w:noProof/>
          <w:lang w:eastAsia="fr-CH"/>
        </w:rPr>
        <w:drawing>
          <wp:inline distT="0" distB="0" distL="0" distR="0" wp14:anchorId="124871C6" wp14:editId="00418702">
            <wp:extent cx="4372407" cy="3267986"/>
            <wp:effectExtent l="0" t="0" r="952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rev1.jpg"/>
                    <pic:cNvPicPr/>
                  </pic:nvPicPr>
                  <pic:blipFill>
                    <a:blip r:embed="rId11">
                      <a:extLst>
                        <a:ext uri="{28A0092B-C50C-407E-A947-70E740481C1C}">
                          <a14:useLocalDpi xmlns:a14="http://schemas.microsoft.com/office/drawing/2010/main" val="0"/>
                        </a:ext>
                      </a:extLst>
                    </a:blip>
                    <a:stretch>
                      <a:fillRect/>
                    </a:stretch>
                  </pic:blipFill>
                  <pic:spPr>
                    <a:xfrm>
                      <a:off x="0" y="0"/>
                      <a:ext cx="4386129" cy="3278242"/>
                    </a:xfrm>
                    <a:prstGeom prst="rect">
                      <a:avLst/>
                    </a:prstGeom>
                  </pic:spPr>
                </pic:pic>
              </a:graphicData>
            </a:graphic>
          </wp:inline>
        </w:drawing>
      </w:r>
    </w:p>
    <w:p w:rsidR="00B25DBE" w:rsidRPr="00AF5FD5" w:rsidRDefault="00B25DBE" w:rsidP="00B25DBE">
      <w:pPr>
        <w:pStyle w:val="SingleTxtG"/>
      </w:pPr>
      <w:r w:rsidRPr="00AF5FD5">
        <w:rPr>
          <w:noProof/>
          <w:lang w:eastAsia="fr-CH"/>
        </w:rPr>
        <w:drawing>
          <wp:inline distT="0" distB="0" distL="0" distR="0" wp14:anchorId="346FA942" wp14:editId="3ABD2B5C">
            <wp:extent cx="4360460" cy="246686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_rev1.jpg"/>
                    <pic:cNvPicPr/>
                  </pic:nvPicPr>
                  <pic:blipFill>
                    <a:blip r:embed="rId12">
                      <a:extLst>
                        <a:ext uri="{28A0092B-C50C-407E-A947-70E740481C1C}">
                          <a14:useLocalDpi xmlns:a14="http://schemas.microsoft.com/office/drawing/2010/main" val="0"/>
                        </a:ext>
                      </a:extLst>
                    </a:blip>
                    <a:stretch>
                      <a:fillRect/>
                    </a:stretch>
                  </pic:blipFill>
                  <pic:spPr>
                    <a:xfrm>
                      <a:off x="0" y="0"/>
                      <a:ext cx="4376052" cy="2475689"/>
                    </a:xfrm>
                    <a:prstGeom prst="rect">
                      <a:avLst/>
                    </a:prstGeom>
                  </pic:spPr>
                </pic:pic>
              </a:graphicData>
            </a:graphic>
          </wp:inline>
        </w:drawing>
      </w:r>
    </w:p>
    <w:p w:rsidR="00B25DBE" w:rsidRPr="00AF5FD5" w:rsidRDefault="006E618B" w:rsidP="006E618B">
      <w:pPr>
        <w:pStyle w:val="SingleTxtG"/>
        <w:spacing w:after="240"/>
      </w:pPr>
      <w:r w:rsidRPr="00AF5FD5">
        <w:rPr>
          <w:noProof/>
          <w:lang w:eastAsia="fr-CH"/>
        </w:rPr>
        <w:lastRenderedPageBreak/>
        <mc:AlternateContent>
          <mc:Choice Requires="wps">
            <w:drawing>
              <wp:anchor distT="0" distB="0" distL="114300" distR="114300" simplePos="0" relativeHeight="251649024" behindDoc="0" locked="0" layoutInCell="1" allowOverlap="1" wp14:anchorId="06352EDC" wp14:editId="41535782">
                <wp:simplePos x="0" y="0"/>
                <wp:positionH relativeFrom="column">
                  <wp:posOffset>2013585</wp:posOffset>
                </wp:positionH>
                <wp:positionV relativeFrom="paragraph">
                  <wp:posOffset>2672080</wp:posOffset>
                </wp:positionV>
                <wp:extent cx="1143000" cy="109538"/>
                <wp:effectExtent l="0" t="0" r="0" b="5080"/>
                <wp:wrapNone/>
                <wp:docPr id="5" name="Zone de texte 5"/>
                <wp:cNvGraphicFramePr/>
                <a:graphic xmlns:a="http://schemas.openxmlformats.org/drawingml/2006/main">
                  <a:graphicData uri="http://schemas.microsoft.com/office/word/2010/wordprocessingShape">
                    <wps:wsp>
                      <wps:cNvSpPr txBox="1"/>
                      <wps:spPr>
                        <a:xfrm>
                          <a:off x="0" y="0"/>
                          <a:ext cx="1143000" cy="109538"/>
                        </a:xfrm>
                        <a:prstGeom prst="rect">
                          <a:avLst/>
                        </a:prstGeom>
                        <a:solidFill>
                          <a:schemeClr val="lt1"/>
                        </a:solidFill>
                        <a:ln w="6350">
                          <a:noFill/>
                        </a:ln>
                      </wps:spPr>
                      <wps:txbx>
                        <w:txbxContent>
                          <w:p w:rsidR="006E618B" w:rsidRPr="006E618B" w:rsidRDefault="006E618B" w:rsidP="006E618B">
                            <w:pPr>
                              <w:spacing w:line="240" w:lineRule="auto"/>
                              <w:rPr>
                                <w:sz w:val="14"/>
                                <w:szCs w:val="14"/>
                              </w:rPr>
                            </w:pPr>
                            <w:r w:rsidRPr="006E618B">
                              <w:rPr>
                                <w:sz w:val="14"/>
                                <w:szCs w:val="14"/>
                              </w:rPr>
                              <w:t>Épaisseur moyenne déclarée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2EDC" id="Zone de texte 5" o:spid="_x0000_s1029" type="#_x0000_t202" style="position:absolute;left:0;text-align:left;margin-left:158.55pt;margin-top:210.4pt;width:90pt;height: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" fillcolor="white [3201]" stroked="f" strokeweight=".5pt">
                <v:textbox inset="0,0,0,0">
                  <w:txbxContent>
                    <w:p w:rsidR="006E618B" w:rsidRPr="006E618B" w:rsidRDefault="006E618B" w:rsidP="006E618B">
                      <w:pPr>
                        <w:spacing w:line="240" w:lineRule="auto"/>
                        <w:rPr>
                          <w:sz w:val="14"/>
                          <w:szCs w:val="14"/>
                        </w:rPr>
                      </w:pPr>
                      <w:r w:rsidRPr="006E618B">
                        <w:rPr>
                          <w:sz w:val="14"/>
                          <w:szCs w:val="14"/>
                        </w:rPr>
                        <w:t>Épaisseur moyenne déclarée</w:t>
                      </w:r>
                    </w:p>
                  </w:txbxContent>
                </v:textbox>
              </v:shape>
            </w:pict>
          </mc:Fallback>
        </mc:AlternateContent>
      </w:r>
      <w:r w:rsidR="00B25DBE" w:rsidRPr="00AF5FD5">
        <w:rPr>
          <w:noProof/>
          <w:lang w:eastAsia="fr-CH"/>
        </w:rPr>
        <w:drawing>
          <wp:inline distT="0" distB="0" distL="0" distR="0" wp14:anchorId="3550E8CC" wp14:editId="7BFFBA64">
            <wp:extent cx="3910083" cy="2817463"/>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rev1.jpg"/>
                    <pic:cNvPicPr/>
                  </pic:nvPicPr>
                  <pic:blipFill rotWithShape="1">
                    <a:blip r:embed="rId13">
                      <a:extLst>
                        <a:ext uri="{28A0092B-C50C-407E-A947-70E740481C1C}">
                          <a14:useLocalDpi xmlns:a14="http://schemas.microsoft.com/office/drawing/2010/main" val="0"/>
                        </a:ext>
                      </a:extLst>
                    </a:blip>
                    <a:srcRect b="41295"/>
                    <a:stretch/>
                  </pic:blipFill>
                  <pic:spPr bwMode="auto">
                    <a:xfrm>
                      <a:off x="0" y="0"/>
                      <a:ext cx="3915263" cy="2821196"/>
                    </a:xfrm>
                    <a:prstGeom prst="rect">
                      <a:avLst/>
                    </a:prstGeom>
                    <a:ln>
                      <a:noFill/>
                    </a:ln>
                    <a:extLst>
                      <a:ext uri="{53640926-AAD7-44D8-BBD7-CCE9431645EC}">
                        <a14:shadowObscured xmlns:a14="http://schemas.microsoft.com/office/drawing/2010/main"/>
                      </a:ext>
                    </a:extLst>
                  </pic:spPr>
                </pic:pic>
              </a:graphicData>
            </a:graphic>
          </wp:inline>
        </w:drawing>
      </w:r>
    </w:p>
    <w:p w:rsidR="00B25DBE" w:rsidRPr="00AF5FD5" w:rsidRDefault="00B25DBE" w:rsidP="003C2CC8">
      <w:pPr>
        <w:pStyle w:val="SingleTxtG"/>
        <w:spacing w:after="240"/>
        <w:jc w:val="left"/>
      </w:pPr>
      <m:oMathPara>
        <m:oMathParaPr>
          <m:jc m:val="left"/>
        </m:oMathParaPr>
        <m:oMath>
          <m:r>
            <w:rPr>
              <w:rFonts w:ascii="Cambria Math" w:hAnsi="Cambria Math"/>
            </w:rPr>
            <m:t>WI=</m:t>
          </m:r>
          <m:f>
            <m:fPr>
              <m:ctrlPr>
                <w:rPr>
                  <w:rFonts w:ascii="Cambria Math" w:hAnsi="Cambria Math"/>
                  <w:i/>
                </w:rPr>
              </m:ctrlPr>
            </m:fPr>
            <m:num>
              <m:r>
                <w:rPr>
                  <w:rFonts w:ascii="Cambria Math" w:hAnsi="Cambria Math"/>
                </w:rPr>
                <m:t>WIa x a+WIb x b+</m:t>
              </m:r>
              <m:f>
                <m:fPr>
                  <m:ctrlPr>
                    <w:rPr>
                      <w:rFonts w:ascii="Cambria Math" w:hAnsi="Cambria Math"/>
                      <w:i/>
                    </w:rPr>
                  </m:ctrlPr>
                </m:fPr>
                <m:num>
                  <m:r>
                    <w:rPr>
                      <w:rFonts w:ascii="Cambria Math" w:hAnsi="Cambria Math"/>
                    </w:rPr>
                    <m:t>WIb+WIc</m:t>
                  </m:r>
                </m:num>
                <m:den>
                  <m:r>
                    <w:rPr>
                      <w:rFonts w:ascii="Cambria Math" w:hAnsi="Cambria Math"/>
                    </w:rPr>
                    <m:t>2</m:t>
                  </m:r>
                </m:den>
              </m:f>
              <m:r>
                <w:rPr>
                  <w:rFonts w:ascii="Cambria Math" w:hAnsi="Cambria Math"/>
                </w:rPr>
                <m:t xml:space="preserve"> x c</m:t>
              </m:r>
            </m:num>
            <m:den>
              <m:r>
                <w:rPr>
                  <w:rFonts w:ascii="Cambria Math" w:hAnsi="Cambria Math"/>
                </w:rPr>
                <m:t>a+b+c</m:t>
              </m:r>
            </m:den>
          </m:f>
        </m:oMath>
      </m:oMathPara>
    </w:p>
    <w:p w:rsidR="00B25DBE" w:rsidRPr="00AF5FD5" w:rsidRDefault="00B52F60" w:rsidP="00B25DBE">
      <w:pPr>
        <w:pStyle w:val="SingleTxtG"/>
      </w:pPr>
      <w:r w:rsidRPr="00AF5FD5">
        <w:rPr>
          <w:noProof/>
          <w:lang w:eastAsia="fr-CH"/>
        </w:rPr>
        <mc:AlternateContent>
          <mc:Choice Requires="wps">
            <w:drawing>
              <wp:anchor distT="0" distB="0" distL="114300" distR="114300" simplePos="0" relativeHeight="251670016" behindDoc="0" locked="0" layoutInCell="1" allowOverlap="1" wp14:anchorId="78A86522" wp14:editId="6F3CB64B">
                <wp:simplePos x="0" y="0"/>
                <wp:positionH relativeFrom="column">
                  <wp:posOffset>951635</wp:posOffset>
                </wp:positionH>
                <wp:positionV relativeFrom="paragraph">
                  <wp:posOffset>78943</wp:posOffset>
                </wp:positionV>
                <wp:extent cx="518849" cy="156319"/>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518849" cy="156319"/>
                        </a:xfrm>
                        <a:prstGeom prst="rect">
                          <a:avLst/>
                        </a:prstGeom>
                        <a:solidFill>
                          <a:schemeClr val="lt1"/>
                        </a:solidFill>
                        <a:ln w="6350">
                          <a:noFill/>
                        </a:ln>
                      </wps:spPr>
                      <wps:txbx>
                        <w:txbxContent>
                          <w:p w:rsidR="00B52F60" w:rsidRPr="00B52F60" w:rsidRDefault="00B52F60" w:rsidP="00B52F60">
                            <w:pPr>
                              <w:spacing w:line="240" w:lineRule="auto"/>
                              <w:jc w:val="center"/>
                              <w:rPr>
                                <w:sz w:val="18"/>
                                <w:szCs w:val="18"/>
                              </w:rPr>
                            </w:pPr>
                            <w:r w:rsidRPr="00B52F60">
                              <w:rPr>
                                <w:sz w:val="18"/>
                                <w:szCs w:val="18"/>
                              </w:rPr>
                              <w:t>Légende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6522" id="Zone de texte 28" o:spid="_x0000_s1030" type="#_x0000_t202" style="position:absolute;left:0;text-align:left;margin-left:74.95pt;margin-top:6.2pt;width:40.85pt;height:1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" fillcolor="white [3201]" stroked="f" strokeweight=".5pt">
                <v:textbox inset="0,0,0,0">
                  <w:txbxContent>
                    <w:p w:rsidR="00B52F60" w:rsidRPr="00B52F60" w:rsidRDefault="00B52F60" w:rsidP="00B52F60">
                      <w:pPr>
                        <w:spacing w:line="240" w:lineRule="auto"/>
                        <w:jc w:val="center"/>
                        <w:rPr>
                          <w:sz w:val="18"/>
                          <w:szCs w:val="18"/>
                        </w:rPr>
                      </w:pPr>
                      <w:r w:rsidRPr="00B52F60">
                        <w:rPr>
                          <w:sz w:val="18"/>
                          <w:szCs w:val="18"/>
                        </w:rPr>
                        <w:t>Légende</w:t>
                      </w:r>
                    </w:p>
                  </w:txbxContent>
                </v:textbox>
              </v:shape>
            </w:pict>
          </mc:Fallback>
        </mc:AlternateContent>
      </w:r>
      <w:r w:rsidR="003C2CC8" w:rsidRPr="00AF5FD5">
        <w:rPr>
          <w:noProof/>
          <w:lang w:eastAsia="fr-CH"/>
        </w:rPr>
        <mc:AlternateContent>
          <mc:Choice Requires="wps">
            <w:drawing>
              <wp:anchor distT="0" distB="0" distL="114300" distR="114300" simplePos="0" relativeHeight="251667968" behindDoc="0" locked="0" layoutInCell="1" allowOverlap="1" wp14:anchorId="42585490" wp14:editId="51B0FDEA">
                <wp:simplePos x="0" y="0"/>
                <wp:positionH relativeFrom="column">
                  <wp:posOffset>1551623</wp:posOffset>
                </wp:positionH>
                <wp:positionV relativeFrom="paragraph">
                  <wp:posOffset>1510030</wp:posOffset>
                </wp:positionV>
                <wp:extent cx="3667125" cy="323850"/>
                <wp:effectExtent l="0" t="0" r="9525" b="0"/>
                <wp:wrapNone/>
                <wp:docPr id="21" name="Zone de texte 21"/>
                <wp:cNvGraphicFramePr/>
                <a:graphic xmlns:a="http://schemas.openxmlformats.org/drawingml/2006/main">
                  <a:graphicData uri="http://schemas.microsoft.com/office/word/2010/wordprocessingShape">
                    <wps:wsp>
                      <wps:cNvSpPr txBox="1"/>
                      <wps:spPr>
                        <a:xfrm>
                          <a:off x="0" y="0"/>
                          <a:ext cx="3667125" cy="323850"/>
                        </a:xfrm>
                        <a:prstGeom prst="rect">
                          <a:avLst/>
                        </a:prstGeom>
                        <a:solidFill>
                          <a:schemeClr val="lt1"/>
                        </a:solidFill>
                        <a:ln w="6350">
                          <a:noFill/>
                        </a:ln>
                      </wps:spPr>
                      <wps:txbx>
                        <w:txbxContent>
                          <w:p w:rsidR="003C2CC8" w:rsidRPr="006E618B" w:rsidRDefault="003C2CC8" w:rsidP="003C2CC8">
                            <w:pPr>
                              <w:spacing w:line="240" w:lineRule="auto"/>
                              <w:rPr>
                                <w:sz w:val="14"/>
                                <w:szCs w:val="14"/>
                              </w:rPr>
                            </w:pPr>
                            <w:r w:rsidRPr="003C2CC8">
                              <w:rPr>
                                <w:sz w:val="16"/>
                                <w:szCs w:val="16"/>
                              </w:rPr>
                              <w:t>est la hauteur intérieure au-dessus des décrochements pour passage des roues à l’</w:t>
                            </w:r>
                            <w:r>
                              <w:rPr>
                                <w:sz w:val="16"/>
                                <w:szCs w:val="16"/>
                              </w:rPr>
                              <w:t xml:space="preserve">endroit où la </w:t>
                            </w:r>
                            <w:r w:rsidRPr="003C2CC8">
                              <w:rPr>
                                <w:sz w:val="16"/>
                                <w:szCs w:val="16"/>
                              </w:rPr>
                              <w:t>largeur de la paroi commence à diminuer</w:t>
                            </w:r>
                            <w:r w:rsidR="0008634E">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5490" id="Zone de texte 21" o:spid="_x0000_s1031" type="#_x0000_t202" style="position:absolute;left:0;text-align:left;margin-left:122.2pt;margin-top:118.9pt;width:288.7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" fillcolor="white [3201]" stroked="f" strokeweight=".5pt">
                <v:textbox inset="0,0,0,0">
                  <w:txbxContent>
                    <w:p w:rsidR="003C2CC8" w:rsidRPr="006E618B" w:rsidRDefault="003C2CC8" w:rsidP="003C2CC8">
                      <w:pPr>
                        <w:spacing w:line="240" w:lineRule="auto"/>
                        <w:rPr>
                          <w:sz w:val="14"/>
                          <w:szCs w:val="14"/>
                        </w:rPr>
                      </w:pPr>
                      <w:r w:rsidRPr="003C2CC8">
                        <w:rPr>
                          <w:sz w:val="16"/>
                          <w:szCs w:val="16"/>
                        </w:rPr>
                        <w:t>est la hauteur intérieure au-dessus des décrochements pour passage des roues à l’</w:t>
                      </w:r>
                      <w:r>
                        <w:rPr>
                          <w:sz w:val="16"/>
                          <w:szCs w:val="16"/>
                        </w:rPr>
                        <w:t xml:space="preserve">endroit où la </w:t>
                      </w:r>
                      <w:r w:rsidRPr="003C2CC8">
                        <w:rPr>
                          <w:sz w:val="16"/>
                          <w:szCs w:val="16"/>
                        </w:rPr>
                        <w:t>largeur de la paroi commence à diminuer</w:t>
                      </w:r>
                      <w:r w:rsidR="0008634E">
                        <w:rPr>
                          <w:sz w:val="16"/>
                          <w:szCs w:val="16"/>
                        </w:rPr>
                        <w:t>.</w:t>
                      </w:r>
                    </w:p>
                  </w:txbxContent>
                </v:textbox>
              </v:shape>
            </w:pict>
          </mc:Fallback>
        </mc:AlternateContent>
      </w:r>
      <w:r w:rsidR="003C2CC8" w:rsidRPr="00AF5FD5">
        <w:rPr>
          <w:noProof/>
          <w:lang w:eastAsia="fr-CH"/>
        </w:rPr>
        <mc:AlternateContent>
          <mc:Choice Requires="wps">
            <w:drawing>
              <wp:anchor distT="0" distB="0" distL="114300" distR="114300" simplePos="0" relativeHeight="251665920" behindDoc="0" locked="0" layoutInCell="1" allowOverlap="1" wp14:anchorId="0E09DF8A" wp14:editId="2BD16955">
                <wp:simplePos x="0" y="0"/>
                <wp:positionH relativeFrom="column">
                  <wp:posOffset>1561148</wp:posOffset>
                </wp:positionH>
                <wp:positionV relativeFrom="paragraph">
                  <wp:posOffset>1267143</wp:posOffset>
                </wp:positionV>
                <wp:extent cx="3328987" cy="147320"/>
                <wp:effectExtent l="0" t="0" r="5080" b="5080"/>
                <wp:wrapNone/>
                <wp:docPr id="20" name="Zone de texte 20"/>
                <wp:cNvGraphicFramePr/>
                <a:graphic xmlns:a="http://schemas.openxmlformats.org/drawingml/2006/main">
                  <a:graphicData uri="http://schemas.microsoft.com/office/word/2010/wordprocessingShape">
                    <wps:wsp>
                      <wps:cNvSpPr txBox="1"/>
                      <wps:spPr>
                        <a:xfrm>
                          <a:off x="0" y="0"/>
                          <a:ext cx="3328987" cy="147320"/>
                        </a:xfrm>
                        <a:prstGeom prst="rect">
                          <a:avLst/>
                        </a:prstGeom>
                        <a:solidFill>
                          <a:schemeClr val="lt1"/>
                        </a:solidFill>
                        <a:ln w="6350">
                          <a:noFill/>
                        </a:ln>
                      </wps:spPr>
                      <wps:txbx>
                        <w:txbxContent>
                          <w:p w:rsidR="003C2CC8" w:rsidRPr="006E618B" w:rsidRDefault="003C2CC8" w:rsidP="003C2CC8">
                            <w:pPr>
                              <w:spacing w:line="240" w:lineRule="auto"/>
                              <w:rPr>
                                <w:sz w:val="14"/>
                                <w:szCs w:val="14"/>
                              </w:rPr>
                            </w:pPr>
                            <w:r w:rsidRPr="003C2CC8">
                              <w:rPr>
                                <w:sz w:val="16"/>
                                <w:szCs w:val="16"/>
                              </w:rPr>
                              <w:t>est la hauteur intérieure au-dessus des décrochements pour passage des roues</w:t>
                            </w:r>
                            <w:r w:rsidR="0008634E">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9DF8A" id="Zone de texte 20" o:spid="_x0000_s1032" type="#_x0000_t202" style="position:absolute;left:0;text-align:left;margin-left:122.95pt;margin-top:99.8pt;width:262.1pt;height:1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" fillcolor="white [3201]" stroked="f" strokeweight=".5pt">
                <v:textbox inset="0,0,0,0">
                  <w:txbxContent>
                    <w:p w:rsidR="003C2CC8" w:rsidRPr="006E618B" w:rsidRDefault="003C2CC8" w:rsidP="003C2CC8">
                      <w:pPr>
                        <w:spacing w:line="240" w:lineRule="auto"/>
                        <w:rPr>
                          <w:sz w:val="14"/>
                          <w:szCs w:val="14"/>
                        </w:rPr>
                      </w:pPr>
                      <w:r w:rsidRPr="003C2CC8">
                        <w:rPr>
                          <w:sz w:val="16"/>
                          <w:szCs w:val="16"/>
                        </w:rPr>
                        <w:t>est la hauteur intérieure au-dessus des décrochements pour passage des roues</w:t>
                      </w:r>
                      <w:r w:rsidR="0008634E">
                        <w:rPr>
                          <w:sz w:val="16"/>
                          <w:szCs w:val="16"/>
                        </w:rPr>
                        <w:t>.</w:t>
                      </w:r>
                    </w:p>
                  </w:txbxContent>
                </v:textbox>
              </v:shape>
            </w:pict>
          </mc:Fallback>
        </mc:AlternateContent>
      </w:r>
      <w:r w:rsidR="003C2CC8" w:rsidRPr="00AF5FD5">
        <w:rPr>
          <w:noProof/>
          <w:lang w:eastAsia="fr-CH"/>
        </w:rPr>
        <mc:AlternateContent>
          <mc:Choice Requires="wps">
            <w:drawing>
              <wp:anchor distT="0" distB="0" distL="114300" distR="114300" simplePos="0" relativeHeight="251663872" behindDoc="0" locked="0" layoutInCell="1" allowOverlap="1" wp14:anchorId="1BC29E33" wp14:editId="143BC679">
                <wp:simplePos x="0" y="0"/>
                <wp:positionH relativeFrom="column">
                  <wp:posOffset>1551623</wp:posOffset>
                </wp:positionH>
                <wp:positionV relativeFrom="paragraph">
                  <wp:posOffset>1043305</wp:posOffset>
                </wp:positionV>
                <wp:extent cx="3043237" cy="147320"/>
                <wp:effectExtent l="0" t="0" r="5080" b="5080"/>
                <wp:wrapNone/>
                <wp:docPr id="19" name="Zone de texte 19"/>
                <wp:cNvGraphicFramePr/>
                <a:graphic xmlns:a="http://schemas.openxmlformats.org/drawingml/2006/main">
                  <a:graphicData uri="http://schemas.microsoft.com/office/word/2010/wordprocessingShape">
                    <wps:wsp>
                      <wps:cNvSpPr txBox="1"/>
                      <wps:spPr>
                        <a:xfrm>
                          <a:off x="0" y="0"/>
                          <a:ext cx="3043237" cy="147320"/>
                        </a:xfrm>
                        <a:prstGeom prst="rect">
                          <a:avLst/>
                        </a:prstGeom>
                        <a:solidFill>
                          <a:schemeClr val="lt1"/>
                        </a:solidFill>
                        <a:ln w="6350">
                          <a:noFill/>
                        </a:ln>
                      </wps:spPr>
                      <wps:txbx>
                        <w:txbxContent>
                          <w:p w:rsidR="003C2CC8" w:rsidRPr="006E618B" w:rsidRDefault="003C2CC8" w:rsidP="003C2CC8">
                            <w:pPr>
                              <w:spacing w:line="240" w:lineRule="auto"/>
                              <w:rPr>
                                <w:sz w:val="14"/>
                                <w:szCs w:val="14"/>
                              </w:rPr>
                            </w:pPr>
                            <w:r w:rsidRPr="003C2CC8">
                              <w:rPr>
                                <w:sz w:val="16"/>
                                <w:szCs w:val="16"/>
                              </w:rPr>
                              <w:t>est la hauteur intérieure des décrochements pour passage des roues</w:t>
                            </w:r>
                            <w:r w:rsidR="0008634E">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29E33" id="Zone de texte 19" o:spid="_x0000_s1033" type="#_x0000_t202" style="position:absolute;left:0;text-align:left;margin-left:122.2pt;margin-top:82.15pt;width:239.6pt;height:1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" fillcolor="white [3201]" stroked="f" strokeweight=".5pt">
                <v:textbox inset="0,0,0,0">
                  <w:txbxContent>
                    <w:p w:rsidR="003C2CC8" w:rsidRPr="006E618B" w:rsidRDefault="003C2CC8" w:rsidP="003C2CC8">
                      <w:pPr>
                        <w:spacing w:line="240" w:lineRule="auto"/>
                        <w:rPr>
                          <w:sz w:val="14"/>
                          <w:szCs w:val="14"/>
                        </w:rPr>
                      </w:pPr>
                      <w:r w:rsidRPr="003C2CC8">
                        <w:rPr>
                          <w:sz w:val="16"/>
                          <w:szCs w:val="16"/>
                        </w:rPr>
                        <w:t>est la hauteur intérieure des décrochements pour passage des roues</w:t>
                      </w:r>
                      <w:r w:rsidR="0008634E">
                        <w:rPr>
                          <w:sz w:val="16"/>
                          <w:szCs w:val="16"/>
                        </w:rPr>
                        <w:t>.</w:t>
                      </w:r>
                    </w:p>
                  </w:txbxContent>
                </v:textbox>
              </v:shape>
            </w:pict>
          </mc:Fallback>
        </mc:AlternateContent>
      </w:r>
      <w:r w:rsidR="003C2CC8" w:rsidRPr="00AF5FD5">
        <w:rPr>
          <w:noProof/>
          <w:lang w:eastAsia="fr-CH"/>
        </w:rPr>
        <mc:AlternateContent>
          <mc:Choice Requires="wps">
            <w:drawing>
              <wp:anchor distT="0" distB="0" distL="114300" distR="114300" simplePos="0" relativeHeight="251646464" behindDoc="0" locked="0" layoutInCell="1" allowOverlap="1" wp14:anchorId="5439CF6C" wp14:editId="48D7364E">
                <wp:simplePos x="0" y="0"/>
                <wp:positionH relativeFrom="column">
                  <wp:posOffset>1527810</wp:posOffset>
                </wp:positionH>
                <wp:positionV relativeFrom="paragraph">
                  <wp:posOffset>543243</wp:posOffset>
                </wp:positionV>
                <wp:extent cx="3262313" cy="147320"/>
                <wp:effectExtent l="0" t="0" r="0" b="5080"/>
                <wp:wrapNone/>
                <wp:docPr id="8" name="Zone de texte 8"/>
                <wp:cNvGraphicFramePr/>
                <a:graphic xmlns:a="http://schemas.openxmlformats.org/drawingml/2006/main">
                  <a:graphicData uri="http://schemas.microsoft.com/office/word/2010/wordprocessingShape">
                    <wps:wsp>
                      <wps:cNvSpPr txBox="1"/>
                      <wps:spPr>
                        <a:xfrm>
                          <a:off x="0" y="0"/>
                          <a:ext cx="3262313" cy="147320"/>
                        </a:xfrm>
                        <a:prstGeom prst="rect">
                          <a:avLst/>
                        </a:prstGeom>
                        <a:solidFill>
                          <a:schemeClr val="lt1"/>
                        </a:solidFill>
                        <a:ln w="6350">
                          <a:noFill/>
                        </a:ln>
                      </wps:spPr>
                      <wps:txbx>
                        <w:txbxContent>
                          <w:p w:rsidR="003C2CC8" w:rsidRPr="006E618B" w:rsidRDefault="003C2CC8" w:rsidP="003C2CC8">
                            <w:pPr>
                              <w:spacing w:line="240" w:lineRule="auto"/>
                              <w:rPr>
                                <w:sz w:val="14"/>
                                <w:szCs w:val="14"/>
                              </w:rPr>
                            </w:pPr>
                            <w:r w:rsidRPr="003C2CC8">
                              <w:rPr>
                                <w:sz w:val="16"/>
                                <w:szCs w:val="16"/>
                              </w:rPr>
                              <w:t>est la largeur intérieure au-dessus des décrochements pour passage des roues</w:t>
                            </w:r>
                            <w:r w:rsidR="0008634E">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9CF6C" id="Zone de texte 8" o:spid="_x0000_s1034" type="#_x0000_t202" style="position:absolute;left:0;text-align:left;margin-left:120.3pt;margin-top:42.8pt;width:256.9pt;height:1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" fillcolor="white [3201]" stroked="f" strokeweight=".5pt">
                <v:textbox inset="0,0,0,0">
                  <w:txbxContent>
                    <w:p w:rsidR="003C2CC8" w:rsidRPr="006E618B" w:rsidRDefault="003C2CC8" w:rsidP="003C2CC8">
                      <w:pPr>
                        <w:spacing w:line="240" w:lineRule="auto"/>
                        <w:rPr>
                          <w:sz w:val="14"/>
                          <w:szCs w:val="14"/>
                        </w:rPr>
                      </w:pPr>
                      <w:r w:rsidRPr="003C2CC8">
                        <w:rPr>
                          <w:sz w:val="16"/>
                          <w:szCs w:val="16"/>
                        </w:rPr>
                        <w:t>est la largeur intérieure au-dessus des décrochements pour passage des roues</w:t>
                      </w:r>
                      <w:r w:rsidR="0008634E">
                        <w:rPr>
                          <w:sz w:val="16"/>
                          <w:szCs w:val="16"/>
                        </w:rPr>
                        <w:t>.</w:t>
                      </w:r>
                    </w:p>
                  </w:txbxContent>
                </v:textbox>
              </v:shape>
            </w:pict>
          </mc:Fallback>
        </mc:AlternateContent>
      </w:r>
      <w:r w:rsidR="003C2CC8" w:rsidRPr="00AF5FD5">
        <w:rPr>
          <w:noProof/>
          <w:lang w:eastAsia="fr-CH"/>
        </w:rPr>
        <mc:AlternateContent>
          <mc:Choice Requires="wps">
            <w:drawing>
              <wp:anchor distT="0" distB="0" distL="114300" distR="114300" simplePos="0" relativeHeight="251644416" behindDoc="0" locked="0" layoutInCell="1" allowOverlap="1" wp14:anchorId="034B2089" wp14:editId="742BE535">
                <wp:simplePos x="0" y="0"/>
                <wp:positionH relativeFrom="column">
                  <wp:posOffset>1542098</wp:posOffset>
                </wp:positionH>
                <wp:positionV relativeFrom="paragraph">
                  <wp:posOffset>333693</wp:posOffset>
                </wp:positionV>
                <wp:extent cx="3776662" cy="147320"/>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3776662" cy="147320"/>
                        </a:xfrm>
                        <a:prstGeom prst="rect">
                          <a:avLst/>
                        </a:prstGeom>
                        <a:solidFill>
                          <a:schemeClr val="lt1"/>
                        </a:solidFill>
                        <a:ln w="6350">
                          <a:noFill/>
                        </a:ln>
                      </wps:spPr>
                      <wps:txbx>
                        <w:txbxContent>
                          <w:p w:rsidR="006E618B" w:rsidRPr="003C2CC8" w:rsidRDefault="003C2CC8" w:rsidP="006E618B">
                            <w:pPr>
                              <w:spacing w:line="240" w:lineRule="auto"/>
                              <w:rPr>
                                <w:sz w:val="16"/>
                                <w:szCs w:val="16"/>
                              </w:rPr>
                            </w:pPr>
                            <w:r w:rsidRPr="003C2CC8">
                              <w:rPr>
                                <w:sz w:val="16"/>
                                <w:szCs w:val="16"/>
                              </w:rPr>
                              <w:t>est la largeur intérieure entre les décrochements pour passage des roues</w:t>
                            </w:r>
                            <w:r w:rsidR="0008634E">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B2089" id="Zone de texte 7" o:spid="_x0000_s1035" type="#_x0000_t202" style="position:absolute;left:0;text-align:left;margin-left:121.45pt;margin-top:26.3pt;width:297.35pt;height:1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" fillcolor="white [3201]" stroked="f" strokeweight=".5pt">
                <v:textbox inset="0,0,0,0">
                  <w:txbxContent>
                    <w:p w:rsidR="006E618B" w:rsidRPr="003C2CC8" w:rsidRDefault="003C2CC8" w:rsidP="006E618B">
                      <w:pPr>
                        <w:spacing w:line="240" w:lineRule="auto"/>
                        <w:rPr>
                          <w:sz w:val="16"/>
                          <w:szCs w:val="16"/>
                        </w:rPr>
                      </w:pPr>
                      <w:r w:rsidRPr="003C2CC8">
                        <w:rPr>
                          <w:sz w:val="16"/>
                          <w:szCs w:val="16"/>
                        </w:rPr>
                        <w:t>est la largeur intérieure entre les décrochements pour passage des roues</w:t>
                      </w:r>
                      <w:r w:rsidR="0008634E">
                        <w:rPr>
                          <w:sz w:val="16"/>
                          <w:szCs w:val="16"/>
                        </w:rPr>
                        <w:t>.</w:t>
                      </w:r>
                    </w:p>
                  </w:txbxContent>
                </v:textbox>
              </v:shape>
            </w:pict>
          </mc:Fallback>
        </mc:AlternateContent>
      </w:r>
      <w:r w:rsidR="003C2CC8" w:rsidRPr="00AF5FD5">
        <w:rPr>
          <w:noProof/>
          <w:lang w:eastAsia="fr-CH"/>
        </w:rPr>
        <mc:AlternateContent>
          <mc:Choice Requires="wps">
            <w:drawing>
              <wp:anchor distT="0" distB="0" distL="114300" distR="114300" simplePos="0" relativeHeight="251658752" behindDoc="0" locked="0" layoutInCell="1" allowOverlap="1" wp14:anchorId="5305205C" wp14:editId="06B74ECE">
                <wp:simplePos x="0" y="0"/>
                <wp:positionH relativeFrom="column">
                  <wp:posOffset>1556385</wp:posOffset>
                </wp:positionH>
                <wp:positionV relativeFrom="paragraph">
                  <wp:posOffset>785812</wp:posOffset>
                </wp:positionV>
                <wp:extent cx="2214562" cy="147637"/>
                <wp:effectExtent l="0" t="0" r="0" b="5080"/>
                <wp:wrapNone/>
                <wp:docPr id="18" name="Zone de texte 18"/>
                <wp:cNvGraphicFramePr/>
                <a:graphic xmlns:a="http://schemas.openxmlformats.org/drawingml/2006/main">
                  <a:graphicData uri="http://schemas.microsoft.com/office/word/2010/wordprocessingShape">
                    <wps:wsp>
                      <wps:cNvSpPr txBox="1"/>
                      <wps:spPr>
                        <a:xfrm>
                          <a:off x="0" y="0"/>
                          <a:ext cx="2214562" cy="147637"/>
                        </a:xfrm>
                        <a:prstGeom prst="rect">
                          <a:avLst/>
                        </a:prstGeom>
                        <a:solidFill>
                          <a:schemeClr val="lt1"/>
                        </a:solidFill>
                        <a:ln w="6350">
                          <a:noFill/>
                        </a:ln>
                      </wps:spPr>
                      <wps:txbx>
                        <w:txbxContent>
                          <w:p w:rsidR="003C2CC8" w:rsidRPr="003C2CC8" w:rsidRDefault="003C2CC8" w:rsidP="003C2CC8">
                            <w:pPr>
                              <w:spacing w:line="240" w:lineRule="auto"/>
                              <w:rPr>
                                <w:sz w:val="16"/>
                                <w:szCs w:val="16"/>
                              </w:rPr>
                            </w:pPr>
                            <w:r w:rsidRPr="003C2CC8">
                              <w:rPr>
                                <w:sz w:val="16"/>
                                <w:szCs w:val="16"/>
                              </w:rPr>
                              <w:t>est la largeur intérieure du toit</w:t>
                            </w:r>
                            <w:r w:rsidR="0008634E">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5205C" id="Zone de texte 18" o:spid="_x0000_s1036" type="#_x0000_t202" style="position:absolute;left:0;text-align:left;margin-left:122.55pt;margin-top:61.85pt;width:174.35pt;height: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" fillcolor="white [3201]" stroked="f" strokeweight=".5pt">
                <v:textbox inset="0,0,0,0">
                  <w:txbxContent>
                    <w:p w:rsidR="003C2CC8" w:rsidRPr="003C2CC8" w:rsidRDefault="003C2CC8" w:rsidP="003C2CC8">
                      <w:pPr>
                        <w:spacing w:line="240" w:lineRule="auto"/>
                        <w:rPr>
                          <w:sz w:val="16"/>
                          <w:szCs w:val="16"/>
                        </w:rPr>
                      </w:pPr>
                      <w:r w:rsidRPr="003C2CC8">
                        <w:rPr>
                          <w:sz w:val="16"/>
                          <w:szCs w:val="16"/>
                        </w:rPr>
                        <w:t>est la largeur intérieure du toit</w:t>
                      </w:r>
                      <w:r w:rsidR="0008634E">
                        <w:rPr>
                          <w:sz w:val="16"/>
                          <w:szCs w:val="16"/>
                        </w:rPr>
                        <w:t>.</w:t>
                      </w:r>
                    </w:p>
                  </w:txbxContent>
                </v:textbox>
              </v:shape>
            </w:pict>
          </mc:Fallback>
        </mc:AlternateContent>
      </w:r>
      <w:r w:rsidR="00B25DBE" w:rsidRPr="00AF5FD5">
        <w:rPr>
          <w:noProof/>
          <w:lang w:eastAsia="fr-CH"/>
        </w:rPr>
        <w:drawing>
          <wp:inline distT="0" distB="0" distL="0" distR="0" wp14:anchorId="71883864" wp14:editId="11E84240">
            <wp:extent cx="4543425" cy="1778635"/>
            <wp:effectExtent l="0" t="0" r="952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rev1.jpg"/>
                    <pic:cNvPicPr/>
                  </pic:nvPicPr>
                  <pic:blipFill rotWithShape="1">
                    <a:blip r:embed="rId13">
                      <a:extLst>
                        <a:ext uri="{28A0092B-C50C-407E-A947-70E740481C1C}">
                          <a14:useLocalDpi xmlns:a14="http://schemas.microsoft.com/office/drawing/2010/main" val="0"/>
                        </a:ext>
                      </a:extLst>
                    </a:blip>
                    <a:srcRect t="64002"/>
                    <a:stretch/>
                  </pic:blipFill>
                  <pic:spPr bwMode="auto">
                    <a:xfrm>
                      <a:off x="0" y="0"/>
                      <a:ext cx="4563664" cy="1786558"/>
                    </a:xfrm>
                    <a:prstGeom prst="rect">
                      <a:avLst/>
                    </a:prstGeom>
                    <a:ln>
                      <a:noFill/>
                    </a:ln>
                    <a:extLst>
                      <a:ext uri="{53640926-AAD7-44D8-BBD7-CCE9431645EC}">
                        <a14:shadowObscured xmlns:a14="http://schemas.microsoft.com/office/drawing/2010/main"/>
                      </a:ext>
                    </a:extLst>
                  </pic:spPr>
                </pic:pic>
              </a:graphicData>
            </a:graphic>
          </wp:inline>
        </w:drawing>
      </w:r>
    </w:p>
    <w:p w:rsidR="00B25DBE" w:rsidRPr="00AF5FD5" w:rsidRDefault="00B25DBE" w:rsidP="00B25DBE">
      <w:pPr>
        <w:pStyle w:val="SingleTxtG"/>
      </w:pPr>
    </w:p>
    <w:p w:rsidR="00B25DBE" w:rsidRPr="00AF5FD5" w:rsidRDefault="003C2CC8" w:rsidP="00B25DBE">
      <w:pPr>
        <w:pStyle w:val="SingleTxtG"/>
      </w:pPr>
      <w:r w:rsidRPr="00AF5FD5">
        <w:rPr>
          <w:noProof/>
          <w:lang w:eastAsia="fr-CH"/>
        </w:rPr>
        <mc:AlternateContent>
          <mc:Choice Requires="wps">
            <w:drawing>
              <wp:anchor distT="0" distB="0" distL="114300" distR="114300" simplePos="0" relativeHeight="251710464" behindDoc="0" locked="0" layoutInCell="1" allowOverlap="1" wp14:anchorId="164256B6" wp14:editId="0A054635">
                <wp:simplePos x="0" y="0"/>
                <wp:positionH relativeFrom="column">
                  <wp:posOffset>2113598</wp:posOffset>
                </wp:positionH>
                <wp:positionV relativeFrom="paragraph">
                  <wp:posOffset>2717483</wp:posOffset>
                </wp:positionV>
                <wp:extent cx="957262" cy="128587"/>
                <wp:effectExtent l="0" t="0" r="0" b="5080"/>
                <wp:wrapNone/>
                <wp:docPr id="22" name="Zone de texte 22"/>
                <wp:cNvGraphicFramePr/>
                <a:graphic xmlns:a="http://schemas.openxmlformats.org/drawingml/2006/main">
                  <a:graphicData uri="http://schemas.microsoft.com/office/word/2010/wordprocessingShape">
                    <wps:wsp>
                      <wps:cNvSpPr txBox="1"/>
                      <wps:spPr>
                        <a:xfrm>
                          <a:off x="0" y="0"/>
                          <a:ext cx="957262" cy="128587"/>
                        </a:xfrm>
                        <a:prstGeom prst="rect">
                          <a:avLst/>
                        </a:prstGeom>
                        <a:solidFill>
                          <a:schemeClr val="lt1"/>
                        </a:solidFill>
                        <a:ln w="6350">
                          <a:noFill/>
                        </a:ln>
                      </wps:spPr>
                      <wps:txbx>
                        <w:txbxContent>
                          <w:p w:rsidR="003C2CC8" w:rsidRPr="003C2CC8" w:rsidRDefault="003C2CC8" w:rsidP="003C2CC8">
                            <w:pPr>
                              <w:spacing w:line="240" w:lineRule="auto"/>
                              <w:rPr>
                                <w:sz w:val="12"/>
                                <w:szCs w:val="12"/>
                              </w:rPr>
                            </w:pPr>
                            <w:r w:rsidRPr="003C2CC8">
                              <w:rPr>
                                <w:sz w:val="12"/>
                                <w:szCs w:val="12"/>
                              </w:rPr>
                              <w:t>Épaisseur moyenne déclarée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256B6" id="Zone de texte 22" o:spid="_x0000_s1037" type="#_x0000_t202" style="position:absolute;left:0;text-align:left;margin-left:166.45pt;margin-top:214pt;width:75.35pt;height:1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" fillcolor="white [3201]" stroked="f" strokeweight=".5pt">
                <v:textbox inset="0,0,0,0">
                  <w:txbxContent>
                    <w:p w:rsidR="003C2CC8" w:rsidRPr="003C2CC8" w:rsidRDefault="003C2CC8" w:rsidP="003C2CC8">
                      <w:pPr>
                        <w:spacing w:line="240" w:lineRule="auto"/>
                        <w:rPr>
                          <w:sz w:val="12"/>
                          <w:szCs w:val="12"/>
                        </w:rPr>
                      </w:pPr>
                      <w:r w:rsidRPr="003C2CC8">
                        <w:rPr>
                          <w:sz w:val="12"/>
                          <w:szCs w:val="12"/>
                        </w:rPr>
                        <w:t>Épaisseur moyenne déclarée</w:t>
                      </w:r>
                    </w:p>
                  </w:txbxContent>
                </v:textbox>
              </v:shape>
            </w:pict>
          </mc:Fallback>
        </mc:AlternateContent>
      </w:r>
      <w:r w:rsidR="00B25DBE" w:rsidRPr="00AF5FD5">
        <w:rPr>
          <w:noProof/>
          <w:lang w:eastAsia="fr-CH"/>
        </w:rPr>
        <w:drawing>
          <wp:inline distT="0" distB="0" distL="0" distR="0" wp14:anchorId="07631AAD" wp14:editId="000313E7">
            <wp:extent cx="4080680" cy="30091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_rev1.jpg"/>
                    <pic:cNvPicPr/>
                  </pic:nvPicPr>
                  <pic:blipFill>
                    <a:blip r:embed="rId14">
                      <a:extLst>
                        <a:ext uri="{28A0092B-C50C-407E-A947-70E740481C1C}">
                          <a14:useLocalDpi xmlns:a14="http://schemas.microsoft.com/office/drawing/2010/main" val="0"/>
                        </a:ext>
                      </a:extLst>
                    </a:blip>
                    <a:stretch>
                      <a:fillRect/>
                    </a:stretch>
                  </pic:blipFill>
                  <pic:spPr>
                    <a:xfrm>
                      <a:off x="0" y="0"/>
                      <a:ext cx="4090361" cy="3016309"/>
                    </a:xfrm>
                    <a:prstGeom prst="rect">
                      <a:avLst/>
                    </a:prstGeom>
                  </pic:spPr>
                </pic:pic>
              </a:graphicData>
            </a:graphic>
          </wp:inline>
        </w:drawing>
      </w:r>
    </w:p>
    <w:p w:rsidR="00B25DBE" w:rsidRPr="00AF5FD5" w:rsidRDefault="007B4D98" w:rsidP="003C2CC8">
      <w:pPr>
        <w:pStyle w:val="SingleTxtG"/>
        <w:spacing w:after="240"/>
      </w:pPr>
      <w:r w:rsidRPr="00AF5FD5">
        <w:rPr>
          <w:noProof/>
          <w:lang w:eastAsia="fr-CH"/>
        </w:rPr>
        <w:lastRenderedPageBreak/>
        <mc:AlternateContent>
          <mc:Choice Requires="wps">
            <w:drawing>
              <wp:anchor distT="0" distB="0" distL="114300" distR="114300" simplePos="0" relativeHeight="251718656" behindDoc="0" locked="0" layoutInCell="1" allowOverlap="1" wp14:anchorId="50F873E9" wp14:editId="66839406">
                <wp:simplePos x="0" y="0"/>
                <wp:positionH relativeFrom="column">
                  <wp:posOffset>2444205</wp:posOffset>
                </wp:positionH>
                <wp:positionV relativeFrom="paragraph">
                  <wp:posOffset>2758658</wp:posOffset>
                </wp:positionV>
                <wp:extent cx="518849" cy="128792"/>
                <wp:effectExtent l="0" t="0" r="0" b="5080"/>
                <wp:wrapNone/>
                <wp:docPr id="26" name="Zone de texte 26"/>
                <wp:cNvGraphicFramePr/>
                <a:graphic xmlns:a="http://schemas.openxmlformats.org/drawingml/2006/main">
                  <a:graphicData uri="http://schemas.microsoft.com/office/word/2010/wordprocessingShape">
                    <wps:wsp>
                      <wps:cNvSpPr txBox="1"/>
                      <wps:spPr>
                        <a:xfrm>
                          <a:off x="0" y="0"/>
                          <a:ext cx="518849" cy="128792"/>
                        </a:xfrm>
                        <a:prstGeom prst="rect">
                          <a:avLst/>
                        </a:prstGeom>
                        <a:solidFill>
                          <a:schemeClr val="lt1"/>
                        </a:solidFill>
                        <a:ln w="6350">
                          <a:noFill/>
                        </a:ln>
                      </wps:spPr>
                      <wps:txbx>
                        <w:txbxContent>
                          <w:p w:rsidR="007B4D98" w:rsidRPr="006E618B" w:rsidRDefault="007B4D98" w:rsidP="007B4D98">
                            <w:pPr>
                              <w:spacing w:line="240" w:lineRule="auto"/>
                              <w:jc w:val="center"/>
                              <w:rPr>
                                <w:sz w:val="12"/>
                                <w:szCs w:val="12"/>
                              </w:rPr>
                            </w:pPr>
                            <w:r>
                              <w:rPr>
                                <w:sz w:val="12"/>
                                <w:szCs w:val="12"/>
                              </w:rPr>
                              <w:t>WI avant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873E9" id="Zone de texte 26" o:spid="_x0000_s1038" type="#_x0000_t202" style="position:absolute;left:0;text-align:left;margin-left:192.45pt;margin-top:217.2pt;width:40.85pt;height:1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" fillcolor="white [3201]" stroked="f" strokeweight=".5pt">
                <v:textbox inset="0,0,0,0">
                  <w:txbxContent>
                    <w:p w:rsidR="007B4D98" w:rsidRPr="006E618B" w:rsidRDefault="007B4D98" w:rsidP="007B4D98">
                      <w:pPr>
                        <w:spacing w:line="240" w:lineRule="auto"/>
                        <w:jc w:val="center"/>
                        <w:rPr>
                          <w:sz w:val="12"/>
                          <w:szCs w:val="12"/>
                        </w:rPr>
                      </w:pPr>
                      <w:r>
                        <w:rPr>
                          <w:sz w:val="12"/>
                          <w:szCs w:val="12"/>
                        </w:rPr>
                        <w:t>WI avant</w:t>
                      </w:r>
                    </w:p>
                  </w:txbxContent>
                </v:textbox>
              </v:shape>
            </w:pict>
          </mc:Fallback>
        </mc:AlternateContent>
      </w:r>
      <w:r w:rsidRPr="00AF5FD5">
        <w:rPr>
          <w:noProof/>
          <w:lang w:eastAsia="fr-CH"/>
        </w:rPr>
        <mc:AlternateContent>
          <mc:Choice Requires="wps">
            <w:drawing>
              <wp:anchor distT="0" distB="0" distL="114300" distR="114300" simplePos="0" relativeHeight="251661824" behindDoc="0" locked="0" layoutInCell="1" allowOverlap="1" wp14:anchorId="0140BC42" wp14:editId="2B82DDD6">
                <wp:simplePos x="0" y="0"/>
                <wp:positionH relativeFrom="column">
                  <wp:posOffset>2432023</wp:posOffset>
                </wp:positionH>
                <wp:positionV relativeFrom="paragraph">
                  <wp:posOffset>721356</wp:posOffset>
                </wp:positionV>
                <wp:extent cx="518849" cy="128792"/>
                <wp:effectExtent l="0" t="0" r="0" b="5080"/>
                <wp:wrapNone/>
                <wp:docPr id="24" name="Zone de texte 24"/>
                <wp:cNvGraphicFramePr/>
                <a:graphic xmlns:a="http://schemas.openxmlformats.org/drawingml/2006/main">
                  <a:graphicData uri="http://schemas.microsoft.com/office/word/2010/wordprocessingShape">
                    <wps:wsp>
                      <wps:cNvSpPr txBox="1"/>
                      <wps:spPr>
                        <a:xfrm>
                          <a:off x="0" y="0"/>
                          <a:ext cx="518849" cy="128792"/>
                        </a:xfrm>
                        <a:prstGeom prst="rect">
                          <a:avLst/>
                        </a:prstGeom>
                        <a:solidFill>
                          <a:schemeClr val="lt1"/>
                        </a:solidFill>
                        <a:ln w="6350">
                          <a:noFill/>
                        </a:ln>
                      </wps:spPr>
                      <wps:txbx>
                        <w:txbxContent>
                          <w:p w:rsidR="007B4D98" w:rsidRPr="006E618B" w:rsidRDefault="007B4D98" w:rsidP="007B4D98">
                            <w:pPr>
                              <w:spacing w:line="240" w:lineRule="auto"/>
                              <w:jc w:val="center"/>
                              <w:rPr>
                                <w:sz w:val="12"/>
                                <w:szCs w:val="12"/>
                              </w:rPr>
                            </w:pPr>
                            <w:r>
                              <w:rPr>
                                <w:sz w:val="12"/>
                                <w:szCs w:val="12"/>
                              </w:rPr>
                              <w:t>WI arrière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0BC42" id="Zone de texte 24" o:spid="_x0000_s1039" type="#_x0000_t202" style="position:absolute;left:0;text-align:left;margin-left:191.5pt;margin-top:56.8pt;width:40.85pt;height:1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" fillcolor="white [3201]" stroked="f" strokeweight=".5pt">
                <v:textbox inset="0,0,0,0">
                  <w:txbxContent>
                    <w:p w:rsidR="007B4D98" w:rsidRPr="006E618B" w:rsidRDefault="007B4D98" w:rsidP="007B4D98">
                      <w:pPr>
                        <w:spacing w:line="240" w:lineRule="auto"/>
                        <w:jc w:val="center"/>
                        <w:rPr>
                          <w:sz w:val="12"/>
                          <w:szCs w:val="12"/>
                        </w:rPr>
                      </w:pPr>
                      <w:r>
                        <w:rPr>
                          <w:sz w:val="12"/>
                          <w:szCs w:val="12"/>
                        </w:rPr>
                        <w:t>WI arrière</w:t>
                      </w:r>
                    </w:p>
                  </w:txbxContent>
                </v:textbox>
              </v:shape>
            </w:pict>
          </mc:Fallback>
        </mc:AlternateContent>
      </w:r>
      <w:r>
        <w:rPr>
          <w:noProof/>
          <w:lang w:eastAsia="fr-CH"/>
        </w:rPr>
        <w:drawing>
          <wp:inline distT="0" distB="0" distL="0" distR="0">
            <wp:extent cx="3971498" cy="3132161"/>
            <wp:effectExtent l="0" t="0" r="0" b="0"/>
            <wp:docPr id="15" name="Picture 6"/>
            <wp:cNvGraphicFramePr/>
            <a:graphic xmlns:a="http://schemas.openxmlformats.org/drawingml/2006/main">
              <a:graphicData uri="http://schemas.openxmlformats.org/drawingml/2006/picture">
                <pic:pic xmlns:pic="http://schemas.openxmlformats.org/drawingml/2006/picture">
                  <pic:nvPicPr>
                    <pic:cNvPr id="15" name="Picture 6"/>
                    <pic:cNvPicPr/>
                  </pic:nvPicPr>
                  <pic:blipFill rotWithShape="1">
                    <a:blip r:embed="rId15">
                      <a:extLst>
                        <a:ext uri="{28A0092B-C50C-407E-A947-70E740481C1C}">
                          <a14:useLocalDpi xmlns:a14="http://schemas.microsoft.com/office/drawing/2010/main" val="0"/>
                        </a:ext>
                      </a:extLst>
                    </a:blip>
                    <a:srcRect b="19412"/>
                    <a:stretch/>
                  </pic:blipFill>
                  <pic:spPr bwMode="auto">
                    <a:xfrm>
                      <a:off x="0" y="0"/>
                      <a:ext cx="3971498" cy="3132161"/>
                    </a:xfrm>
                    <a:prstGeom prst="rect">
                      <a:avLst/>
                    </a:prstGeom>
                    <a:ln>
                      <a:noFill/>
                    </a:ln>
                    <a:extLst>
                      <a:ext uri="{53640926-AAD7-44D8-BBD7-CCE9431645EC}">
                        <a14:shadowObscured xmlns:a14="http://schemas.microsoft.com/office/drawing/2010/main"/>
                      </a:ext>
                    </a:extLst>
                  </pic:spPr>
                </pic:pic>
              </a:graphicData>
            </a:graphic>
          </wp:inline>
        </w:drawing>
      </w:r>
    </w:p>
    <w:p w:rsidR="00B25DBE" w:rsidRPr="00AF5FD5" w:rsidRDefault="00B25DBE" w:rsidP="003C2CC8">
      <w:pPr>
        <w:pStyle w:val="SingleTxtG"/>
        <w:spacing w:after="240"/>
        <w:rPr>
          <w:i/>
        </w:rPr>
      </w:pPr>
      <m:oMathPara>
        <m:oMathParaPr>
          <m:jc m:val="left"/>
        </m:oMathParaPr>
        <m:oMath>
          <m:r>
            <w:rPr>
              <w:rFonts w:ascii="Cambria Math" w:hAnsi="Cambria Math"/>
            </w:rPr>
            <m:t xml:space="preserve">WI= </m:t>
          </m:r>
          <m:f>
            <m:fPr>
              <m:ctrlPr>
                <w:rPr>
                  <w:rFonts w:ascii="Cambria Math" w:hAnsi="Cambria Math"/>
                  <w:i/>
                </w:rPr>
              </m:ctrlPr>
            </m:fPr>
            <m:num>
              <m:r>
                <w:rPr>
                  <w:rFonts w:ascii="Cambria Math" w:hAnsi="Cambria Math"/>
                </w:rPr>
                <m:t>WI arrière+WI avant</m:t>
              </m:r>
            </m:num>
            <m:den>
              <m:r>
                <w:rPr>
                  <w:rFonts w:ascii="Cambria Math" w:hAnsi="Cambria Math"/>
                </w:rPr>
                <m:t>2</m:t>
              </m:r>
            </m:den>
          </m:f>
        </m:oMath>
      </m:oMathPara>
    </w:p>
    <w:p w:rsidR="00B25DBE" w:rsidRPr="00AF5FD5" w:rsidRDefault="00B25DBE" w:rsidP="00B25DBE">
      <w:pPr>
        <w:pStyle w:val="SingleTxtG"/>
      </w:pPr>
      <w:r w:rsidRPr="00AF5FD5">
        <w:t>WE = WI + Épaisseur moyenne déclarée × 2</w:t>
      </w:r>
      <w:r w:rsidR="003C2CC8" w:rsidRPr="00AF5FD5">
        <w:t> »</w:t>
      </w:r>
      <w:r w:rsidRPr="00AF5FD5">
        <w:t>.</w:t>
      </w:r>
    </w:p>
    <w:p w:rsidR="00B25DBE" w:rsidRPr="00AF5FD5" w:rsidRDefault="00543C14" w:rsidP="00B25DBE">
      <w:pPr>
        <w:pStyle w:val="SingleTxtG"/>
      </w:pPr>
      <w:r>
        <w:rPr>
          <w:i/>
        </w:rPr>
        <w:t>(Référence document </w:t>
      </w:r>
      <w:r w:rsidR="00B25DBE" w:rsidRPr="00AF5FD5">
        <w:rPr>
          <w:i/>
        </w:rPr>
        <w:t>: ECE/TRANS/WP.11/2018/6</w:t>
      </w:r>
      <w:r w:rsidR="003C2CC8" w:rsidRPr="00AF5FD5">
        <w:rPr>
          <w:i/>
        </w:rPr>
        <w:t>.</w:t>
      </w:r>
      <w:r w:rsidR="00B25DBE" w:rsidRPr="00AF5FD5">
        <w:rPr>
          <w:i/>
        </w:rPr>
        <w:t>)</w:t>
      </w:r>
    </w:p>
    <w:p w:rsidR="00B25DBE" w:rsidRPr="00AF5FD5" w:rsidRDefault="003C2CC8" w:rsidP="003C2CC8">
      <w:pPr>
        <w:pStyle w:val="H23G"/>
      </w:pPr>
      <w:r w:rsidRPr="00AF5FD5">
        <w:br w:type="page"/>
      </w:r>
      <w:r w:rsidRPr="00AF5FD5">
        <w:lastRenderedPageBreak/>
        <w:tab/>
      </w:r>
      <w:r w:rsidR="00B25DBE" w:rsidRPr="00AF5FD5">
        <w:t>2.</w:t>
      </w:r>
      <w:r w:rsidR="00B25DBE" w:rsidRPr="00AF5FD5">
        <w:tab/>
        <w:t>An</w:t>
      </w:r>
      <w:r w:rsidRPr="00AF5FD5">
        <w:t>nexe 1, appendice 2, paragraphe </w:t>
      </w:r>
      <w:r w:rsidR="00B25DBE" w:rsidRPr="00AF5FD5">
        <w:t>2.3.2</w:t>
      </w:r>
    </w:p>
    <w:p w:rsidR="00B25DBE" w:rsidRPr="00AF5FD5" w:rsidRDefault="00B25DBE" w:rsidP="00B25DBE">
      <w:pPr>
        <w:pStyle w:val="SingleTxtG"/>
      </w:pPr>
      <w:r w:rsidRPr="00AF5FD5">
        <w:t>Remplacer les obse</w:t>
      </w:r>
      <w:r w:rsidR="00B71CF1" w:rsidRPr="00AF5FD5">
        <w:t>rvations relatives à la section 2.3 et au paragraphe </w:t>
      </w:r>
      <w:r w:rsidRPr="00AF5FD5">
        <w:t>2.3.2 p</w:t>
      </w:r>
      <w:r w:rsidR="003C2CC8" w:rsidRPr="00AF5FD5">
        <w:t>ar les suivantes :</w:t>
      </w:r>
    </w:p>
    <w:p w:rsidR="00B25DBE" w:rsidRPr="00AF5FD5" w:rsidRDefault="003C2CC8" w:rsidP="00C312AA">
      <w:pPr>
        <w:pStyle w:val="SingleTxtG"/>
        <w:keepNext/>
        <w:keepLines/>
      </w:pPr>
      <w:r w:rsidRPr="00AF5FD5">
        <w:t>« </w:t>
      </w:r>
      <w:r w:rsidR="00B25DBE" w:rsidRPr="00AF5FD5">
        <w:rPr>
          <w:i/>
          <w:iCs/>
        </w:rPr>
        <w:t>Observations relatives au paragraphe 2.3.2</w:t>
      </w:r>
      <w:r w:rsidRPr="00AF5FD5">
        <w:rPr>
          <w:i/>
          <w:iCs/>
        </w:rPr>
        <w:t> </w:t>
      </w:r>
      <w:r w:rsidRPr="00AF5FD5">
        <w:t>:</w:t>
      </w:r>
    </w:p>
    <w:p w:rsidR="00B25DBE" w:rsidRPr="00AF5FD5" w:rsidRDefault="00B25DBE" w:rsidP="00B25DBE">
      <w:pPr>
        <w:pStyle w:val="SingleTxtG"/>
        <w:rPr>
          <w:i/>
          <w:iCs/>
        </w:rPr>
      </w:pPr>
      <w:r w:rsidRPr="00AF5FD5">
        <w:rPr>
          <w:i/>
          <w:iCs/>
        </w:rPr>
        <w:t>1.</w:t>
      </w:r>
      <w:r w:rsidRPr="00AF5FD5">
        <w:rPr>
          <w:i/>
          <w:iCs/>
        </w:rPr>
        <w:tab/>
        <w:t>Les facteurs d</w:t>
      </w:r>
      <w:r w:rsidR="00E84113" w:rsidRPr="00AF5FD5">
        <w:rPr>
          <w:i/>
          <w:iCs/>
        </w:rPr>
        <w:t>’</w:t>
      </w:r>
      <w:r w:rsidRPr="00AF5FD5">
        <w:rPr>
          <w:i/>
          <w:iCs/>
        </w:rPr>
        <w:t>incertitude qui sont normalement pris en compte par les stations d</w:t>
      </w:r>
      <w:r w:rsidR="00E84113" w:rsidRPr="00AF5FD5">
        <w:rPr>
          <w:i/>
          <w:iCs/>
        </w:rPr>
        <w:t>’</w:t>
      </w:r>
      <w:r w:rsidRPr="00AF5FD5">
        <w:rPr>
          <w:i/>
          <w:iCs/>
        </w:rPr>
        <w:t>essais sont par exemple la température, la puissance thermique</w:t>
      </w:r>
      <w:r w:rsidRPr="00AF5FD5">
        <w:t xml:space="preserve"> (</w:t>
      </w:r>
      <w:r w:rsidRPr="00AF5FD5">
        <w:rPr>
          <w:i/>
          <w:iCs/>
        </w:rPr>
        <w:t>ou frigorifique)</w:t>
      </w:r>
      <w:r w:rsidRPr="00AF5FD5">
        <w:t xml:space="preserve"> </w:t>
      </w:r>
      <w:r w:rsidRPr="00AF5FD5">
        <w:rPr>
          <w:i/>
          <w:iCs/>
        </w:rPr>
        <w:t>et la surface de la caisse.</w:t>
      </w:r>
    </w:p>
    <w:p w:rsidR="00B25DBE" w:rsidRPr="00AF5FD5" w:rsidRDefault="00B25DBE" w:rsidP="00B25DBE">
      <w:pPr>
        <w:pStyle w:val="SingleTxtG"/>
        <w:rPr>
          <w:i/>
          <w:iCs/>
        </w:rPr>
      </w:pPr>
      <w:r w:rsidRPr="00AF5FD5">
        <w:rPr>
          <w:i/>
          <w:iCs/>
        </w:rPr>
        <w:t>L</w:t>
      </w:r>
      <w:r w:rsidR="00E84113" w:rsidRPr="00AF5FD5">
        <w:rPr>
          <w:i/>
          <w:iCs/>
        </w:rPr>
        <w:t>’</w:t>
      </w:r>
      <w:r w:rsidRPr="00AF5FD5">
        <w:rPr>
          <w:i/>
          <w:iCs/>
        </w:rPr>
        <w:t>incertitude élargie de la mesure du coefficient K, U(K), peut être calculée à l</w:t>
      </w:r>
      <w:r w:rsidR="00E84113" w:rsidRPr="00AF5FD5">
        <w:rPr>
          <w:i/>
          <w:iCs/>
        </w:rPr>
        <w:t>’</w:t>
      </w:r>
      <w:r w:rsidRPr="00AF5FD5">
        <w:rPr>
          <w:i/>
          <w:iCs/>
        </w:rPr>
        <w:t>aide des recommandations qui figurent au paragraphe</w:t>
      </w:r>
      <w:r w:rsidR="00B71CF1" w:rsidRPr="00AF5FD5">
        <w:rPr>
          <w:i/>
          <w:iCs/>
        </w:rPr>
        <w:t> </w:t>
      </w:r>
      <w:r w:rsidRPr="00AF5FD5">
        <w:rPr>
          <w:i/>
          <w:iCs/>
        </w:rPr>
        <w:t>6.3.3 du</w:t>
      </w:r>
      <w:r w:rsidRPr="00AF5FD5">
        <w:t xml:space="preserve"> </w:t>
      </w:r>
      <w:r w:rsidR="00B71CF1" w:rsidRPr="00AF5FD5">
        <w:rPr>
          <w:i/>
          <w:iCs/>
        </w:rPr>
        <w:t>Guide 98-3</w:t>
      </w:r>
      <w:r w:rsidRPr="00AF5FD5">
        <w:rPr>
          <w:i/>
          <w:iCs/>
        </w:rPr>
        <w:t>:2008 de l</w:t>
      </w:r>
      <w:r w:rsidR="00E84113" w:rsidRPr="00AF5FD5">
        <w:rPr>
          <w:i/>
          <w:iCs/>
        </w:rPr>
        <w:t>’</w:t>
      </w:r>
      <w:r w:rsidRPr="00AF5FD5">
        <w:rPr>
          <w:i/>
          <w:iCs/>
        </w:rPr>
        <w:t>ISO/CEI. Dans ce cas</w:t>
      </w:r>
      <w:r w:rsidR="00B71CF1" w:rsidRPr="00AF5FD5">
        <w:rPr>
          <w:i/>
          <w:iCs/>
        </w:rPr>
        <w:t> :</w:t>
      </w:r>
    </w:p>
    <w:p w:rsidR="00B25DBE" w:rsidRPr="00C312AA" w:rsidRDefault="00B25DBE" w:rsidP="00B25DBE">
      <w:pPr>
        <w:pStyle w:val="SingleTxtG"/>
        <w:rPr>
          <w:lang w:val="ru-RU"/>
        </w:rPr>
      </w:pPr>
      <m:oMathPara>
        <m:oMathParaPr>
          <m:jc m:val="left"/>
        </m:oMathParaPr>
        <m:oMath>
          <m:r>
            <w:rPr>
              <w:rFonts w:ascii="Cambria Math" w:hAnsi="Cambria Math"/>
              <w:lang w:val="en-US"/>
            </w:rPr>
            <m:t>U</m:t>
          </m:r>
          <m:d>
            <m:dPr>
              <m:ctrlPr>
                <w:rPr>
                  <w:rFonts w:ascii="Cambria Math" w:hAnsi="Cambria Math"/>
                  <w:lang w:val="en-US"/>
                </w:rPr>
              </m:ctrlPr>
            </m:dPr>
            <m:e>
              <m:r>
                <w:rPr>
                  <w:rFonts w:ascii="Cambria Math" w:hAnsi="Cambria Math"/>
                  <w:lang w:val="en-US"/>
                </w:rPr>
                <m:t>K</m:t>
              </m:r>
            </m:e>
          </m:d>
          <m:r>
            <m:rPr>
              <m:sty m:val="p"/>
            </m:rPr>
            <w:rPr>
              <w:rFonts w:ascii="Cambria Math" w:hAnsi="Cambria Math"/>
              <w:lang w:val="ru-RU"/>
            </w:rPr>
            <m:t>=</m:t>
          </m:r>
          <m:r>
            <w:rPr>
              <w:rFonts w:ascii="Cambria Math" w:hAnsi="Cambria Math"/>
              <w:lang w:val="ru-RU"/>
            </w:rPr>
            <m:t>k</m:t>
          </m:r>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lang w:val="ru-RU"/>
                </w:rPr>
              </m:ctrlPr>
            </m:dPr>
            <m:e>
              <m:r>
                <w:rPr>
                  <w:rFonts w:ascii="Cambria Math" w:hAnsi="Cambria Math"/>
                  <w:lang w:val="ru-RU"/>
                </w:rPr>
                <m:t>K</m:t>
              </m:r>
            </m:e>
          </m:d>
        </m:oMath>
      </m:oMathPara>
    </w:p>
    <w:p w:rsidR="00B25DBE" w:rsidRPr="00AF5FD5" w:rsidRDefault="003C2CC8" w:rsidP="00B25DBE">
      <w:pPr>
        <w:pStyle w:val="SingleTxtG"/>
        <w:rPr>
          <w:i/>
          <w:iCs/>
        </w:rPr>
      </w:pPr>
      <w:r w:rsidRPr="00AF5FD5">
        <w:rPr>
          <w:i/>
          <w:iCs/>
        </w:rPr>
        <w:t>où :</w:t>
      </w:r>
    </w:p>
    <w:p w:rsidR="00B25DBE" w:rsidRPr="00AF5FD5" w:rsidRDefault="00B25DBE" w:rsidP="00B25DBE">
      <w:pPr>
        <w:pStyle w:val="SingleTxtG"/>
        <w:rPr>
          <w:i/>
          <w:iCs/>
        </w:rPr>
      </w:pPr>
      <m:oMath>
        <m:r>
          <w:rPr>
            <w:rFonts w:ascii="Cambria Math" w:hAnsi="Cambria Math"/>
          </w:rPr>
          <m:t>k</m:t>
        </m:r>
      </m:oMath>
      <w:r w:rsidR="00B71CF1" w:rsidRPr="00AF5FD5">
        <w:t> </w:t>
      </w:r>
      <w:r w:rsidRPr="00AF5FD5">
        <w:rPr>
          <w:i/>
        </w:rPr>
        <w:t>est le facteur d</w:t>
      </w:r>
      <w:r w:rsidR="00E84113" w:rsidRPr="00AF5FD5">
        <w:rPr>
          <w:i/>
        </w:rPr>
        <w:t>’</w:t>
      </w:r>
      <w:r w:rsidRPr="00AF5FD5">
        <w:rPr>
          <w:i/>
        </w:rPr>
        <w:t>élargissement</w:t>
      </w:r>
      <w:r w:rsidRPr="00AF5FD5">
        <w:t xml:space="preserve"> </w:t>
      </w:r>
      <w:r w:rsidRPr="00AF5FD5">
        <w:rPr>
          <w:i/>
        </w:rPr>
        <w:t>pour le niveau de confiance choisi</w:t>
      </w:r>
      <w:r w:rsidRPr="00AF5FD5">
        <w:rPr>
          <w:i/>
          <w:iCs/>
        </w:rPr>
        <w:t xml:space="preserve"> (pour un niveau de confiance de 95</w:t>
      </w:r>
      <w:r w:rsidR="00B71CF1" w:rsidRPr="00AF5FD5">
        <w:rPr>
          <w:i/>
          <w:iCs/>
        </w:rPr>
        <w:t> </w:t>
      </w:r>
      <w:r w:rsidRPr="00AF5FD5">
        <w:rPr>
          <w:i/>
          <w:iCs/>
        </w:rPr>
        <w:t>% il peut être considéré comme égal à 2</w:t>
      </w:r>
      <w:r w:rsidR="0048024C" w:rsidRPr="00AF5FD5">
        <w:rPr>
          <w:i/>
          <w:iCs/>
        </w:rPr>
        <w:t> ;</w:t>
      </w:r>
      <w:r w:rsidRPr="00AF5FD5">
        <w:rPr>
          <w:i/>
          <w:iCs/>
        </w:rPr>
        <w:t xml:space="preserve"> et pour un niv</w:t>
      </w:r>
      <w:r w:rsidR="00B71CF1" w:rsidRPr="00AF5FD5">
        <w:rPr>
          <w:i/>
          <w:iCs/>
        </w:rPr>
        <w:t>eau de confiance de 99 %, égal à </w:t>
      </w:r>
      <w:r w:rsidRPr="00AF5FD5">
        <w:rPr>
          <w:i/>
          <w:iCs/>
        </w:rPr>
        <w:t>3)</w:t>
      </w:r>
      <w:r w:rsidR="0048024C" w:rsidRPr="00AF5FD5">
        <w:rPr>
          <w:i/>
          <w:iCs/>
        </w:rPr>
        <w:t> ;</w:t>
      </w:r>
    </w:p>
    <w:p w:rsidR="00B25DBE" w:rsidRPr="00AF5FD5" w:rsidRDefault="003E19ED" w:rsidP="00B25DBE">
      <w:pPr>
        <w:pStyle w:val="SingleTxtG"/>
        <w:rPr>
          <w:i/>
          <w:iCs/>
        </w:rPr>
      </w:pPr>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r>
              <w:rPr>
                <w:rFonts w:ascii="Cambria Math" w:hAnsi="Cambria Math"/>
              </w:rPr>
              <m:t>K</m:t>
            </m:r>
          </m:e>
        </m:d>
      </m:oMath>
      <w:r w:rsidR="00B25DBE" w:rsidRPr="00AF5FD5">
        <w:t xml:space="preserve"> e</w:t>
      </w:r>
      <w:r w:rsidR="00B25DBE" w:rsidRPr="00AF5FD5">
        <w:rPr>
          <w:i/>
          <w:iCs/>
        </w:rPr>
        <w:t>st l</w:t>
      </w:r>
      <w:r w:rsidR="00E84113" w:rsidRPr="00AF5FD5">
        <w:rPr>
          <w:i/>
          <w:iCs/>
        </w:rPr>
        <w:t>’</w:t>
      </w:r>
      <w:r w:rsidR="00B25DBE" w:rsidRPr="00AF5FD5">
        <w:rPr>
          <w:i/>
          <w:iCs/>
        </w:rPr>
        <w:t>incertitude-type composée de</w:t>
      </w:r>
      <w:r w:rsidR="00B25DBE" w:rsidRPr="00AF5FD5">
        <w:t xml:space="preserve"> </w:t>
      </w:r>
      <w:r w:rsidR="00B71CF1" w:rsidRPr="00AF5FD5">
        <w:rPr>
          <w:i/>
          <w:iCs/>
        </w:rPr>
        <w:t>la mesure du coefficient </w:t>
      </w:r>
      <w:r w:rsidR="00B25DBE" w:rsidRPr="00AF5FD5">
        <w:rPr>
          <w:i/>
          <w:iCs/>
        </w:rPr>
        <w:t>K.</w:t>
      </w:r>
    </w:p>
    <w:p w:rsidR="00B25DBE" w:rsidRPr="00AF5FD5" w:rsidRDefault="00B25DBE" w:rsidP="00B25DBE">
      <w:pPr>
        <w:pStyle w:val="SingleTxtG"/>
        <w:rPr>
          <w:i/>
          <w:iCs/>
        </w:rPr>
      </w:pPr>
      <w:r w:rsidRPr="00AF5FD5">
        <w:rPr>
          <w:i/>
          <w:iCs/>
        </w:rPr>
        <w:t>L</w:t>
      </w:r>
      <w:r w:rsidR="00E84113" w:rsidRPr="00AF5FD5">
        <w:rPr>
          <w:i/>
          <w:iCs/>
        </w:rPr>
        <w:t>’</w:t>
      </w:r>
      <w:r w:rsidRPr="00AF5FD5">
        <w:rPr>
          <w:i/>
          <w:iCs/>
        </w:rPr>
        <w:t>incertitude type compo</w:t>
      </w:r>
      <w:r w:rsidR="00B71CF1" w:rsidRPr="00AF5FD5">
        <w:rPr>
          <w:i/>
          <w:iCs/>
        </w:rPr>
        <w:t>sée de la mesure du coefficient </w:t>
      </w:r>
      <w:r w:rsidRPr="00AF5FD5">
        <w:rPr>
          <w:i/>
          <w:iCs/>
        </w:rPr>
        <w:t>K est une approximation de l</w:t>
      </w:r>
      <w:r w:rsidR="00E84113" w:rsidRPr="00AF5FD5">
        <w:rPr>
          <w:i/>
          <w:iCs/>
        </w:rPr>
        <w:t>’</w:t>
      </w:r>
      <w:r w:rsidR="003C2CC8" w:rsidRPr="00AF5FD5">
        <w:rPr>
          <w:i/>
          <w:iCs/>
        </w:rPr>
        <w:t>écart-type du coefficient K</w:t>
      </w:r>
      <w:r w:rsidR="0048024C" w:rsidRPr="00AF5FD5">
        <w:rPr>
          <w:i/>
          <w:iCs/>
        </w:rPr>
        <w:t> ;</w:t>
      </w:r>
      <w:r w:rsidRPr="00AF5FD5">
        <w:rPr>
          <w:i/>
          <w:iCs/>
        </w:rPr>
        <w:t xml:space="preserve"> elle caractérise la plage de valeurs qu</w:t>
      </w:r>
      <w:r w:rsidR="00E84113" w:rsidRPr="00AF5FD5">
        <w:rPr>
          <w:i/>
          <w:iCs/>
        </w:rPr>
        <w:t>’</w:t>
      </w:r>
      <w:r w:rsidRPr="00AF5FD5">
        <w:rPr>
          <w:i/>
          <w:iCs/>
        </w:rPr>
        <w:t>il est raisonnablement possible d</w:t>
      </w:r>
      <w:r w:rsidR="00E84113" w:rsidRPr="00AF5FD5">
        <w:rPr>
          <w:i/>
          <w:iCs/>
        </w:rPr>
        <w:t>’</w:t>
      </w:r>
      <w:r w:rsidRPr="00AF5FD5">
        <w:rPr>
          <w:i/>
          <w:iCs/>
        </w:rPr>
        <w:t xml:space="preserve">attribuer à ce coefficient. </w:t>
      </w:r>
    </w:p>
    <w:p w:rsidR="00B25DBE" w:rsidRPr="00AF5FD5" w:rsidRDefault="003C2CC8" w:rsidP="00B25DBE">
      <w:pPr>
        <w:pStyle w:val="SingleTxtG"/>
        <w:rPr>
          <w:i/>
          <w:iCs/>
        </w:rPr>
      </w:pPr>
      <w:r w:rsidRPr="00AF5FD5">
        <w:rPr>
          <w:i/>
          <w:iCs/>
        </w:rPr>
        <w:t>Puisque le coefficient </w:t>
      </w:r>
      <w:r w:rsidR="00B25DBE" w:rsidRPr="00AF5FD5">
        <w:rPr>
          <w:i/>
          <w:iCs/>
        </w:rPr>
        <w:t>K est déterminé par une dépendance fonctionnelle impliquant des valeurs physiques telles que la puissance thermique (ou frigorifique)</w:t>
      </w:r>
      <w:r w:rsidR="00B25DBE" w:rsidRPr="00AF5FD5">
        <w:t xml:space="preserve"> </w:t>
      </w:r>
      <w:r w:rsidR="00B25DBE" w:rsidRPr="00AF5FD5">
        <w:rPr>
          <w:i/>
        </w:rPr>
        <w:t xml:space="preserve">des </w:t>
      </w:r>
      <w:r w:rsidR="00B25DBE" w:rsidRPr="00AF5FD5">
        <w:rPr>
          <w:i/>
          <w:iCs/>
        </w:rPr>
        <w:t>échangeurs de chaleur, les températures intérieure et extérieure de la caisse ainsi que sa surface, elles-mêmes mesurées avec une certaine incertitude-type, l</w:t>
      </w:r>
      <w:r w:rsidR="00E84113" w:rsidRPr="00AF5FD5">
        <w:rPr>
          <w:i/>
          <w:iCs/>
        </w:rPr>
        <w:t>’</w:t>
      </w:r>
      <w:r w:rsidR="00B25DBE" w:rsidRPr="00AF5FD5">
        <w:rPr>
          <w:i/>
          <w:iCs/>
        </w:rPr>
        <w:t>incertitude composé</w:t>
      </w:r>
      <w:r w:rsidRPr="00AF5FD5">
        <w:rPr>
          <w:i/>
          <w:iCs/>
        </w:rPr>
        <w:t>e de la mesure du coefficient K</w:t>
      </w:r>
      <w:r w:rsidR="00B25DBE" w:rsidRPr="00AF5FD5">
        <w:rPr>
          <w:i/>
          <w:iCs/>
        </w:rPr>
        <w:t xml:space="preserve"> peut être calculée sur la base de la loi de propagation de l</w:t>
      </w:r>
      <w:r w:rsidR="00E84113" w:rsidRPr="00AF5FD5">
        <w:rPr>
          <w:i/>
          <w:iCs/>
        </w:rPr>
        <w:t>’</w:t>
      </w:r>
      <w:r w:rsidR="00B25DBE" w:rsidRPr="00AF5FD5">
        <w:rPr>
          <w:i/>
          <w:iCs/>
        </w:rPr>
        <w:t>ince</w:t>
      </w:r>
      <w:r w:rsidRPr="00AF5FD5">
        <w:rPr>
          <w:i/>
          <w:iCs/>
        </w:rPr>
        <w:t>rtitude décrite dans la section </w:t>
      </w:r>
      <w:r w:rsidR="00B71CF1" w:rsidRPr="00AF5FD5">
        <w:rPr>
          <w:i/>
          <w:iCs/>
        </w:rPr>
        <w:t>5 du Guide 98-3</w:t>
      </w:r>
      <w:r w:rsidR="00B25DBE" w:rsidRPr="00AF5FD5">
        <w:rPr>
          <w:i/>
          <w:iCs/>
        </w:rPr>
        <w:t>:2008 de l</w:t>
      </w:r>
      <w:r w:rsidR="00E84113" w:rsidRPr="00AF5FD5">
        <w:rPr>
          <w:i/>
          <w:iCs/>
        </w:rPr>
        <w:t>’</w:t>
      </w:r>
      <w:r w:rsidR="00B25DBE" w:rsidRPr="00AF5FD5">
        <w:rPr>
          <w:i/>
          <w:iCs/>
        </w:rPr>
        <w:t>ISO/CEI, en tenant compte de la corrélation (avec le temps) des températures interne et externe de la caisse, de la puissance thermique (ou frigorifique) et de la température à l</w:t>
      </w:r>
      <w:r w:rsidR="00E84113" w:rsidRPr="00AF5FD5">
        <w:rPr>
          <w:i/>
          <w:iCs/>
        </w:rPr>
        <w:t>’</w:t>
      </w:r>
      <w:r w:rsidR="00B25DBE" w:rsidRPr="00AF5FD5">
        <w:rPr>
          <w:i/>
          <w:iCs/>
        </w:rPr>
        <w:t>intérieur de la caisse</w:t>
      </w:r>
      <w:r w:rsidR="007B4D98">
        <w:rPr>
          <w:i/>
          <w:iCs/>
        </w:rPr>
        <w:t> :</w:t>
      </w:r>
    </w:p>
    <w:p w:rsidR="00B25DBE" w:rsidRPr="00AF5FD5" w:rsidRDefault="003E19ED" w:rsidP="00B25DBE">
      <w:pPr>
        <w:pStyle w:val="SingleTxtG"/>
        <w:rPr>
          <w:lang w:val="ru-RU"/>
        </w:rPr>
      </w:pPr>
      <m:oMathPara>
        <m:oMathParaPr>
          <m:jc m:val="left"/>
        </m:oMathParaP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c</m:t>
              </m:r>
            </m:sub>
          </m:sSub>
          <m:d>
            <m:dPr>
              <m:ctrlPr>
                <w:rPr>
                  <w:rFonts w:ascii="Cambria Math" w:hAnsi="Cambria Math"/>
                  <w:i/>
                  <w:lang w:val="ru-RU"/>
                </w:rPr>
              </m:ctrlPr>
            </m:dPr>
            <m:e>
              <m:r>
                <w:rPr>
                  <w:rFonts w:ascii="Cambria Math" w:hAnsi="Cambria Math"/>
                  <w:lang w:val="ru-RU"/>
                </w:rPr>
                <m:t>K</m:t>
              </m:r>
            </m:e>
          </m:d>
          <m:r>
            <w:rPr>
              <w:rFonts w:ascii="Cambria Math" w:hAnsi="Cambria Math"/>
              <w:lang w:val="ru-RU"/>
            </w:rPr>
            <m:t>=</m:t>
          </m:r>
          <m:rad>
            <m:radPr>
              <m:degHide m:val="1"/>
              <m:ctrlPr>
                <w:rPr>
                  <w:rFonts w:ascii="Cambria Math" w:hAnsi="Cambria Math"/>
                  <w:i/>
                  <w:lang w:val="ru-RU"/>
                </w:rPr>
              </m:ctrlPr>
            </m:radPr>
            <m:deg/>
            <m:e>
              <m:eqArr>
                <m:eqArrPr>
                  <m:ctrlPr>
                    <w:rPr>
                      <w:rFonts w:ascii="Cambria Math" w:hAnsi="Cambria Math"/>
                      <w:i/>
                      <w:lang w:val="ru-RU"/>
                    </w:rPr>
                  </m:ctrlPr>
                </m:eqArrPr>
                <m:e>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W</m:t>
                                  </m:r>
                                </m:e>
                              </m:d>
                            </m:num>
                            <m:den>
                              <m:acc>
                                <m:accPr>
                                  <m:chr m:val="̅"/>
                                  <m:ctrlPr>
                                    <w:rPr>
                                      <w:rFonts w:ascii="Cambria Math" w:hAnsi="Cambria Math"/>
                                      <w:i/>
                                      <w:lang w:val="ru-RU"/>
                                    </w:rPr>
                                  </m:ctrlPr>
                                </m:accPr>
                                <m:e>
                                  <m:r>
                                    <w:rPr>
                                      <w:rFonts w:ascii="Cambria Math" w:hAnsi="Cambria Math"/>
                                      <w:lang w:val="ru-RU"/>
                                    </w:rPr>
                                    <m:t>S</m:t>
                                  </m:r>
                                </m:e>
                              </m:acc>
                              <m:r>
                                <w:rPr>
                                  <w:rFonts w:ascii="Cambria Math" w:hAnsi="Cambria Math"/>
                                  <w:lang w:val="ru-RU"/>
                                </w:rPr>
                                <m:t>∙</m:t>
                              </m:r>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i</m:t>
                                          </m:r>
                                        </m:sub>
                                      </m:sSub>
                                    </m:e>
                                  </m:acc>
                                </m:e>
                              </m:d>
                            </m:den>
                          </m:f>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acc>
                                <m:accPr>
                                  <m:chr m:val="̅"/>
                                  <m:ctrlPr>
                                    <w:rPr>
                                      <w:rFonts w:ascii="Cambria Math" w:hAnsi="Cambria Math"/>
                                      <w:i/>
                                      <w:lang w:val="ru-RU"/>
                                    </w:rPr>
                                  </m:ctrlPr>
                                </m:accPr>
                                <m:e>
                                  <m:r>
                                    <w:rPr>
                                      <w:rFonts w:ascii="Cambria Math" w:hAnsi="Cambria Math"/>
                                      <w:lang w:val="ru-RU"/>
                                    </w:rPr>
                                    <m:t>W</m:t>
                                  </m:r>
                                </m:e>
                              </m:acc>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S</m:t>
                                  </m:r>
                                </m:e>
                              </m:d>
                            </m:num>
                            <m:den>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S</m:t>
                                      </m:r>
                                    </m:e>
                                  </m:acc>
                                </m:e>
                                <m:sup>
                                  <m:r>
                                    <w:rPr>
                                      <w:rFonts w:ascii="Cambria Math" w:hAnsi="Cambria Math"/>
                                      <w:lang w:val="ru-RU"/>
                                    </w:rPr>
                                    <m:t>2</m:t>
                                  </m:r>
                                </m:sup>
                              </m:sSup>
                              <m:r>
                                <w:rPr>
                                  <w:rFonts w:ascii="Cambria Math" w:hAnsi="Cambria Math"/>
                                  <w:lang w:val="ru-RU"/>
                                </w:rPr>
                                <m:t>∙</m:t>
                              </m:r>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i</m:t>
                                          </m:r>
                                        </m:sub>
                                      </m:sSub>
                                    </m:e>
                                  </m:acc>
                                </m:e>
                              </m:d>
                            </m:den>
                          </m:f>
                        </m:e>
                      </m:d>
                    </m:e>
                    <m:sup>
                      <m:r>
                        <w:rPr>
                          <w:rFonts w:ascii="Cambria Math" w:hAnsi="Cambria Math"/>
                          <w:lang w:val="ru-RU"/>
                        </w:rPr>
                        <m:t>2</m:t>
                      </m:r>
                    </m:sup>
                  </m:sSup>
                  <m:r>
                    <w:rPr>
                      <w:rFonts w:ascii="Cambria Math" w:hAnsi="Cambria Math"/>
                      <w:lang w:val="ru-RU"/>
                    </w:rPr>
                    <m:t>+…</m:t>
                  </m:r>
                </m:e>
                <m:e>
                  <m:f>
                    <m:fPr>
                      <m:ctrlPr>
                        <w:rPr>
                          <w:rFonts w:ascii="Cambria Math" w:hAnsi="Cambria Math"/>
                          <w:i/>
                          <w:lang w:val="ru-RU"/>
                        </w:rPr>
                      </m:ctrlPr>
                    </m:fPr>
                    <m:num>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W</m:t>
                              </m:r>
                            </m:e>
                          </m:acc>
                        </m:e>
                        <m:sup>
                          <m:r>
                            <w:rPr>
                              <w:rFonts w:ascii="Cambria Math" w:hAnsi="Cambria Math"/>
                              <w:lang w:val="ru-RU"/>
                            </w:rPr>
                            <m:t>2</m:t>
                          </m:r>
                        </m:sup>
                      </m:sSup>
                      <m:r>
                        <w:rPr>
                          <w:rFonts w:ascii="Cambria Math" w:hAnsi="Cambria Math"/>
                          <w:lang w:val="ru-RU"/>
                        </w:rPr>
                        <m:t>∙</m:t>
                      </m:r>
                      <m:d>
                        <m:dPr>
                          <m:ctrlPr>
                            <w:rPr>
                              <w:rFonts w:ascii="Cambria Math" w:hAnsi="Cambria Math"/>
                              <w:i/>
                              <w:lang w:val="ru-RU"/>
                            </w:rPr>
                          </m:ctrlPr>
                        </m:dPr>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e>
                            <m:sup>
                              <m:r>
                                <w:rPr>
                                  <w:rFonts w:ascii="Cambria Math" w:hAnsi="Cambria Math"/>
                                  <w:lang w:val="ru-RU"/>
                                </w:rPr>
                                <m:t>2</m:t>
                              </m:r>
                            </m:sup>
                          </m:sSup>
                          <m:r>
                            <w:rPr>
                              <w:rFonts w:ascii="Cambria Math" w:hAnsi="Cambria Math"/>
                              <w:lang w:val="ru-RU"/>
                            </w:rPr>
                            <m:t>+2∙r</m:t>
                          </m:r>
                          <m:d>
                            <m:dPr>
                              <m:ctrlPr>
                                <w:rPr>
                                  <w:rFonts w:ascii="Cambria Math" w:hAnsi="Cambria Math"/>
                                  <w:i/>
                                  <w:lang w:val="ru-RU"/>
                                </w:rPr>
                              </m:ctrlPr>
                            </m:dPr>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e>
                      </m:d>
                    </m:num>
                    <m:den>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S</m:t>
                              </m:r>
                            </m:e>
                          </m:acc>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i</m:t>
                                      </m:r>
                                    </m:sub>
                                  </m:sSub>
                                </m:e>
                              </m:acc>
                            </m:e>
                          </m:d>
                        </m:e>
                        <m:sup>
                          <m:r>
                            <w:rPr>
                              <w:rFonts w:ascii="Cambria Math" w:hAnsi="Cambria Math"/>
                              <w:lang w:val="ru-RU"/>
                            </w:rPr>
                            <m:t>4</m:t>
                          </m:r>
                        </m:sup>
                      </m:sSup>
                    </m:den>
                  </m:f>
                  <m:r>
                    <w:rPr>
                      <w:rFonts w:ascii="Cambria Math" w:hAnsi="Cambria Math"/>
                      <w:lang w:val="ru-RU"/>
                    </w:rPr>
                    <m:t>+…</m:t>
                  </m:r>
                </m:e>
                <m:e>
                  <m:f>
                    <m:fPr>
                      <m:ctrlPr>
                        <w:rPr>
                          <w:rFonts w:ascii="Cambria Math" w:hAnsi="Cambria Math"/>
                          <w:i/>
                          <w:lang w:val="ru-RU"/>
                        </w:rPr>
                      </m:ctrlPr>
                    </m:fPr>
                    <m:num>
                      <m:r>
                        <w:rPr>
                          <w:rFonts w:ascii="Cambria Math" w:hAnsi="Cambria Math"/>
                          <w:lang w:val="ru-RU"/>
                        </w:rPr>
                        <m:t>2∙</m:t>
                      </m:r>
                      <m:acc>
                        <m:accPr>
                          <m:chr m:val="̅"/>
                          <m:ctrlPr>
                            <w:rPr>
                              <w:rFonts w:ascii="Cambria Math" w:hAnsi="Cambria Math"/>
                              <w:i/>
                              <w:lang w:val="ru-RU"/>
                            </w:rPr>
                          </m:ctrlPr>
                        </m:accPr>
                        <m:e>
                          <m:r>
                            <w:rPr>
                              <w:rFonts w:ascii="Cambria Math" w:hAnsi="Cambria Math"/>
                              <w:lang w:val="ru-RU"/>
                            </w:rPr>
                            <m:t>W</m:t>
                          </m:r>
                        </m:e>
                      </m:acc>
                      <m:r>
                        <w:rPr>
                          <w:rFonts w:ascii="Cambria Math" w:hAnsi="Cambria Math"/>
                          <w:lang w:val="ru-RU"/>
                        </w:rPr>
                        <m:t>∙r</m:t>
                      </m:r>
                      <m:d>
                        <m:dPr>
                          <m:ctrlPr>
                            <w:rPr>
                              <w:rFonts w:ascii="Cambria Math" w:hAnsi="Cambria Math"/>
                              <w:i/>
                              <w:lang w:val="ru-RU"/>
                            </w:rPr>
                          </m:ctrlPr>
                        </m:dPr>
                        <m:e>
                          <m:r>
                            <w:rPr>
                              <w:rFonts w:ascii="Cambria Math" w:hAnsi="Cambria Math"/>
                              <w:lang w:val="en-US"/>
                            </w:rPr>
                            <m:t>W,</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W</m:t>
                          </m:r>
                        </m:e>
                      </m:d>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num>
                    <m:den>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S</m:t>
                              </m:r>
                            </m:e>
                          </m:acc>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d>
                                <m:dPr>
                                  <m:begChr m:val="|"/>
                                  <m:endChr m:val="|"/>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i</m:t>
                                          </m:r>
                                        </m:sub>
                                      </m:sSub>
                                    </m:e>
                                  </m:acc>
                                </m:e>
                              </m:d>
                            </m:e>
                          </m:d>
                        </m:e>
                        <m:sup>
                          <m:r>
                            <w:rPr>
                              <w:rFonts w:ascii="Cambria Math" w:hAnsi="Cambria Math"/>
                              <w:lang w:val="ru-RU"/>
                            </w:rPr>
                            <m:t>3</m:t>
                          </m:r>
                        </m:sup>
                      </m:sSup>
                    </m:den>
                  </m:f>
                </m:e>
              </m:eqArr>
            </m:e>
          </m:rad>
        </m:oMath>
      </m:oMathPara>
    </w:p>
    <w:p w:rsidR="00B25DBE" w:rsidRPr="00AF5FD5" w:rsidRDefault="003C2CC8" w:rsidP="003C2CC8">
      <w:pPr>
        <w:pStyle w:val="SingleTxtG"/>
        <w:spacing w:before="240"/>
        <w:rPr>
          <w:i/>
          <w:iCs/>
        </w:rPr>
      </w:pPr>
      <w:r w:rsidRPr="00AF5FD5">
        <w:rPr>
          <w:i/>
          <w:iCs/>
        </w:rPr>
        <w:t>où :</w:t>
      </w:r>
    </w:p>
    <w:p w:rsidR="00B25DBE" w:rsidRPr="00AF5FD5" w:rsidRDefault="003E19ED" w:rsidP="00B25DBE">
      <w:pPr>
        <w:pStyle w:val="SingleTxtG"/>
        <w:rPr>
          <w:i/>
          <w:iCs/>
        </w:rPr>
      </w:pPr>
      <m:oMath>
        <m:acc>
          <m:accPr>
            <m:chr m:val="̅"/>
            <m:ctrlPr>
              <w:rPr>
                <w:rFonts w:ascii="Cambria Math" w:hAnsi="Cambria Math"/>
              </w:rPr>
            </m:ctrlPr>
          </m:accPr>
          <m:e>
            <m:r>
              <w:rPr>
                <w:rFonts w:ascii="Cambria Math" w:hAnsi="Cambria Math"/>
              </w:rPr>
              <m:t>W</m:t>
            </m:r>
          </m:e>
        </m:acc>
      </m:oMath>
      <w:r w:rsidR="00B25DBE" w:rsidRPr="00AF5FD5">
        <w:rPr>
          <w:i/>
          <w:iCs/>
        </w:rPr>
        <w:t>,</w:t>
      </w:r>
      <m:oMath>
        <m:r>
          <m:rPr>
            <m:sty m:val="p"/>
          </m:rPr>
          <w:rPr>
            <w:rFonts w:ascii="Cambria Math" w:hAnsi="Cambria Math"/>
          </w:rPr>
          <m:t xml:space="preserve"> </m:t>
        </m:r>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lang w:val="en-US"/>
                  </w:rPr>
                  <m:t>e</m:t>
                </m:r>
              </m:sub>
            </m:sSub>
          </m:e>
        </m:acc>
        <m:r>
          <m:rPr>
            <m:sty m:val="p"/>
          </m:rPr>
          <w:rPr>
            <w:rFonts w:ascii="Cambria Math" w:hAnsi="Cambria Math"/>
          </w:rPr>
          <m:t xml:space="preserve">,  </m:t>
        </m:r>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lang w:val="en-US"/>
                  </w:rPr>
                  <m:t>i</m:t>
                </m:r>
              </m:sub>
            </m:sSub>
          </m:e>
        </m:acc>
        <m:r>
          <m:rPr>
            <m:sty m:val="p"/>
          </m:rPr>
          <w:rPr>
            <w:rFonts w:ascii="Cambria Math" w:hAnsi="Cambria Math"/>
          </w:rPr>
          <m:t xml:space="preserve">,  </m:t>
        </m:r>
        <m:acc>
          <m:accPr>
            <m:chr m:val="̅"/>
            <m:ctrlPr>
              <w:rPr>
                <w:rFonts w:ascii="Cambria Math" w:hAnsi="Cambria Math"/>
              </w:rPr>
            </m:ctrlPr>
          </m:accPr>
          <m:e>
            <m:r>
              <w:rPr>
                <w:rFonts w:ascii="Cambria Math" w:hAnsi="Cambria Math"/>
              </w:rPr>
              <m:t>S</m:t>
            </m:r>
          </m:e>
        </m:acc>
      </m:oMath>
      <w:r w:rsidR="00B25DBE" w:rsidRPr="00AF5FD5">
        <w:t xml:space="preserve"> </w:t>
      </w:r>
      <w:r w:rsidR="00B25DBE" w:rsidRPr="00AF5FD5">
        <w:rPr>
          <w:i/>
        </w:rPr>
        <w:t>sont respectivement les valeurs moyennes calculées de la puissance thermique (ou frigorifique), en W ; de la température extérieure et</w:t>
      </w:r>
      <w:r w:rsidR="003C2CC8" w:rsidRPr="00AF5FD5">
        <w:rPr>
          <w:i/>
        </w:rPr>
        <w:t xml:space="preserve"> intérieure de la caisse, en °C </w:t>
      </w:r>
      <w:r w:rsidR="00B25DBE" w:rsidRPr="00AF5FD5">
        <w:rPr>
          <w:i/>
        </w:rPr>
        <w:t xml:space="preserve">; et de la surface moyenne de la caisse, en </w:t>
      </w:r>
      <w:r w:rsidR="00B25DBE" w:rsidRPr="00AF5FD5">
        <w:rPr>
          <w:i/>
          <w:iCs/>
        </w:rPr>
        <w:t>m</w:t>
      </w:r>
      <w:r w:rsidR="00B25DBE" w:rsidRPr="00AF5FD5">
        <w:rPr>
          <w:i/>
          <w:iCs/>
          <w:vertAlign w:val="superscript"/>
        </w:rPr>
        <w:t>2</w:t>
      </w:r>
      <w:r w:rsidR="0048024C" w:rsidRPr="00AF5FD5">
        <w:rPr>
          <w:i/>
          <w:iCs/>
          <w:vertAlign w:val="superscript"/>
        </w:rPr>
        <w:t> </w:t>
      </w:r>
      <w:r w:rsidR="0048024C" w:rsidRPr="00AF5FD5">
        <w:rPr>
          <w:i/>
          <w:iCs/>
        </w:rPr>
        <w:t>;</w:t>
      </w:r>
    </w:p>
    <w:p w:rsidR="00B25DBE" w:rsidRPr="00AF5FD5" w:rsidRDefault="003E19ED" w:rsidP="00B25DBE">
      <w:pPr>
        <w:pStyle w:val="SingleTxtG"/>
        <w:rPr>
          <w:i/>
          <w:iCs/>
        </w:rPr>
      </w:pPr>
      <m:oMath>
        <m:sSub>
          <m:sSubPr>
            <m:ctrlPr>
              <w:rPr>
                <w:rFonts w:ascii="Cambria Math" w:hAnsi="Cambria Math"/>
              </w:rPr>
            </m:ctrlPr>
          </m:sSubPr>
          <m:e>
            <m:r>
              <w:rPr>
                <w:rFonts w:ascii="Cambria Math" w:hAnsi="Cambria Math"/>
                <w:lang w:val="en-US"/>
              </w:rPr>
              <m:t>u</m:t>
            </m:r>
          </m:e>
          <m:sub>
            <m:r>
              <w:rPr>
                <w:rFonts w:ascii="Cambria Math" w:hAnsi="Cambria Math"/>
              </w:rPr>
              <m:t>c</m:t>
            </m:r>
          </m:sub>
        </m:sSub>
        <m:d>
          <m:dPr>
            <m:ctrlPr>
              <w:rPr>
                <w:rFonts w:ascii="Cambria Math" w:hAnsi="Cambria Math"/>
              </w:rPr>
            </m:ctrlPr>
          </m:dPr>
          <m:e>
            <m:r>
              <w:rPr>
                <w:rFonts w:ascii="Cambria Math" w:hAnsi="Cambria Math"/>
              </w:rPr>
              <m:t>W</m:t>
            </m:r>
          </m:e>
        </m:d>
      </m:oMath>
      <w:r w:rsidR="00B25DBE" w:rsidRPr="00AF5FD5">
        <w:rPr>
          <w:i/>
          <w:iCs/>
        </w:rPr>
        <w:t>,</w:t>
      </w:r>
      <w:r w:rsidR="00B25DBE" w:rsidRPr="00AF5FD5">
        <w:t xml:space="preserve"> </w:t>
      </w:r>
      <m:oMath>
        <m:sSub>
          <m:sSubPr>
            <m:ctrlPr>
              <w:rPr>
                <w:rFonts w:ascii="Cambria Math" w:hAnsi="Cambria Math"/>
              </w:rPr>
            </m:ctrlPr>
          </m:sSubPr>
          <m:e>
            <m:r>
              <w:rPr>
                <w:rFonts w:ascii="Cambria Math" w:hAnsi="Cambria Math"/>
                <w:lang w:val="en-US"/>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r>
          <m:rPr>
            <m:sty m:val="p"/>
          </m:rPr>
          <w:rPr>
            <w:rFonts w:ascii="Cambria Math" w:hAnsi="Cambria Math"/>
          </w:rPr>
          <m:t xml:space="preserve">,  </m:t>
        </m:r>
        <m:sSub>
          <m:sSubPr>
            <m:ctrlPr>
              <w:rPr>
                <w:rFonts w:ascii="Cambria Math" w:hAnsi="Cambria Math"/>
              </w:rPr>
            </m:ctrlPr>
          </m:sSubPr>
          <m:e>
            <m:r>
              <w:rPr>
                <w:rFonts w:ascii="Cambria Math" w:hAnsi="Cambria Math"/>
                <w:lang w:val="en-US"/>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e</m:t>
                </m:r>
              </m:sub>
            </m:sSub>
          </m:e>
        </m:d>
        <m:r>
          <m:rPr>
            <m:sty m:val="p"/>
          </m:rPr>
          <w:rPr>
            <w:rFonts w:ascii="Cambria Math" w:hAnsi="Cambria Math"/>
          </w:rPr>
          <m:t xml:space="preserve">,  </m:t>
        </m:r>
        <m:sSub>
          <m:sSubPr>
            <m:ctrlPr>
              <w:rPr>
                <w:rFonts w:ascii="Cambria Math" w:hAnsi="Cambria Math"/>
              </w:rPr>
            </m:ctrlPr>
          </m:sSubPr>
          <m:e>
            <m:r>
              <w:rPr>
                <w:rFonts w:ascii="Cambria Math" w:hAnsi="Cambria Math"/>
                <w:lang w:val="en-US"/>
              </w:rPr>
              <m:t>u</m:t>
            </m:r>
          </m:e>
          <m:sub>
            <m:r>
              <w:rPr>
                <w:rFonts w:ascii="Cambria Math" w:hAnsi="Cambria Math"/>
              </w:rPr>
              <m:t>c</m:t>
            </m:r>
          </m:sub>
        </m:sSub>
        <m:d>
          <m:dPr>
            <m:ctrlPr>
              <w:rPr>
                <w:rFonts w:ascii="Cambria Math" w:hAnsi="Cambria Math"/>
              </w:rPr>
            </m:ctrlPr>
          </m:dPr>
          <m:e>
            <m:r>
              <w:rPr>
                <w:rFonts w:ascii="Cambria Math" w:hAnsi="Cambria Math"/>
              </w:rPr>
              <m:t>S</m:t>
            </m:r>
          </m:e>
        </m:d>
      </m:oMath>
      <w:r w:rsidR="00B25DBE" w:rsidRPr="00AF5FD5">
        <w:t xml:space="preserve"> </w:t>
      </w:r>
      <w:r w:rsidR="00B25DBE" w:rsidRPr="00AF5FD5">
        <w:rPr>
          <w:i/>
          <w:iCs/>
        </w:rPr>
        <w:t>sont respectivement les incertitudes-types composées</w:t>
      </w:r>
      <w:r w:rsidR="00B25DBE" w:rsidRPr="00AF5FD5">
        <w:rPr>
          <w:i/>
        </w:rPr>
        <w:t xml:space="preserve"> des mesures de</w:t>
      </w:r>
      <w:r w:rsidR="00B25DBE" w:rsidRPr="00AF5FD5">
        <w:rPr>
          <w:i/>
          <w:iCs/>
        </w:rPr>
        <w:t xml:space="preserve"> la puissance thermique (ou frigorifique), en W</w:t>
      </w:r>
      <w:r w:rsidR="0048024C" w:rsidRPr="00AF5FD5">
        <w:rPr>
          <w:i/>
          <w:iCs/>
        </w:rPr>
        <w:t> ;</w:t>
      </w:r>
      <w:r w:rsidR="00B25DBE" w:rsidRPr="00AF5FD5">
        <w:rPr>
          <w:i/>
          <w:iCs/>
        </w:rPr>
        <w:t xml:space="preserve"> de la température extérieure et intérieure de la caisse, en °C</w:t>
      </w:r>
      <w:r w:rsidR="0048024C" w:rsidRPr="00AF5FD5">
        <w:rPr>
          <w:i/>
          <w:iCs/>
        </w:rPr>
        <w:t> ;</w:t>
      </w:r>
      <w:r w:rsidR="00B25DBE" w:rsidRPr="00AF5FD5">
        <w:rPr>
          <w:i/>
          <w:iCs/>
        </w:rPr>
        <w:t xml:space="preserve"> et de la surface moyenne de la caisse, en m</w:t>
      </w:r>
      <w:r w:rsidR="00B25DBE" w:rsidRPr="00AF5FD5">
        <w:rPr>
          <w:i/>
          <w:iCs/>
          <w:vertAlign w:val="superscript"/>
        </w:rPr>
        <w:t>2</w:t>
      </w:r>
      <w:r w:rsidR="0048024C" w:rsidRPr="00AF5FD5">
        <w:rPr>
          <w:i/>
          <w:iCs/>
        </w:rPr>
        <w:t> ;</w:t>
      </w:r>
    </w:p>
    <w:p w:rsidR="00B25DBE" w:rsidRPr="00AF5FD5" w:rsidRDefault="00B25DBE" w:rsidP="00B25DBE">
      <w:pPr>
        <w:pStyle w:val="SingleTxtG"/>
        <w:rPr>
          <w:i/>
          <w:iCs/>
        </w:rPr>
      </w:pPr>
      <m:oMath>
        <m:r>
          <w:rPr>
            <w:rFonts w:ascii="Cambria Math" w:hAnsi="Cambria Math"/>
          </w:rPr>
          <m:t>r</m:t>
        </m:r>
        <m:d>
          <m:dPr>
            <m:ctrlPr>
              <w:rPr>
                <w:rFonts w:ascii="Cambria Math" w:hAnsi="Cambria Math"/>
              </w:rPr>
            </m:ctrlPr>
          </m:dPr>
          <m:e>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e</m:t>
                </m:r>
              </m:sub>
            </m:sSub>
            <m:r>
              <m:rPr>
                <m:sty m:val="p"/>
              </m:rPr>
              <w:rPr>
                <w:rFonts w:ascii="Cambria Math" w:hAnsi="Cambria Math"/>
              </w:rPr>
              <m:t>,</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i</m:t>
                </m:r>
              </m:sub>
            </m:sSub>
          </m:e>
        </m:d>
      </m:oMath>
      <w:r w:rsidRPr="00AF5FD5">
        <w:rPr>
          <w:i/>
          <w:iCs/>
        </w:rPr>
        <w:t>,</w:t>
      </w:r>
      <w:r w:rsidRPr="00AF5FD5">
        <w:t xml:space="preserve"> .</w:t>
      </w:r>
      <m:oMath>
        <m:r>
          <w:rPr>
            <w:rFonts w:ascii="Cambria Math" w:hAnsi="Cambria Math"/>
          </w:rPr>
          <m:t>r</m:t>
        </m:r>
        <m:d>
          <m:dPr>
            <m:ctrlPr>
              <w:rPr>
                <w:rFonts w:ascii="Cambria Math" w:hAnsi="Cambria Math"/>
              </w:rPr>
            </m:ctrlPr>
          </m:dPr>
          <m:e>
            <m:r>
              <w:rPr>
                <w:rFonts w:ascii="Cambria Math" w:hAnsi="Cambria Math"/>
                <w:lang w:val="en-US"/>
              </w:rPr>
              <m:t>W</m:t>
            </m:r>
            <m:r>
              <m:rPr>
                <m:sty m:val="p"/>
              </m:rPr>
              <w:rPr>
                <w:rFonts w:ascii="Cambria Math" w:hAnsi="Cambria Math"/>
              </w:rPr>
              <m:t>,</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i</m:t>
                </m:r>
              </m:sub>
            </m:sSub>
          </m:e>
        </m:d>
      </m:oMath>
      <w:r w:rsidRPr="00AF5FD5">
        <w:t xml:space="preserve"> </w:t>
      </w:r>
      <w:r w:rsidRPr="00AF5FD5">
        <w:rPr>
          <w:i/>
        </w:rPr>
        <w:t xml:space="preserve">sont respectivement les coefficient de corrélation des vecteurs de valeurs des températures extérieure et intérieure de la caisse, </w:t>
      </w:r>
      <w:r w:rsidRPr="00AF5FD5">
        <w:rPr>
          <w:i/>
          <w:iCs/>
        </w:rPr>
        <w:t>de la puissance thermique (ou frigorifique), et de la température à l</w:t>
      </w:r>
      <w:r w:rsidR="00E84113" w:rsidRPr="00AF5FD5">
        <w:rPr>
          <w:i/>
          <w:iCs/>
        </w:rPr>
        <w:t>’</w:t>
      </w:r>
      <w:r w:rsidRPr="00AF5FD5">
        <w:rPr>
          <w:i/>
          <w:iCs/>
        </w:rPr>
        <w:t xml:space="preserve">intérieur de la caisse. </w:t>
      </w:r>
    </w:p>
    <w:p w:rsidR="00B25DBE" w:rsidRPr="00AF5FD5" w:rsidRDefault="00B25DBE" w:rsidP="00B25DBE">
      <w:pPr>
        <w:pStyle w:val="SingleTxtG"/>
        <w:rPr>
          <w:i/>
          <w:iCs/>
        </w:rPr>
      </w:pPr>
      <w:r w:rsidRPr="00AF5FD5">
        <w:rPr>
          <w:i/>
          <w:iCs/>
        </w:rPr>
        <w:t>Le coefficient de corrélation peut être calculé comme un coefficient de corrélation linéaire (coefficient de corrélation de Pearson). Il faut cependant garder à l</w:t>
      </w:r>
      <w:r w:rsidR="00E84113" w:rsidRPr="00AF5FD5">
        <w:rPr>
          <w:i/>
          <w:iCs/>
        </w:rPr>
        <w:t>’</w:t>
      </w:r>
      <w:r w:rsidRPr="00AF5FD5">
        <w:rPr>
          <w:i/>
          <w:iCs/>
        </w:rPr>
        <w:t>esprit que toute modification de la valeur des vecteurs concernant la puissance thermique (ou frigorifique), et particulièrement de la température extérieure de la caisse se traduit par des changements correspondants dans le vecteur de la</w:t>
      </w:r>
      <w:r w:rsidRPr="00AF5FD5">
        <w:t xml:space="preserve"> </w:t>
      </w:r>
      <w:r w:rsidRPr="00AF5FD5">
        <w:rPr>
          <w:i/>
          <w:iCs/>
        </w:rPr>
        <w:t>température intérieure de la caisse, avec un certain décalage dans le temps. Ce décalage est dû aux processus d</w:t>
      </w:r>
      <w:r w:rsidR="00E84113" w:rsidRPr="00AF5FD5">
        <w:rPr>
          <w:i/>
          <w:iCs/>
        </w:rPr>
        <w:t>’</w:t>
      </w:r>
      <w:r w:rsidRPr="00AF5FD5">
        <w:rPr>
          <w:i/>
          <w:iCs/>
        </w:rPr>
        <w:t>échange thermique dans l</w:t>
      </w:r>
      <w:r w:rsidR="00E84113" w:rsidRPr="00AF5FD5">
        <w:rPr>
          <w:i/>
          <w:iCs/>
        </w:rPr>
        <w:t>’</w:t>
      </w:r>
      <w:r w:rsidRPr="00AF5FD5">
        <w:rPr>
          <w:i/>
          <w:iCs/>
        </w:rPr>
        <w:t>air qui se trouve à l</w:t>
      </w:r>
      <w:r w:rsidR="00E84113" w:rsidRPr="00AF5FD5">
        <w:rPr>
          <w:i/>
          <w:iCs/>
        </w:rPr>
        <w:t>’</w:t>
      </w:r>
      <w:r w:rsidR="003C2CC8" w:rsidRPr="00AF5FD5">
        <w:rPr>
          <w:i/>
          <w:iCs/>
        </w:rPr>
        <w:t>intérieur du système “</w:t>
      </w:r>
      <w:r w:rsidRPr="00AF5FD5">
        <w:rPr>
          <w:i/>
          <w:iCs/>
        </w:rPr>
        <w:t xml:space="preserve">engin de transport spécial-isolation-environnement”. </w:t>
      </w:r>
      <w:r w:rsidRPr="00AF5FD5">
        <w:rPr>
          <w:i/>
          <w:iCs/>
        </w:rPr>
        <w:lastRenderedPageBreak/>
        <w:t>Si la température extérieure de la caisse est modifiée cela peut prendre plusieurs heures. Le décalage de temps effectif peut être établi visuellement (en observant les diagrammes des valeurs en train de changer) ou en choisissant la corrélation linéaire maximale avec sélection approprié des variantes en ce qui concerne le vecteur de la température intérieure.</w:t>
      </w:r>
    </w:p>
    <w:p w:rsidR="00B25DBE" w:rsidRPr="00AF5FD5" w:rsidRDefault="00B25DBE" w:rsidP="00B25DBE">
      <w:pPr>
        <w:pStyle w:val="SingleTxtG"/>
        <w:rPr>
          <w:i/>
          <w:iCs/>
        </w:rPr>
      </w:pPr>
      <w:r w:rsidRPr="00AF5FD5">
        <w:rPr>
          <w:i/>
          <w:iCs/>
        </w:rPr>
        <w:t>L</w:t>
      </w:r>
      <w:r w:rsidR="00E84113" w:rsidRPr="00AF5FD5">
        <w:rPr>
          <w:i/>
          <w:iCs/>
        </w:rPr>
        <w:t>’</w:t>
      </w:r>
      <w:r w:rsidRPr="00AF5FD5">
        <w:rPr>
          <w:i/>
          <w:iCs/>
        </w:rPr>
        <w:t>incertitude type composée de la mesure de la puissance thermique (ou frigorifique) et celles des températures extérieure et intérieure de la caisse peuvent être calculées à l</w:t>
      </w:r>
      <w:r w:rsidR="00E84113" w:rsidRPr="00AF5FD5">
        <w:rPr>
          <w:i/>
          <w:iCs/>
        </w:rPr>
        <w:t>’</w:t>
      </w:r>
      <w:r w:rsidRPr="00AF5FD5">
        <w:rPr>
          <w:i/>
          <w:iCs/>
        </w:rPr>
        <w:t>aide des recomm</w:t>
      </w:r>
      <w:r w:rsidR="003C2CC8" w:rsidRPr="00AF5FD5">
        <w:rPr>
          <w:i/>
          <w:iCs/>
        </w:rPr>
        <w:t>andations qui dans les sections </w:t>
      </w:r>
      <w:r w:rsidRPr="00AF5FD5">
        <w:rPr>
          <w:i/>
          <w:iCs/>
        </w:rPr>
        <w:t>4 et 5 du</w:t>
      </w:r>
      <w:r w:rsidRPr="00AF5FD5">
        <w:t xml:space="preserve"> </w:t>
      </w:r>
      <w:r w:rsidR="003C2CC8" w:rsidRPr="00AF5FD5">
        <w:rPr>
          <w:i/>
          <w:iCs/>
        </w:rPr>
        <w:t>Guide 98-3</w:t>
      </w:r>
      <w:r w:rsidRPr="00AF5FD5">
        <w:rPr>
          <w:i/>
          <w:iCs/>
        </w:rPr>
        <w:t>:2008 de l</w:t>
      </w:r>
      <w:r w:rsidR="00E84113" w:rsidRPr="00AF5FD5">
        <w:rPr>
          <w:i/>
          <w:iCs/>
        </w:rPr>
        <w:t>’</w:t>
      </w:r>
      <w:r w:rsidRPr="00AF5FD5">
        <w:rPr>
          <w:i/>
          <w:iCs/>
        </w:rPr>
        <w:t xml:space="preserve">ISO/CEI, en utilisant les formules suivantes : </w:t>
      </w:r>
    </w:p>
    <w:p w:rsidR="00B25DBE" w:rsidRPr="00AF5FD5" w:rsidRDefault="003E19ED" w:rsidP="00B25DBE">
      <w:pPr>
        <w:pStyle w:val="SingleTxtG"/>
        <w:rPr>
          <w:lang w:val="ru-RU"/>
        </w:rPr>
      </w:pPr>
      <m:oMathPara>
        <m:oMathParaPr>
          <m:jc m:val="left"/>
        </m:oMathParaPr>
        <m:oMath>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W</m:t>
              </m:r>
            </m:e>
          </m:d>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r>
                            <w:rPr>
                              <w:rFonts w:ascii="Cambria Math" w:hAnsi="Cambria Math"/>
                              <w:lang w:val="ru-RU"/>
                            </w:rPr>
                            <m:t>W</m:t>
                          </m:r>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r>
                        <w:rPr>
                          <w:rFonts w:ascii="Cambria Math" w:hAnsi="Cambria Math"/>
                          <w:lang w:val="ru-RU"/>
                        </w:rPr>
                        <m:t>W</m:t>
                      </m:r>
                    </m:e>
                  </m:d>
                </m:e>
                <m:sup>
                  <m:r>
                    <w:rPr>
                      <w:rFonts w:ascii="Cambria Math" w:hAnsi="Cambria Math"/>
                      <w:lang w:val="ru-RU"/>
                    </w:rPr>
                    <m:t>2</m:t>
                  </m:r>
                </m:sup>
              </m:sSup>
            </m:e>
          </m:rad>
          <m:r>
            <w:rPr>
              <w:rFonts w:ascii="Cambria Math" w:hAnsi="Cambria Math"/>
              <w:lang w:val="ru-RU"/>
            </w:rPr>
            <m:t>=</m:t>
          </m:r>
          <m:rad>
            <m:radPr>
              <m:degHide m:val="1"/>
              <m:ctrlPr>
                <w:rPr>
                  <w:rFonts w:ascii="Cambria Math" w:hAnsi="Cambria Math"/>
                  <w:i/>
                  <w:lang w:val="ru-RU"/>
                </w:rPr>
              </m:ctrlPr>
            </m:radPr>
            <m:deg/>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k=1</m:t>
                      </m:r>
                    </m:sub>
                    <m:sup>
                      <m:r>
                        <w:rPr>
                          <w:rFonts w:ascii="Cambria Math" w:hAnsi="Cambria Math"/>
                          <w:lang w:val="ru-RU"/>
                        </w:rPr>
                        <m:t>n</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W</m:t>
                                  </m:r>
                                </m:e>
                                <m:sub>
                                  <m:r>
                                    <w:rPr>
                                      <w:rFonts w:ascii="Cambria Math" w:hAnsi="Cambria Math"/>
                                      <w:lang w:val="ru-RU"/>
                                    </w:rPr>
                                    <m:t>k</m:t>
                                  </m:r>
                                </m:sub>
                              </m:sSub>
                              <m:r>
                                <w:rPr>
                                  <w:rFonts w:ascii="Cambria Math" w:hAnsi="Cambria Math"/>
                                  <w:lang w:val="ru-RU"/>
                                </w:rPr>
                                <m:t>-</m:t>
                              </m:r>
                              <m:acc>
                                <m:accPr>
                                  <m:chr m:val="̅"/>
                                  <m:ctrlPr>
                                    <w:rPr>
                                      <w:rFonts w:ascii="Cambria Math" w:hAnsi="Cambria Math"/>
                                      <w:i/>
                                      <w:lang w:val="ru-RU"/>
                                    </w:rPr>
                                  </m:ctrlPr>
                                </m:accPr>
                                <m:e>
                                  <m:r>
                                    <w:rPr>
                                      <w:rFonts w:ascii="Cambria Math" w:hAnsi="Cambria Math"/>
                                      <w:lang w:val="ru-RU"/>
                                    </w:rPr>
                                    <m:t>W</m:t>
                                  </m:r>
                                </m:e>
                              </m:acc>
                            </m:e>
                          </m:d>
                        </m:e>
                        <m:sup>
                          <m:r>
                            <w:rPr>
                              <w:rFonts w:ascii="Cambria Math" w:hAnsi="Cambria Math"/>
                              <w:lang w:val="ru-RU"/>
                            </w:rPr>
                            <m:t>2</m:t>
                          </m:r>
                        </m:sup>
                      </m:sSup>
                    </m:e>
                  </m:nary>
                </m:num>
                <m:den>
                  <m:r>
                    <w:rPr>
                      <w:rFonts w:ascii="Cambria Math" w:hAnsi="Cambria Math"/>
                      <w:lang w:val="ru-RU"/>
                    </w:rPr>
                    <m:t>n∙</m:t>
                  </m:r>
                  <m:d>
                    <m:dPr>
                      <m:ctrlPr>
                        <w:rPr>
                          <w:rFonts w:ascii="Cambria Math" w:hAnsi="Cambria Math"/>
                          <w:i/>
                          <w:lang w:val="ru-RU"/>
                        </w:rPr>
                      </m:ctrlPr>
                    </m:dPr>
                    <m:e>
                      <m:r>
                        <w:rPr>
                          <w:rFonts w:ascii="Cambria Math" w:hAnsi="Cambria Math"/>
                          <w:lang w:val="ru-RU"/>
                        </w:rPr>
                        <m:t>n-1</m:t>
                      </m:r>
                    </m:e>
                  </m:d>
                </m:den>
              </m:f>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r>
                        <w:rPr>
                          <w:rFonts w:ascii="Cambria Math" w:hAnsi="Cambria Math"/>
                          <w:lang w:val="ru-RU"/>
                        </w:rPr>
                        <m:t>W</m:t>
                      </m:r>
                    </m:e>
                  </m:d>
                </m:e>
                <m:sup>
                  <m:r>
                    <w:rPr>
                      <w:rFonts w:ascii="Cambria Math" w:hAnsi="Cambria Math"/>
                      <w:lang w:val="ru-RU"/>
                    </w:rPr>
                    <m:t>2</m:t>
                  </m:r>
                </m:sup>
              </m:sSup>
            </m:e>
          </m:rad>
        </m:oMath>
      </m:oMathPara>
    </w:p>
    <w:p w:rsidR="00B25DBE" w:rsidRPr="00AF5FD5" w:rsidRDefault="003E19ED" w:rsidP="00B25DBE">
      <w:pPr>
        <w:pStyle w:val="SingleTxtG"/>
        <w:rPr>
          <w:lang w:val="ru-RU"/>
        </w:rPr>
      </w:pPr>
      <m:oMathPara>
        <m:oMathParaPr>
          <m:jc m:val="left"/>
        </m:oMathParaPr>
        <m:oMath>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e>
                <m:sup>
                  <m:r>
                    <w:rPr>
                      <w:rFonts w:ascii="Cambria Math" w:hAnsi="Cambria Math"/>
                      <w:lang w:val="ru-RU"/>
                    </w:rPr>
                    <m:t>2</m:t>
                  </m:r>
                </m:sup>
              </m:sSup>
            </m:e>
          </m:rad>
          <m:r>
            <w:rPr>
              <w:rFonts w:ascii="Cambria Math" w:hAnsi="Cambria Math"/>
              <w:lang w:val="ru-RU"/>
            </w:rPr>
            <m:t>=</m:t>
          </m:r>
          <m:rad>
            <m:radPr>
              <m:degHide m:val="1"/>
              <m:ctrlPr>
                <w:rPr>
                  <w:rFonts w:ascii="Cambria Math" w:hAnsi="Cambria Math"/>
                  <w:i/>
                  <w:lang w:val="ru-RU"/>
                </w:rPr>
              </m:ctrlPr>
            </m:radPr>
            <m:deg/>
            <m:e>
              <m:eqArr>
                <m:eqArrPr>
                  <m:ctrlPr>
                    <w:rPr>
                      <w:rFonts w:ascii="Cambria Math" w:hAnsi="Cambria Math"/>
                      <w:i/>
                      <w:lang w:val="ru-RU"/>
                    </w:rPr>
                  </m:ctrlPr>
                </m:eqArrPr>
                <m:e>
                  <m:func>
                    <m:funcPr>
                      <m:ctrlPr>
                        <w:rPr>
                          <w:rFonts w:ascii="Cambria Math" w:hAnsi="Cambria Math"/>
                          <w:i/>
                          <w:lang w:val="ru-RU"/>
                        </w:rPr>
                      </m:ctrlPr>
                    </m:funcPr>
                    <m:fName>
                      <m:limLow>
                        <m:limLowPr>
                          <m:ctrlPr>
                            <w:rPr>
                              <w:rFonts w:ascii="Cambria Math" w:hAnsi="Cambria Math"/>
                              <w:i/>
                              <w:lang w:val="ru-RU"/>
                            </w:rPr>
                          </m:ctrlPr>
                        </m:limLowPr>
                        <m:e>
                          <m:r>
                            <w:rPr>
                              <w:rFonts w:ascii="Cambria Math" w:hAnsi="Cambria Math"/>
                              <w:lang w:val="ru-RU"/>
                            </w:rPr>
                            <m:t>max</m:t>
                          </m:r>
                        </m:e>
                        <m:lim>
                          <m:r>
                            <w:rPr>
                              <w:rFonts w:ascii="Cambria Math" w:hAnsi="Cambria Math"/>
                              <w:lang w:val="ru-RU"/>
                            </w:rPr>
                            <m:t>1≤k≤n</m:t>
                          </m:r>
                        </m:lim>
                      </m:limLow>
                    </m:fName>
                    <m:e>
                      <m:d>
                        <m:dPr>
                          <m:ctrlPr>
                            <w:rPr>
                              <w:rFonts w:ascii="Cambria Math" w:hAnsi="Cambria Math"/>
                              <w:i/>
                              <w:lang w:val="ru-RU"/>
                            </w:rPr>
                          </m:ctrlPr>
                        </m:dPr>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i=1</m:t>
                                  </m:r>
                                </m:sub>
                                <m:sup>
                                  <m:r>
                                    <w:rPr>
                                      <w:rFonts w:ascii="Cambria Math" w:hAnsi="Cambria Math"/>
                                      <w:lang w:val="ru-RU"/>
                                    </w:rPr>
                                    <m:t>l</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i,k</m:t>
                                              </m:r>
                                            </m:sub>
                                          </m:sSub>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k</m:t>
                                                  </m:r>
                                                </m:sub>
                                              </m:sSub>
                                            </m:e>
                                          </m:acc>
                                        </m:e>
                                      </m:d>
                                    </m:e>
                                    <m:sup>
                                      <m:r>
                                        <w:rPr>
                                          <w:rFonts w:ascii="Cambria Math" w:hAnsi="Cambria Math"/>
                                          <w:lang w:val="ru-RU"/>
                                        </w:rPr>
                                        <m:t>2</m:t>
                                      </m:r>
                                    </m:sup>
                                  </m:sSup>
                                </m:e>
                              </m:nary>
                            </m:num>
                            <m:den>
                              <m:r>
                                <w:rPr>
                                  <w:rFonts w:ascii="Cambria Math" w:hAnsi="Cambria Math"/>
                                  <w:lang w:val="ru-RU"/>
                                </w:rPr>
                                <m:t>l∙</m:t>
                              </m:r>
                              <m:d>
                                <m:dPr>
                                  <m:ctrlPr>
                                    <w:rPr>
                                      <w:rFonts w:ascii="Cambria Math" w:hAnsi="Cambria Math"/>
                                      <w:i/>
                                      <w:lang w:val="ru-RU"/>
                                    </w:rPr>
                                  </m:ctrlPr>
                                </m:dPr>
                                <m:e>
                                  <m:r>
                                    <w:rPr>
                                      <w:rFonts w:ascii="Cambria Math" w:hAnsi="Cambria Math"/>
                                      <w:lang w:val="ru-RU"/>
                                    </w:rPr>
                                    <m:t>l-1</m:t>
                                  </m:r>
                                </m:e>
                              </m:d>
                            </m:den>
                          </m:f>
                        </m:e>
                      </m:d>
                    </m:e>
                  </m:func>
                  <m:r>
                    <w:rPr>
                      <w:rFonts w:ascii="Cambria Math" w:hAnsi="Cambria Math"/>
                      <w:lang w:val="ru-RU"/>
                    </w:rPr>
                    <m:t>+…</m:t>
                  </m:r>
                </m:e>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en-US"/>
                            </w:rPr>
                            <m:t>k</m:t>
                          </m:r>
                          <m:r>
                            <w:rPr>
                              <w:rFonts w:ascii="Cambria Math" w:hAnsi="Cambria Math"/>
                              <w:lang w:val="ru-RU"/>
                            </w:rPr>
                            <m:t>=1</m:t>
                          </m:r>
                        </m:sub>
                        <m:sup>
                          <m:r>
                            <w:rPr>
                              <w:rFonts w:ascii="Cambria Math" w:hAnsi="Cambria Math"/>
                              <w:lang w:val="ru-RU"/>
                            </w:rPr>
                            <m:t>n</m:t>
                          </m:r>
                        </m:sup>
                        <m:e>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k</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e>
                              </m:d>
                            </m:e>
                            <m:sup>
                              <m:r>
                                <w:rPr>
                                  <w:rFonts w:ascii="Cambria Math" w:hAnsi="Cambria Math"/>
                                  <w:lang w:val="ru-RU"/>
                                </w:rPr>
                                <m:t>2</m:t>
                              </m:r>
                            </m:sup>
                          </m:sSup>
                        </m:e>
                      </m:nary>
                    </m:num>
                    <m:den>
                      <m:r>
                        <w:rPr>
                          <w:rFonts w:ascii="Cambria Math" w:hAnsi="Cambria Math"/>
                          <w:lang w:val="ru-RU"/>
                        </w:rPr>
                        <m:t>n∙</m:t>
                      </m:r>
                      <m:d>
                        <m:dPr>
                          <m:ctrlPr>
                            <w:rPr>
                              <w:rFonts w:ascii="Cambria Math" w:hAnsi="Cambria Math"/>
                              <w:i/>
                              <w:lang w:val="ru-RU"/>
                            </w:rPr>
                          </m:ctrlPr>
                        </m:dPr>
                        <m:e>
                          <m:r>
                            <w:rPr>
                              <w:rFonts w:ascii="Cambria Math" w:hAnsi="Cambria Math"/>
                              <w:lang w:val="ru-RU"/>
                            </w:rPr>
                            <m:t>n-1</m:t>
                          </m:r>
                        </m:e>
                      </m:d>
                    </m:den>
                  </m:f>
                  <m:r>
                    <w:rPr>
                      <w:rFonts w:ascii="Cambria Math" w:hAnsi="Cambria Math"/>
                      <w:lang w:val="ru-RU"/>
                    </w:rPr>
                    <m:t>+…</m:t>
                  </m:r>
                  <m:ctrlPr>
                    <w:rPr>
                      <w:rFonts w:ascii="Cambria Math" w:hAnsi="Cambria Math"/>
                      <w:lang w:val="ru-RU"/>
                    </w:rPr>
                  </m:ctrlPr>
                </m:e>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e>
                    <m:sup>
                      <m:r>
                        <w:rPr>
                          <w:rFonts w:ascii="Cambria Math" w:hAnsi="Cambria Math"/>
                          <w:lang w:val="ru-RU"/>
                        </w:rPr>
                        <m:t>2</m:t>
                      </m:r>
                    </m:sup>
                  </m:sSup>
                </m:e>
              </m:eqArr>
            </m:e>
          </m:rad>
        </m:oMath>
      </m:oMathPara>
    </w:p>
    <w:p w:rsidR="00B25DBE" w:rsidRPr="00AF5FD5" w:rsidRDefault="003E19ED" w:rsidP="00B25DBE">
      <w:pPr>
        <w:pStyle w:val="SingleTxtG"/>
        <w:rPr>
          <w:lang w:val="ru-RU"/>
        </w:rPr>
      </w:pPr>
      <m:oMathPara>
        <m:oMathParaPr>
          <m:jc m:val="left"/>
        </m:oMathParaPr>
        <m:oMath>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e>
                <m:sup>
                  <m:r>
                    <w:rPr>
                      <w:rFonts w:ascii="Cambria Math" w:hAnsi="Cambria Math"/>
                      <w:lang w:val="ru-RU"/>
                    </w:rPr>
                    <m:t>2</m:t>
                  </m:r>
                </m:sup>
              </m:sSup>
            </m:e>
          </m:rad>
          <m:r>
            <w:rPr>
              <w:rFonts w:ascii="Cambria Math" w:hAnsi="Cambria Math"/>
              <w:lang w:val="ru-RU"/>
            </w:rPr>
            <m:t>=</m:t>
          </m:r>
          <m:rad>
            <m:radPr>
              <m:degHide m:val="1"/>
              <m:ctrlPr>
                <w:rPr>
                  <w:rFonts w:ascii="Cambria Math" w:hAnsi="Cambria Math"/>
                  <w:i/>
                  <w:lang w:val="ru-RU"/>
                </w:rPr>
              </m:ctrlPr>
            </m:radPr>
            <m:deg/>
            <m:e>
              <m:eqArr>
                <m:eqArrPr>
                  <m:ctrlPr>
                    <w:rPr>
                      <w:rFonts w:ascii="Cambria Math" w:hAnsi="Cambria Math"/>
                      <w:i/>
                      <w:lang w:val="ru-RU"/>
                    </w:rPr>
                  </m:ctrlPr>
                </m:eqArrPr>
                <m:e>
                  <m:func>
                    <m:funcPr>
                      <m:ctrlPr>
                        <w:rPr>
                          <w:rFonts w:ascii="Cambria Math" w:hAnsi="Cambria Math"/>
                          <w:i/>
                          <w:lang w:val="ru-RU"/>
                        </w:rPr>
                      </m:ctrlPr>
                    </m:funcPr>
                    <m:fName>
                      <m:limLow>
                        <m:limLowPr>
                          <m:ctrlPr>
                            <w:rPr>
                              <w:rFonts w:ascii="Cambria Math" w:hAnsi="Cambria Math"/>
                              <w:i/>
                              <w:lang w:val="ru-RU"/>
                            </w:rPr>
                          </m:ctrlPr>
                        </m:limLowPr>
                        <m:e>
                          <m:r>
                            <w:rPr>
                              <w:rFonts w:ascii="Cambria Math" w:hAnsi="Cambria Math"/>
                              <w:lang w:val="ru-RU"/>
                            </w:rPr>
                            <m:t>max</m:t>
                          </m:r>
                        </m:e>
                        <m:lim>
                          <m:r>
                            <w:rPr>
                              <w:rFonts w:ascii="Cambria Math" w:hAnsi="Cambria Math"/>
                              <w:lang w:val="ru-RU"/>
                            </w:rPr>
                            <m:t>1≤k≤n</m:t>
                          </m:r>
                        </m:lim>
                      </m:limLow>
                    </m:fName>
                    <m:e>
                      <m:d>
                        <m:dPr>
                          <m:ctrlPr>
                            <w:rPr>
                              <w:rFonts w:ascii="Cambria Math" w:hAnsi="Cambria Math"/>
                              <w:i/>
                              <w:lang w:val="ru-RU"/>
                            </w:rPr>
                          </m:ctrlPr>
                        </m:dPr>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j=1</m:t>
                                  </m:r>
                                </m:sub>
                                <m:sup>
                                  <m:r>
                                    <w:rPr>
                                      <w:rFonts w:ascii="Cambria Math" w:hAnsi="Cambria Math"/>
                                      <w:lang w:val="ru-RU"/>
                                    </w:rPr>
                                    <m:t>m</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j,k</m:t>
                                              </m:r>
                                            </m:sub>
                                          </m:sSub>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k</m:t>
                                                  </m:r>
                                                </m:sub>
                                              </m:sSub>
                                            </m:e>
                                          </m:acc>
                                        </m:e>
                                      </m:d>
                                    </m:e>
                                    <m:sup>
                                      <m:r>
                                        <w:rPr>
                                          <w:rFonts w:ascii="Cambria Math" w:hAnsi="Cambria Math"/>
                                          <w:lang w:val="ru-RU"/>
                                        </w:rPr>
                                        <m:t>2</m:t>
                                      </m:r>
                                    </m:sup>
                                  </m:sSup>
                                </m:e>
                              </m:nary>
                            </m:num>
                            <m:den>
                              <m:r>
                                <w:rPr>
                                  <w:rFonts w:ascii="Cambria Math" w:hAnsi="Cambria Math"/>
                                  <w:lang w:val="ru-RU"/>
                                </w:rPr>
                                <m:t>m∙</m:t>
                              </m:r>
                              <m:d>
                                <m:dPr>
                                  <m:ctrlPr>
                                    <w:rPr>
                                      <w:rFonts w:ascii="Cambria Math" w:hAnsi="Cambria Math"/>
                                      <w:i/>
                                      <w:lang w:val="ru-RU"/>
                                    </w:rPr>
                                  </m:ctrlPr>
                                </m:dPr>
                                <m:e>
                                  <m:r>
                                    <w:rPr>
                                      <w:rFonts w:ascii="Cambria Math" w:hAnsi="Cambria Math"/>
                                      <w:lang w:val="ru-RU"/>
                                    </w:rPr>
                                    <m:t>m-1</m:t>
                                  </m:r>
                                </m:e>
                              </m:d>
                            </m:den>
                          </m:f>
                        </m:e>
                      </m:d>
                    </m:e>
                  </m:func>
                  <m:r>
                    <w:rPr>
                      <w:rFonts w:ascii="Cambria Math" w:hAnsi="Cambria Math"/>
                      <w:lang w:val="ru-RU"/>
                    </w:rPr>
                    <m:t>+…</m:t>
                  </m:r>
                </m:e>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en-US"/>
                            </w:rPr>
                            <m:t>k</m:t>
                          </m:r>
                          <m:r>
                            <w:rPr>
                              <w:rFonts w:ascii="Cambria Math" w:hAnsi="Cambria Math"/>
                              <w:lang w:val="ru-RU"/>
                            </w:rPr>
                            <m:t>=1</m:t>
                          </m:r>
                        </m:sub>
                        <m:sup>
                          <m:r>
                            <w:rPr>
                              <w:rFonts w:ascii="Cambria Math" w:hAnsi="Cambria Math"/>
                              <w:lang w:val="ru-RU"/>
                            </w:rPr>
                            <m:t>n</m:t>
                          </m:r>
                        </m:sup>
                        <m:e>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k</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e>
                              </m:d>
                            </m:e>
                            <m:sup>
                              <m:r>
                                <w:rPr>
                                  <w:rFonts w:ascii="Cambria Math" w:hAnsi="Cambria Math"/>
                                  <w:lang w:val="ru-RU"/>
                                </w:rPr>
                                <m:t>2</m:t>
                              </m:r>
                            </m:sup>
                          </m:sSup>
                        </m:e>
                      </m:nary>
                    </m:num>
                    <m:den>
                      <m:r>
                        <w:rPr>
                          <w:rFonts w:ascii="Cambria Math" w:hAnsi="Cambria Math"/>
                          <w:lang w:val="ru-RU"/>
                        </w:rPr>
                        <m:t>n∙</m:t>
                      </m:r>
                      <m:d>
                        <m:dPr>
                          <m:ctrlPr>
                            <w:rPr>
                              <w:rFonts w:ascii="Cambria Math" w:hAnsi="Cambria Math"/>
                              <w:i/>
                              <w:lang w:val="ru-RU"/>
                            </w:rPr>
                          </m:ctrlPr>
                        </m:dPr>
                        <m:e>
                          <m:r>
                            <w:rPr>
                              <w:rFonts w:ascii="Cambria Math" w:hAnsi="Cambria Math"/>
                              <w:lang w:val="ru-RU"/>
                            </w:rPr>
                            <m:t>n-1</m:t>
                          </m:r>
                        </m:e>
                      </m:d>
                    </m:den>
                  </m:f>
                  <m:r>
                    <w:rPr>
                      <w:rFonts w:ascii="Cambria Math" w:hAnsi="Cambria Math"/>
                      <w:lang w:val="ru-RU"/>
                    </w:rPr>
                    <m:t>+…</m:t>
                  </m:r>
                  <m:ctrlPr>
                    <w:rPr>
                      <w:rFonts w:ascii="Cambria Math" w:hAnsi="Cambria Math"/>
                      <w:lang w:val="ru-RU"/>
                    </w:rPr>
                  </m:ctrlPr>
                </m:e>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e>
                    <m:sup>
                      <m:r>
                        <w:rPr>
                          <w:rFonts w:ascii="Cambria Math" w:hAnsi="Cambria Math"/>
                          <w:lang w:val="ru-RU"/>
                        </w:rPr>
                        <m:t>2</m:t>
                      </m:r>
                    </m:sup>
                  </m:sSup>
                </m:e>
              </m:eqArr>
            </m:e>
          </m:rad>
        </m:oMath>
      </m:oMathPara>
    </w:p>
    <w:p w:rsidR="00B25DBE" w:rsidRPr="00AF5FD5" w:rsidRDefault="003E19ED" w:rsidP="003C2CC8">
      <w:pPr>
        <w:pStyle w:val="SingleTxtG"/>
        <w:spacing w:after="240"/>
        <w:rPr>
          <w:lang w:val="ru-RU"/>
        </w:rPr>
      </w:pPr>
      <m:oMathPara>
        <m:oMathParaPr>
          <m:jc m:val="left"/>
        </m:oMathParaPr>
        <m:oMath>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S</m:t>
              </m:r>
            </m:e>
          </m:d>
          <m:r>
            <w:rPr>
              <w:rFonts w:ascii="Cambria Math" w:hAnsi="Cambria Math"/>
              <w:lang w:val="ru-RU"/>
            </w:rPr>
            <m:t>=</m:t>
          </m:r>
          <m:rad>
            <m:radPr>
              <m:degHide m:val="1"/>
              <m:ctrlPr>
                <w:rPr>
                  <w:rFonts w:ascii="Cambria Math" w:hAnsi="Cambria Math"/>
                  <w:i/>
                  <w:lang w:val="ru-RU"/>
                </w:rPr>
              </m:ctrlPr>
            </m:radPr>
            <m:deg/>
            <m:e>
              <m:f>
                <m:fPr>
                  <m:ctrlPr>
                    <w:rPr>
                      <w:rFonts w:ascii="Cambria Math" w:hAnsi="Cambria Math"/>
                      <w:i/>
                      <w:lang w:val="ru-RU"/>
                    </w:rPr>
                  </m:ctrlPr>
                </m:fPr>
                <m:num>
                  <m:sSup>
                    <m:sSupPr>
                      <m:ctrlPr>
                        <w:rPr>
                          <w:rFonts w:ascii="Cambria Math" w:hAnsi="Cambria Math"/>
                          <w:i/>
                          <w:lang w:val="ru-RU"/>
                        </w:rPr>
                      </m:ctrlPr>
                    </m:sSupPr>
                    <m:e>
                      <m:d>
                        <m:dPr>
                          <m:ctrlPr>
                            <w:rPr>
                              <w:rFonts w:ascii="Cambria Math" w:hAnsi="Cambria Math"/>
                              <w:i/>
                              <w:lang w:val="ru-RU"/>
                            </w:rPr>
                          </m:ctrlPr>
                        </m:dPr>
                        <m:e>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bar>
                          <m:r>
                            <w:rPr>
                              <w:rFonts w:ascii="Cambria Math" w:hAnsi="Cambria Math"/>
                              <w:lang w:val="ru-RU"/>
                            </w:rPr>
                            <m:t>∙</m:t>
                          </m:r>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d>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bar>
                          <m:r>
                            <w:rPr>
                              <w:rFonts w:ascii="Cambria Math" w:hAnsi="Cambria Math"/>
                              <w:lang w:val="ru-RU"/>
                            </w:rPr>
                            <m:t>∙</m:t>
                          </m:r>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d>
                        </m:e>
                      </m:d>
                    </m:e>
                    <m:sup>
                      <m:r>
                        <w:rPr>
                          <w:rFonts w:ascii="Cambria Math" w:hAnsi="Cambria Math"/>
                          <w:lang w:val="ru-RU"/>
                        </w:rPr>
                        <m:t>2</m:t>
                      </m:r>
                    </m:sup>
                  </m:sSup>
                </m:num>
                <m:den>
                  <m:r>
                    <w:rPr>
                      <w:rFonts w:ascii="Cambria Math" w:hAnsi="Cambria Math"/>
                      <w:lang w:val="ru-RU"/>
                    </w:rPr>
                    <m:t>4∙</m:t>
                  </m:r>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bar>
                  <m:r>
                    <w:rPr>
                      <w:rFonts w:ascii="Cambria Math" w:hAnsi="Cambria Math"/>
                      <w:lang w:val="ru-RU"/>
                    </w:rPr>
                    <m:t>∙</m:t>
                  </m:r>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bar>
                </m:den>
              </m:f>
            </m:e>
          </m:rad>
        </m:oMath>
      </m:oMathPara>
    </w:p>
    <w:p w:rsidR="00B25DBE" w:rsidRPr="00AF5FD5" w:rsidRDefault="003C2CC8" w:rsidP="00B25DBE">
      <w:pPr>
        <w:pStyle w:val="SingleTxtG"/>
        <w:rPr>
          <w:i/>
        </w:rPr>
      </w:pPr>
      <w:r w:rsidRPr="00AF5FD5">
        <w:rPr>
          <w:i/>
          <w:iCs/>
        </w:rPr>
        <w:t>où </w:t>
      </w:r>
      <w:r w:rsidRPr="00AF5FD5">
        <w:rPr>
          <w:i/>
        </w:rPr>
        <w:t>:</w:t>
      </w:r>
    </w:p>
    <w:p w:rsidR="00B25DBE" w:rsidRPr="00AF5FD5" w:rsidRDefault="003E19ED" w:rsidP="00B25DBE">
      <w:pPr>
        <w:pStyle w:val="SingleTxtG"/>
        <w:rPr>
          <w:i/>
          <w:iCs/>
        </w:rPr>
      </w:pPr>
      <m:oMath>
        <m:sSub>
          <m:sSubPr>
            <m:ctrlPr>
              <w:rPr>
                <w:rFonts w:ascii="Cambria Math" w:hAnsi="Cambria Math"/>
                <w:lang w:val="ru-RU"/>
              </w:rPr>
            </m:ctrlPr>
          </m:sSubPr>
          <m:e>
            <m:r>
              <w:rPr>
                <w:rFonts w:ascii="Cambria Math" w:hAnsi="Cambria Math"/>
              </w:rPr>
              <m:t>u</m:t>
            </m:r>
          </m:e>
          <m:sub>
            <m:r>
              <w:rPr>
                <w:rFonts w:ascii="Cambria Math" w:hAnsi="Cambria Math"/>
              </w:rPr>
              <m:t>A</m:t>
            </m:r>
          </m:sub>
        </m:sSub>
        <m:d>
          <m:dPr>
            <m:ctrlPr>
              <w:rPr>
                <w:rFonts w:ascii="Cambria Math" w:hAnsi="Cambria Math"/>
                <w:lang w:val="ru-RU"/>
              </w:rPr>
            </m:ctrlPr>
          </m:dPr>
          <m:e>
            <m:acc>
              <m:accPr>
                <m:chr m:val="̅"/>
                <m:ctrlPr>
                  <w:rPr>
                    <w:rFonts w:ascii="Cambria Math" w:hAnsi="Cambria Math"/>
                    <w:lang w:val="ru-RU"/>
                  </w:rPr>
                </m:ctrlPr>
              </m:accPr>
              <m:e>
                <m:r>
                  <w:rPr>
                    <w:rFonts w:ascii="Cambria Math" w:hAnsi="Cambria Math"/>
                  </w:rPr>
                  <m:t>W</m:t>
                </m:r>
              </m:e>
            </m:acc>
          </m:e>
        </m:d>
      </m:oMath>
      <w:r w:rsidR="00B25DBE" w:rsidRPr="00AF5FD5">
        <w:t xml:space="preserve">, </w:t>
      </w:r>
      <m:oMath>
        <m:sSub>
          <m:sSubPr>
            <m:ctrlPr>
              <w:rPr>
                <w:rFonts w:ascii="Cambria Math" w:hAnsi="Cambria Math"/>
                <w:lang w:val="ru-RU"/>
              </w:rPr>
            </m:ctrlPr>
          </m:sSubPr>
          <m:e>
            <m:r>
              <w:rPr>
                <w:rFonts w:ascii="Cambria Math" w:hAnsi="Cambria Math"/>
              </w:rPr>
              <m:t>u</m:t>
            </m:r>
          </m:e>
          <m:sub>
            <m:r>
              <w:rPr>
                <w:rFonts w:ascii="Cambria Math" w:hAnsi="Cambria Math"/>
              </w:rPr>
              <m:t>A</m:t>
            </m:r>
          </m:sub>
        </m:sSub>
        <m:d>
          <m:dPr>
            <m:ctrlPr>
              <w:rPr>
                <w:rFonts w:ascii="Cambria Math" w:hAnsi="Cambria Math"/>
                <w:lang w:val="ru-RU"/>
              </w:rPr>
            </m:ctrlPr>
          </m:dPr>
          <m:e>
            <m:acc>
              <m:accPr>
                <m:chr m:val="̅"/>
                <m:ctrlPr>
                  <w:rPr>
                    <w:rFonts w:ascii="Cambria Math" w:hAnsi="Cambria Math"/>
                    <w:lang w:val="ru-RU"/>
                  </w:rPr>
                </m:ctrlPr>
              </m:accPr>
              <m:e>
                <m:sSub>
                  <m:sSubPr>
                    <m:ctrlPr>
                      <w:rPr>
                        <w:rFonts w:ascii="Cambria Math" w:hAnsi="Cambria Math"/>
                        <w:lang w:val="ru-RU"/>
                      </w:rPr>
                    </m:ctrlPr>
                  </m:sSubPr>
                  <m:e>
                    <m:r>
                      <w:rPr>
                        <w:rFonts w:ascii="Cambria Math" w:hAnsi="Cambria Math"/>
                      </w:rPr>
                      <m:t>T</m:t>
                    </m:r>
                  </m:e>
                  <m:sub>
                    <m:r>
                      <w:rPr>
                        <w:rFonts w:ascii="Cambria Math" w:hAnsi="Cambria Math"/>
                      </w:rPr>
                      <m:t>i</m:t>
                    </m:r>
                  </m:sub>
                </m:sSub>
              </m:e>
            </m:acc>
          </m:e>
        </m:d>
        <m:r>
          <m:rPr>
            <m:sty m:val="p"/>
          </m:rPr>
          <w:rPr>
            <w:rFonts w:ascii="Cambria Math" w:hAnsi="Cambria Math"/>
          </w:rPr>
          <m:t xml:space="preserve">,  </m:t>
        </m:r>
        <m:sSub>
          <m:sSubPr>
            <m:ctrlPr>
              <w:rPr>
                <w:rFonts w:ascii="Cambria Math" w:hAnsi="Cambria Math"/>
                <w:lang w:val="ru-RU"/>
              </w:rPr>
            </m:ctrlPr>
          </m:sSubPr>
          <m:e>
            <m:r>
              <w:rPr>
                <w:rFonts w:ascii="Cambria Math" w:hAnsi="Cambria Math"/>
              </w:rPr>
              <m:t>u</m:t>
            </m:r>
          </m:e>
          <m:sub>
            <m:r>
              <w:rPr>
                <w:rFonts w:ascii="Cambria Math" w:hAnsi="Cambria Math"/>
              </w:rPr>
              <m:t>A</m:t>
            </m:r>
          </m:sub>
        </m:sSub>
        <m:d>
          <m:dPr>
            <m:ctrlPr>
              <w:rPr>
                <w:rFonts w:ascii="Cambria Math" w:hAnsi="Cambria Math"/>
                <w:lang w:val="ru-RU"/>
              </w:rPr>
            </m:ctrlPr>
          </m:dPr>
          <m:e>
            <m:acc>
              <m:accPr>
                <m:chr m:val="̅"/>
                <m:ctrlPr>
                  <w:rPr>
                    <w:rFonts w:ascii="Cambria Math" w:hAnsi="Cambria Math"/>
                    <w:lang w:val="ru-RU"/>
                  </w:rPr>
                </m:ctrlPr>
              </m:accPr>
              <m:e>
                <m:sSub>
                  <m:sSubPr>
                    <m:ctrlPr>
                      <w:rPr>
                        <w:rFonts w:ascii="Cambria Math" w:hAnsi="Cambria Math"/>
                        <w:lang w:val="ru-RU"/>
                      </w:rPr>
                    </m:ctrlPr>
                  </m:sSubPr>
                  <m:e>
                    <m:r>
                      <w:rPr>
                        <w:rFonts w:ascii="Cambria Math" w:hAnsi="Cambria Math"/>
                      </w:rPr>
                      <m:t>T</m:t>
                    </m:r>
                  </m:e>
                  <m:sub>
                    <m:r>
                      <w:rPr>
                        <w:rFonts w:ascii="Cambria Math" w:hAnsi="Cambria Math"/>
                      </w:rPr>
                      <m:t>e</m:t>
                    </m:r>
                  </m:sub>
                </m:sSub>
              </m:e>
            </m:acc>
          </m:e>
        </m:d>
        <m:r>
          <m:rPr>
            <m:sty m:val="p"/>
          </m:rPr>
          <w:rPr>
            <w:rFonts w:ascii="Cambria Math" w:hAnsi="Cambria Math"/>
          </w:rPr>
          <m:t xml:space="preserve">,  </m:t>
        </m:r>
        <m:sSub>
          <m:sSubPr>
            <m:ctrlPr>
              <w:rPr>
                <w:rFonts w:ascii="Cambria Math" w:hAnsi="Cambria Math"/>
                <w:lang w:val="ru-RU"/>
              </w:rPr>
            </m:ctrlPr>
          </m:sSubPr>
          <m:e>
            <m:r>
              <w:rPr>
                <w:rFonts w:ascii="Cambria Math" w:hAnsi="Cambria Math"/>
              </w:rPr>
              <m:t>u</m:t>
            </m:r>
          </m:e>
          <m:sub>
            <m:r>
              <w:rPr>
                <w:rFonts w:ascii="Cambria Math" w:hAnsi="Cambria Math"/>
              </w:rPr>
              <m:t>A</m:t>
            </m:r>
          </m:sub>
        </m:sSub>
        <m:d>
          <m:dPr>
            <m:ctrlPr>
              <w:rPr>
                <w:rFonts w:ascii="Cambria Math" w:hAnsi="Cambria Math"/>
                <w:lang w:val="ru-RU"/>
              </w:rPr>
            </m:ctrlPr>
          </m:dPr>
          <m:e>
            <m:acc>
              <m:accPr>
                <m:chr m:val="̅"/>
                <m:ctrlPr>
                  <w:rPr>
                    <w:rFonts w:ascii="Cambria Math" w:hAnsi="Cambria Math"/>
                    <w:lang w:val="ru-RU"/>
                  </w:rPr>
                </m:ctrlPr>
              </m:accPr>
              <m:e>
                <m:acc>
                  <m:accPr>
                    <m:chr m:val="̅"/>
                    <m:ctrlPr>
                      <w:rPr>
                        <w:rFonts w:ascii="Cambria Math" w:hAnsi="Cambria Math"/>
                        <w:lang w:val="ru-RU"/>
                      </w:rPr>
                    </m:ctrlPr>
                  </m:accPr>
                  <m:e>
                    <m:sSub>
                      <m:sSubPr>
                        <m:ctrlPr>
                          <w:rPr>
                            <w:rFonts w:ascii="Cambria Math" w:hAnsi="Cambria Math"/>
                            <w:lang w:val="ru-RU"/>
                          </w:rPr>
                        </m:ctrlPr>
                      </m:sSubPr>
                      <m:e>
                        <m:r>
                          <w:rPr>
                            <w:rFonts w:ascii="Cambria Math" w:hAnsi="Cambria Math"/>
                          </w:rPr>
                          <m:t>T</m:t>
                        </m:r>
                      </m:e>
                      <m:sub>
                        <m:r>
                          <w:rPr>
                            <w:rFonts w:ascii="Cambria Math" w:hAnsi="Cambria Math"/>
                          </w:rPr>
                          <m:t>i</m:t>
                        </m:r>
                      </m:sub>
                    </m:sSub>
                  </m:e>
                </m:acc>
              </m:e>
            </m:acc>
          </m:e>
        </m:d>
        <m:r>
          <m:rPr>
            <m:sty m:val="p"/>
          </m:rPr>
          <w:rPr>
            <w:rFonts w:ascii="Cambria Math" w:hAnsi="Cambria Math"/>
          </w:rPr>
          <m:t xml:space="preserve">,  </m:t>
        </m:r>
        <m:sSub>
          <m:sSubPr>
            <m:ctrlPr>
              <w:rPr>
                <w:rFonts w:ascii="Cambria Math" w:hAnsi="Cambria Math"/>
                <w:lang w:val="ru-RU"/>
              </w:rPr>
            </m:ctrlPr>
          </m:sSubPr>
          <m:e>
            <m:r>
              <w:rPr>
                <w:rFonts w:ascii="Cambria Math" w:hAnsi="Cambria Math"/>
              </w:rPr>
              <m:t>u</m:t>
            </m:r>
          </m:e>
          <m:sub>
            <m:r>
              <w:rPr>
                <w:rFonts w:ascii="Cambria Math" w:hAnsi="Cambria Math"/>
              </w:rPr>
              <m:t>A</m:t>
            </m:r>
          </m:sub>
        </m:sSub>
        <m:d>
          <m:dPr>
            <m:ctrlPr>
              <w:rPr>
                <w:rFonts w:ascii="Cambria Math" w:hAnsi="Cambria Math"/>
                <w:lang w:val="ru-RU"/>
              </w:rPr>
            </m:ctrlPr>
          </m:dPr>
          <m:e>
            <m:acc>
              <m:accPr>
                <m:chr m:val="̅"/>
                <m:ctrlPr>
                  <w:rPr>
                    <w:rFonts w:ascii="Cambria Math" w:hAnsi="Cambria Math"/>
                    <w:lang w:val="ru-RU"/>
                  </w:rPr>
                </m:ctrlPr>
              </m:accPr>
              <m:e>
                <m:acc>
                  <m:accPr>
                    <m:chr m:val="̅"/>
                    <m:ctrlPr>
                      <w:rPr>
                        <w:rFonts w:ascii="Cambria Math" w:hAnsi="Cambria Math"/>
                        <w:lang w:val="ru-RU"/>
                      </w:rPr>
                    </m:ctrlPr>
                  </m:accPr>
                  <m:e>
                    <m:sSub>
                      <m:sSubPr>
                        <m:ctrlPr>
                          <w:rPr>
                            <w:rFonts w:ascii="Cambria Math" w:hAnsi="Cambria Math"/>
                            <w:lang w:val="ru-RU"/>
                          </w:rPr>
                        </m:ctrlPr>
                      </m:sSubPr>
                      <m:e>
                        <m:r>
                          <w:rPr>
                            <w:rFonts w:ascii="Cambria Math" w:hAnsi="Cambria Math"/>
                          </w:rPr>
                          <m:t>T</m:t>
                        </m:r>
                      </m:e>
                      <m:sub>
                        <m:r>
                          <w:rPr>
                            <w:rFonts w:ascii="Cambria Math" w:hAnsi="Cambria Math"/>
                          </w:rPr>
                          <m:t>e</m:t>
                        </m:r>
                      </m:sub>
                    </m:sSub>
                  </m:e>
                </m:acc>
              </m:e>
            </m:acc>
          </m:e>
        </m:d>
      </m:oMath>
      <w:r w:rsidR="00B25DBE" w:rsidRPr="00AF5FD5">
        <w:t xml:space="preserve"> </w:t>
      </w:r>
      <w:r w:rsidR="00B25DBE" w:rsidRPr="00AF5FD5">
        <w:rPr>
          <w:i/>
          <w:iCs/>
        </w:rPr>
        <w:t xml:space="preserve">sont </w:t>
      </w:r>
      <w:r w:rsidR="00B25DBE" w:rsidRPr="00AF5FD5">
        <w:rPr>
          <w:i/>
        </w:rPr>
        <w:t>respectivement</w:t>
      </w:r>
      <w:r w:rsidR="00B25DBE" w:rsidRPr="00AF5FD5">
        <w:rPr>
          <w:i/>
          <w:iCs/>
        </w:rPr>
        <w:t xml:space="preserve"> les incertitudes-types </w:t>
      </w:r>
      <w:r w:rsidR="00B25DBE" w:rsidRPr="00AF5FD5">
        <w:rPr>
          <w:i/>
        </w:rPr>
        <w:t xml:space="preserve">des mesures des valeurs moyennes </w:t>
      </w:r>
      <w:r w:rsidR="00B25DBE" w:rsidRPr="00AF5FD5">
        <w:rPr>
          <w:i/>
          <w:iCs/>
        </w:rPr>
        <w:t>de la puissance thermique (ou frigorifique), en W</w:t>
      </w:r>
      <w:r w:rsidR="0048024C" w:rsidRPr="00AF5FD5">
        <w:rPr>
          <w:i/>
          <w:iCs/>
        </w:rPr>
        <w:t> ;</w:t>
      </w:r>
      <w:r w:rsidR="00B25DBE" w:rsidRPr="00AF5FD5">
        <w:rPr>
          <w:i/>
          <w:iCs/>
        </w:rPr>
        <w:t xml:space="preserve"> des températures extérieure et intérieure de la caisse (dans les limites d</w:t>
      </w:r>
      <w:r w:rsidR="00E84113" w:rsidRPr="00AF5FD5">
        <w:rPr>
          <w:i/>
          <w:iCs/>
        </w:rPr>
        <w:t>’</w:t>
      </w:r>
      <w:r w:rsidR="00B25DBE" w:rsidRPr="00AF5FD5">
        <w:rPr>
          <w:i/>
          <w:iCs/>
        </w:rPr>
        <w:t xml:space="preserve">une seule mesure basée </w:t>
      </w:r>
      <w:r w:rsidR="003C2CC8" w:rsidRPr="00AF5FD5">
        <w:rPr>
          <w:i/>
          <w:iCs/>
        </w:rPr>
        <w:t>sur la lecture simultanée de 12 </w:t>
      </w:r>
      <w:r w:rsidR="00B25DBE" w:rsidRPr="00AF5FD5">
        <w:rPr>
          <w:i/>
          <w:iCs/>
        </w:rPr>
        <w:t>thermomètres), en K, et des températures extérieure et intérieure de la cai</w:t>
      </w:r>
      <w:r w:rsidR="003C2CC8" w:rsidRPr="00AF5FD5">
        <w:rPr>
          <w:i/>
          <w:iCs/>
        </w:rPr>
        <w:t>sse (en conditions stables), en </w:t>
      </w:r>
      <w:r w:rsidR="00B25DBE" w:rsidRPr="00AF5FD5">
        <w:rPr>
          <w:i/>
          <w:iCs/>
        </w:rPr>
        <w:t>K, à l</w:t>
      </w:r>
      <w:r w:rsidR="00E84113" w:rsidRPr="00AF5FD5">
        <w:rPr>
          <w:i/>
          <w:iCs/>
        </w:rPr>
        <w:t>’</w:t>
      </w:r>
      <w:r w:rsidR="00B25DBE" w:rsidRPr="00AF5FD5">
        <w:rPr>
          <w:i/>
          <w:iCs/>
        </w:rPr>
        <w:t>aide d</w:t>
      </w:r>
      <w:r w:rsidR="00E84113" w:rsidRPr="00AF5FD5">
        <w:rPr>
          <w:i/>
          <w:iCs/>
        </w:rPr>
        <w:t>’</w:t>
      </w:r>
      <w:r w:rsidR="00707BB8">
        <w:rPr>
          <w:i/>
          <w:iCs/>
        </w:rPr>
        <w:t>une évaluation de type </w:t>
      </w:r>
      <w:r w:rsidR="003C2CC8" w:rsidRPr="00AF5FD5">
        <w:rPr>
          <w:i/>
          <w:iCs/>
        </w:rPr>
        <w:t>A.</w:t>
      </w:r>
    </w:p>
    <w:p w:rsidR="00B25DBE" w:rsidRPr="00AF5FD5" w:rsidRDefault="003E19ED" w:rsidP="00B25DBE">
      <w:pPr>
        <w:pStyle w:val="SingleTxtG"/>
        <w:rPr>
          <w:i/>
          <w:iCs/>
        </w:rPr>
      </w:pPr>
      <m:oMath>
        <m:sSub>
          <m:sSubPr>
            <m:ctrlPr>
              <w:rPr>
                <w:rFonts w:ascii="Cambria Math" w:hAnsi="Cambria Math"/>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lang w:val="ru-RU"/>
              </w:rPr>
            </m:ctrlPr>
          </m:dPr>
          <m:e>
            <m:r>
              <w:rPr>
                <w:rFonts w:ascii="Cambria Math" w:hAnsi="Cambria Math"/>
                <w:lang w:val="ru-RU"/>
              </w:rPr>
              <m:t>W</m:t>
            </m:r>
          </m:e>
        </m:d>
      </m:oMath>
      <w:r w:rsidR="00B25DBE" w:rsidRPr="00AF5FD5">
        <w:t xml:space="preserve">, </w:t>
      </w:r>
      <m:oMath>
        <m:sSub>
          <m:sSubPr>
            <m:ctrlPr>
              <w:rPr>
                <w:rFonts w:ascii="Cambria Math" w:hAnsi="Cambria Math"/>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i</m:t>
                </m:r>
              </m:sub>
            </m:sSub>
          </m:e>
        </m:d>
        <m:r>
          <m:rPr>
            <m:sty m:val="p"/>
          </m:rPr>
          <w:rPr>
            <w:rFonts w:ascii="Cambria Math" w:hAnsi="Cambria Math"/>
          </w:rPr>
          <m:t xml:space="preserve">,  </m:t>
        </m:r>
        <m:sSub>
          <m:sSubPr>
            <m:ctrlPr>
              <w:rPr>
                <w:rFonts w:ascii="Cambria Math" w:hAnsi="Cambria Math"/>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e</m:t>
                </m:r>
              </m:sub>
            </m:sSub>
          </m:e>
        </m:d>
        <m:r>
          <m:rPr>
            <m:sty m:val="p"/>
          </m:rPr>
          <w:rPr>
            <w:rFonts w:ascii="Cambria Math" w:hAnsi="Cambria Math"/>
          </w:rPr>
          <m:t xml:space="preserve">  </m:t>
        </m:r>
      </m:oMath>
      <w:r w:rsidR="00B25DBE" w:rsidRPr="00AF5FD5">
        <w:rPr>
          <w:i/>
          <w:iCs/>
        </w:rPr>
        <w:t>sont respectivement les incertitudes-types des mesures de la puissance thermique (ou frigorifique), en W, et des températures extérieure et intérieure de la caisse, en K, à l</w:t>
      </w:r>
      <w:r w:rsidR="00E84113" w:rsidRPr="00AF5FD5">
        <w:rPr>
          <w:i/>
          <w:iCs/>
        </w:rPr>
        <w:t>’</w:t>
      </w:r>
      <w:r w:rsidR="00B25DBE" w:rsidRPr="00AF5FD5">
        <w:rPr>
          <w:i/>
          <w:iCs/>
        </w:rPr>
        <w:t>aide d</w:t>
      </w:r>
      <w:r w:rsidR="00E84113" w:rsidRPr="00AF5FD5">
        <w:rPr>
          <w:i/>
          <w:iCs/>
        </w:rPr>
        <w:t>’</w:t>
      </w:r>
      <w:r w:rsidR="00B25DBE" w:rsidRPr="00AF5FD5">
        <w:rPr>
          <w:i/>
          <w:iCs/>
        </w:rPr>
        <w:t xml:space="preserve">une évaluation de type B. </w:t>
      </w:r>
    </w:p>
    <w:p w:rsidR="00B25DBE" w:rsidRPr="00AF5FD5" w:rsidRDefault="00B25DBE" w:rsidP="00B25DBE">
      <w:pPr>
        <w:pStyle w:val="SingleTxtG"/>
        <w:rPr>
          <w:i/>
          <w:iCs/>
        </w:rPr>
      </w:pPr>
      <w:r w:rsidRPr="00AF5FD5">
        <w:rPr>
          <w:i/>
          <w:iCs/>
        </w:rPr>
        <w:t xml:space="preserve"> </w:t>
      </w:r>
      <m:oMath>
        <m:sSub>
          <m:sSubPr>
            <m:ctrlPr>
              <w:rPr>
                <w:rFonts w:ascii="Cambria Math" w:hAnsi="Cambria Math"/>
                <w:lang w:val="ru-RU"/>
              </w:rPr>
            </m:ctrlPr>
          </m:sSubPr>
          <m:e>
            <m:r>
              <w:rPr>
                <w:rFonts w:ascii="Cambria Math" w:hAnsi="Cambria Math"/>
              </w:rPr>
              <m:t>u</m:t>
            </m:r>
          </m:e>
          <m:sub>
            <m:r>
              <w:rPr>
                <w:rFonts w:ascii="Cambria Math" w:hAnsi="Cambria Math"/>
              </w:rPr>
              <m:t>c</m:t>
            </m:r>
          </m:sub>
        </m:sSub>
        <m:d>
          <m:dPr>
            <m:ctrlPr>
              <w:rPr>
                <w:rFonts w:ascii="Cambria Math" w:hAnsi="Cambria Math"/>
                <w:lang w:val="ru-RU"/>
              </w:rPr>
            </m:ctrlPr>
          </m:dPr>
          <m:e>
            <m:sSub>
              <m:sSubPr>
                <m:ctrlPr>
                  <w:rPr>
                    <w:rFonts w:ascii="Cambria Math" w:hAnsi="Cambria Math"/>
                    <w:lang w:val="ru-RU"/>
                  </w:rPr>
                </m:ctrlPr>
              </m:sSubPr>
              <m:e>
                <m:r>
                  <w:rPr>
                    <w:rFonts w:ascii="Cambria Math" w:hAnsi="Cambria Math"/>
                  </w:rPr>
                  <m:t>S</m:t>
                </m:r>
              </m:e>
              <m:sub>
                <m:r>
                  <w:rPr>
                    <w:rFonts w:ascii="Cambria Math" w:hAnsi="Cambria Math"/>
                  </w:rPr>
                  <m:t>e</m:t>
                </m:r>
              </m:sub>
            </m:sSub>
          </m:e>
        </m:d>
      </m:oMath>
      <w:r w:rsidRPr="00AF5FD5">
        <w:t xml:space="preserve">, </w:t>
      </w:r>
      <m:oMath>
        <m:sSub>
          <m:sSubPr>
            <m:ctrlPr>
              <w:rPr>
                <w:rFonts w:ascii="Cambria Math" w:hAnsi="Cambria Math"/>
                <w:lang w:val="ru-RU"/>
              </w:rPr>
            </m:ctrlPr>
          </m:sSubPr>
          <m:e>
            <m:r>
              <w:rPr>
                <w:rFonts w:ascii="Cambria Math" w:hAnsi="Cambria Math"/>
              </w:rPr>
              <m:t>u</m:t>
            </m:r>
          </m:e>
          <m:sub>
            <m:r>
              <w:rPr>
                <w:rFonts w:ascii="Cambria Math" w:hAnsi="Cambria Math"/>
              </w:rPr>
              <m:t>c</m:t>
            </m:r>
          </m:sub>
        </m:sSub>
        <m:d>
          <m:dPr>
            <m:ctrlPr>
              <w:rPr>
                <w:rFonts w:ascii="Cambria Math" w:hAnsi="Cambria Math"/>
                <w:lang w:val="ru-RU"/>
              </w:rPr>
            </m:ctrlPr>
          </m:dPr>
          <m:e>
            <m:sSub>
              <m:sSubPr>
                <m:ctrlPr>
                  <w:rPr>
                    <w:rFonts w:ascii="Cambria Math" w:hAnsi="Cambria Math"/>
                    <w:lang w:val="ru-RU"/>
                  </w:rPr>
                </m:ctrlPr>
              </m:sSubPr>
              <m:e>
                <m:r>
                  <w:rPr>
                    <w:rFonts w:ascii="Cambria Math" w:hAnsi="Cambria Math"/>
                  </w:rPr>
                  <m:t>S</m:t>
                </m:r>
              </m:e>
              <m:sub>
                <m:r>
                  <w:rPr>
                    <w:rFonts w:ascii="Cambria Math" w:hAnsi="Cambria Math"/>
                  </w:rPr>
                  <m:t>i</m:t>
                </m:r>
              </m:sub>
            </m:sSub>
          </m:e>
        </m:d>
        <m:r>
          <m:rPr>
            <m:sty m:val="p"/>
          </m:rPr>
          <w:rPr>
            <w:rFonts w:ascii="Cambria Math" w:hAnsi="Cambria Math"/>
          </w:rPr>
          <m:t xml:space="preserve"> </m:t>
        </m:r>
      </m:oMath>
      <w:r w:rsidRPr="00AF5FD5">
        <w:rPr>
          <w:i/>
          <w:iCs/>
        </w:rPr>
        <w:t>sont respectivement les incertitudes-types des valeurs des surfaces intérieure et extérieure de la caisse du véhicule soumis à l</w:t>
      </w:r>
      <w:r w:rsidR="00E84113" w:rsidRPr="00AF5FD5">
        <w:rPr>
          <w:i/>
          <w:iCs/>
        </w:rPr>
        <w:t>’</w:t>
      </w:r>
      <w:r w:rsidRPr="00AF5FD5">
        <w:rPr>
          <w:i/>
          <w:iCs/>
        </w:rPr>
        <w:t>essai (sans tenir compte des ondulations), en m</w:t>
      </w:r>
      <w:r w:rsidRPr="00AF5FD5">
        <w:rPr>
          <w:i/>
          <w:iCs/>
          <w:vertAlign w:val="superscript"/>
        </w:rPr>
        <w:t>2</w:t>
      </w:r>
      <w:r w:rsidR="0048024C" w:rsidRPr="00AF5FD5">
        <w:rPr>
          <w:i/>
          <w:iCs/>
        </w:rPr>
        <w:t> ;</w:t>
      </w:r>
    </w:p>
    <w:p w:rsidR="00B25DBE" w:rsidRPr="00AF5FD5" w:rsidRDefault="003E19ED" w:rsidP="00B25DBE">
      <w:pPr>
        <w:pStyle w:val="SingleTxtG"/>
        <w:rPr>
          <w:i/>
          <w:iCs/>
        </w:rPr>
      </w:pPr>
      <m:oMath>
        <m:sSub>
          <m:sSubPr>
            <m:ctrlPr>
              <w:rPr>
                <w:rFonts w:ascii="Cambria Math" w:hAnsi="Cambria Math"/>
                <w:lang w:val="ru-RU"/>
              </w:rPr>
            </m:ctrlPr>
          </m:sSubPr>
          <m:e>
            <m:r>
              <w:rPr>
                <w:rFonts w:ascii="Cambria Math" w:hAnsi="Cambria Math"/>
                <w:lang w:val="ru-RU"/>
              </w:rPr>
              <m:t>W</m:t>
            </m:r>
          </m:e>
          <m:sub>
            <m:r>
              <w:rPr>
                <w:rFonts w:ascii="Cambria Math" w:hAnsi="Cambria Math"/>
                <w:lang w:val="ru-RU"/>
              </w:rPr>
              <m:t>k</m:t>
            </m:r>
          </m:sub>
        </m:sSub>
      </m:oMath>
      <w:r w:rsidR="00B25DBE" w:rsidRPr="00AF5FD5">
        <w:t xml:space="preserve"> </w:t>
      </w:r>
      <w:r w:rsidR="00B25DBE" w:rsidRPr="00AF5FD5">
        <w:rPr>
          <w:i/>
        </w:rPr>
        <w:t xml:space="preserve">est la valeur </w:t>
      </w:r>
      <w:r w:rsidR="00B25DBE" w:rsidRPr="00AF5FD5">
        <w:rPr>
          <w:i/>
          <w:iCs/>
        </w:rPr>
        <w:t>de la puissance thermique (ou frigorifique)</w:t>
      </w:r>
      <w:r w:rsidR="00B25DBE" w:rsidRPr="00AF5FD5">
        <w:t xml:space="preserve"> </w:t>
      </w:r>
      <w:r w:rsidR="00B25DBE" w:rsidRPr="00AF5FD5">
        <w:rPr>
          <w:i/>
          <w:iCs/>
        </w:rPr>
        <w:t>relevée lors de la k-ième mesure (pendant la période de calcul à la fin de la période de stabilisation ce sont</w:t>
      </w:r>
      <w:r w:rsidR="00707BB8">
        <w:rPr>
          <w:i/>
          <w:iCs/>
        </w:rPr>
        <w:t> </w:t>
      </w:r>
      <w:r w:rsidR="00B25DBE" w:rsidRPr="00AF5FD5">
        <w:rPr>
          <w:i/>
          <w:iCs/>
        </w:rPr>
        <w:t xml:space="preserve">n mesures qui ont été effectuées en tout), en W ; </w:t>
      </w:r>
    </w:p>
    <w:p w:rsidR="00B25DBE" w:rsidRPr="00AF5FD5" w:rsidRDefault="003E19ED" w:rsidP="00B25DBE">
      <w:pPr>
        <w:pStyle w:val="SingleTxtG"/>
        <w:rPr>
          <w:i/>
        </w:rPr>
      </w:pPr>
      <m:oMath>
        <m:sSub>
          <m:sSubPr>
            <m:ctrlPr>
              <w:rPr>
                <w:rFonts w:ascii="Cambria Math" w:hAnsi="Cambria Math"/>
                <w:lang w:val="ru-RU"/>
              </w:rPr>
            </m:ctrlPr>
          </m:sSubPr>
          <m:e>
            <m:sSub>
              <m:sSubPr>
                <m:ctrlPr>
                  <w:rPr>
                    <w:rFonts w:ascii="Cambria Math" w:hAnsi="Cambria Math"/>
                    <w:lang w:val="ru-RU"/>
                  </w:rPr>
                </m:ctrlPr>
              </m:sSubPr>
              <m:e>
                <m:r>
                  <w:rPr>
                    <w:rFonts w:ascii="Cambria Math" w:hAnsi="Cambria Math"/>
                  </w:rPr>
                  <m:t>T</m:t>
                </m:r>
              </m:e>
              <m:sub>
                <m:r>
                  <w:rPr>
                    <w:rFonts w:ascii="Cambria Math" w:hAnsi="Cambria Math"/>
                    <w:lang w:val="en-US"/>
                  </w:rPr>
                  <m:t>i</m:t>
                </m:r>
              </m:sub>
            </m:sSub>
          </m:e>
          <m:sub>
            <m:r>
              <w:rPr>
                <w:rFonts w:ascii="Cambria Math" w:hAnsi="Cambria Math"/>
              </w:rPr>
              <m:t>i</m:t>
            </m:r>
            <m:r>
              <m:rPr>
                <m:sty m:val="p"/>
              </m:rPr>
              <w:rPr>
                <w:rFonts w:ascii="Cambria Math" w:hAnsi="Cambria Math"/>
              </w:rPr>
              <m:t>,</m:t>
            </m:r>
            <m:r>
              <w:rPr>
                <w:rFonts w:ascii="Cambria Math" w:hAnsi="Cambria Math"/>
              </w:rPr>
              <m:t>k</m:t>
            </m:r>
          </m:sub>
        </m:sSub>
      </m:oMath>
      <w:r w:rsidR="00B25DBE" w:rsidRPr="00AF5FD5">
        <w:t xml:space="preserve">, </w:t>
      </w:r>
      <m:oMath>
        <m:sSub>
          <m:sSubPr>
            <m:ctrlPr>
              <w:rPr>
                <w:rFonts w:ascii="Cambria Math" w:hAnsi="Cambria Math"/>
                <w:lang w:val="ru-RU"/>
              </w:rPr>
            </m:ctrlPr>
          </m:sSubPr>
          <m:e>
            <m:sSub>
              <m:sSubPr>
                <m:ctrlPr>
                  <w:rPr>
                    <w:rFonts w:ascii="Cambria Math" w:hAnsi="Cambria Math"/>
                    <w:lang w:val="ru-RU"/>
                  </w:rPr>
                </m:ctrlPr>
              </m:sSubPr>
              <m:e>
                <m:r>
                  <w:rPr>
                    <w:rFonts w:ascii="Cambria Math" w:hAnsi="Cambria Math"/>
                  </w:rPr>
                  <m:t>T</m:t>
                </m:r>
              </m:e>
              <m:sub>
                <m:r>
                  <w:rPr>
                    <w:rFonts w:ascii="Cambria Math" w:hAnsi="Cambria Math"/>
                  </w:rPr>
                  <m:t>e</m:t>
                </m:r>
              </m:sub>
            </m:sSub>
          </m:e>
          <m:sub>
            <m:r>
              <w:rPr>
                <w:rFonts w:ascii="Cambria Math" w:hAnsi="Cambria Math"/>
              </w:rPr>
              <m:t>j</m:t>
            </m:r>
            <m:r>
              <m:rPr>
                <m:sty m:val="p"/>
              </m:rPr>
              <w:rPr>
                <w:rFonts w:ascii="Cambria Math" w:hAnsi="Cambria Math"/>
              </w:rPr>
              <m:t>,</m:t>
            </m:r>
            <m:r>
              <w:rPr>
                <w:rFonts w:ascii="Cambria Math" w:hAnsi="Cambria Math"/>
              </w:rPr>
              <m:t>k</m:t>
            </m:r>
          </m:sub>
        </m:sSub>
      </m:oMath>
      <w:r w:rsidR="00B25DBE" w:rsidRPr="00AF5FD5">
        <w:t xml:space="preserve"> </w:t>
      </w:r>
      <w:r w:rsidR="00B25DBE" w:rsidRPr="00AF5FD5">
        <w:rPr>
          <w:i/>
        </w:rPr>
        <w:t>sont les valeurs des températures relevées lors de la k-ième mesure, respectivement avec l</w:t>
      </w:r>
      <w:r w:rsidR="00E84113" w:rsidRPr="00AF5FD5">
        <w:rPr>
          <w:i/>
        </w:rPr>
        <w:t>’</w:t>
      </w:r>
      <w:r w:rsidR="00707BB8">
        <w:rPr>
          <w:i/>
        </w:rPr>
        <w:t>appareil </w:t>
      </w:r>
      <w:r w:rsidR="00B25DBE" w:rsidRPr="00AF5FD5">
        <w:rPr>
          <w:i/>
        </w:rPr>
        <w:t>i à l</w:t>
      </w:r>
      <w:r w:rsidR="00E84113" w:rsidRPr="00AF5FD5">
        <w:rPr>
          <w:i/>
        </w:rPr>
        <w:t>’</w:t>
      </w:r>
      <w:r w:rsidR="00B25DBE" w:rsidRPr="00AF5FD5">
        <w:rPr>
          <w:i/>
        </w:rPr>
        <w:t>intérieur de la caisse du véhicule soumis à l</w:t>
      </w:r>
      <w:r w:rsidR="00E84113" w:rsidRPr="00AF5FD5">
        <w:rPr>
          <w:i/>
        </w:rPr>
        <w:t>’</w:t>
      </w:r>
      <w:r w:rsidR="00707BB8">
        <w:rPr>
          <w:i/>
        </w:rPr>
        <w:t>essai (au total, l </w:t>
      </w:r>
      <w:r w:rsidR="00B25DBE" w:rsidRPr="00AF5FD5">
        <w:rPr>
          <w:i/>
        </w:rPr>
        <w:t>thermomètres de même précision participent simultanément au même relevé de la température) et avec l</w:t>
      </w:r>
      <w:r w:rsidR="00E84113" w:rsidRPr="00AF5FD5">
        <w:rPr>
          <w:i/>
        </w:rPr>
        <w:t>’</w:t>
      </w:r>
      <w:r w:rsidR="00707BB8">
        <w:rPr>
          <w:i/>
        </w:rPr>
        <w:t>appareil </w:t>
      </w:r>
      <w:r w:rsidR="00B25DBE" w:rsidRPr="00AF5FD5">
        <w:rPr>
          <w:i/>
        </w:rPr>
        <w:t>j à l</w:t>
      </w:r>
      <w:r w:rsidR="00E84113" w:rsidRPr="00AF5FD5">
        <w:rPr>
          <w:i/>
        </w:rPr>
        <w:t>’</w:t>
      </w:r>
      <w:r w:rsidR="00B25DBE" w:rsidRPr="00AF5FD5">
        <w:rPr>
          <w:i/>
        </w:rPr>
        <w:t>extérieur de la caisse du véhicule (au total, m</w:t>
      </w:r>
      <w:r w:rsidR="00707BB8">
        <w:rPr>
          <w:i/>
        </w:rPr>
        <w:t> </w:t>
      </w:r>
      <w:r w:rsidR="00B25DBE" w:rsidRPr="00AF5FD5">
        <w:rPr>
          <w:i/>
        </w:rPr>
        <w:t>thermomètres de même précision participent simultanément au même re</w:t>
      </w:r>
      <w:r w:rsidR="003C2CC8" w:rsidRPr="00AF5FD5">
        <w:rPr>
          <w:i/>
        </w:rPr>
        <w:t>levé de la température), en °C ;</w:t>
      </w:r>
      <w:r w:rsidR="00B25DBE" w:rsidRPr="00AF5FD5">
        <w:rPr>
          <w:i/>
        </w:rPr>
        <w:t xml:space="preserve"> </w:t>
      </w:r>
    </w:p>
    <w:p w:rsidR="00B25DBE" w:rsidRPr="00AF5FD5" w:rsidRDefault="003E19ED" w:rsidP="00B25DBE">
      <w:pPr>
        <w:pStyle w:val="SingleTxtG"/>
        <w:rPr>
          <w:i/>
          <w:iCs/>
        </w:rPr>
      </w:pPr>
      <m:oMath>
        <m:acc>
          <m:accPr>
            <m:chr m:val="̅"/>
            <m:ctrlPr>
              <w:rPr>
                <w:rFonts w:ascii="Cambria Math" w:hAnsi="Cambria Math"/>
                <w:lang w:val="ru-RU"/>
              </w:rPr>
            </m:ctrlPr>
          </m:accPr>
          <m:e>
            <m:r>
              <w:rPr>
                <w:rFonts w:ascii="Cambria Math" w:hAnsi="Cambria Math"/>
                <w:lang w:val="ru-RU"/>
              </w:rPr>
              <m:t>W</m:t>
            </m:r>
          </m:e>
        </m:acc>
        <m:r>
          <m:rPr>
            <m:sty m:val="p"/>
          </m:rPr>
          <w:rPr>
            <w:rFonts w:ascii="Cambria Math" w:hAnsi="Cambria Math"/>
          </w:rPr>
          <m:t xml:space="preserve">,  </m:t>
        </m:r>
        <m:acc>
          <m:accPr>
            <m:chr m:val="̅"/>
            <m:ctrlPr>
              <w:rPr>
                <w:rFonts w:ascii="Cambria Math" w:hAnsi="Cambria Math"/>
                <w:lang w:val="ru-RU"/>
              </w:rPr>
            </m:ctrlPr>
          </m:acc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i</m:t>
                </m:r>
              </m:sub>
            </m:sSub>
          </m:e>
        </m:acc>
        <m:r>
          <m:rPr>
            <m:sty m:val="p"/>
          </m:rPr>
          <w:rPr>
            <w:rFonts w:ascii="Cambria Math" w:hAnsi="Cambria Math"/>
          </w:rPr>
          <m:t xml:space="preserve">,  </m:t>
        </m:r>
        <m:acc>
          <m:accPr>
            <m:chr m:val="̅"/>
            <m:ctrlPr>
              <w:rPr>
                <w:rFonts w:ascii="Cambria Math" w:hAnsi="Cambria Math"/>
                <w:lang w:val="ru-RU"/>
              </w:rPr>
            </m:ctrlPr>
          </m:acc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e</m:t>
                </m:r>
              </m:sub>
            </m:sSub>
          </m:e>
        </m:acc>
      </m:oMath>
      <w:r w:rsidR="00B25DBE" w:rsidRPr="00AF5FD5">
        <w:t xml:space="preserve"> </w:t>
      </w:r>
      <w:r w:rsidR="00B25DBE" w:rsidRPr="00AF5FD5">
        <w:rPr>
          <w:i/>
        </w:rPr>
        <w:t>sont respectivement les valeurs moyennes calculées</w:t>
      </w:r>
      <w:r w:rsidR="00B25DBE" w:rsidRPr="00AF5FD5">
        <w:rPr>
          <w:i/>
          <w:iCs/>
        </w:rPr>
        <w:t xml:space="preserve"> de la puissance </w:t>
      </w:r>
      <w:r w:rsidR="00707BB8">
        <w:rPr>
          <w:i/>
          <w:iCs/>
        </w:rPr>
        <w:t>thermique (ou frigorifique), en </w:t>
      </w:r>
      <w:r w:rsidR="00B25DBE" w:rsidRPr="00AF5FD5">
        <w:rPr>
          <w:i/>
          <w:iCs/>
        </w:rPr>
        <w:t>W, et des températures extérieure et intérieure de la caisse, en °C</w:t>
      </w:r>
      <w:r w:rsidR="0048024C" w:rsidRPr="00AF5FD5">
        <w:rPr>
          <w:i/>
          <w:iCs/>
        </w:rPr>
        <w:t> ;</w:t>
      </w:r>
    </w:p>
    <w:p w:rsidR="00B25DBE" w:rsidRPr="00AF5FD5" w:rsidRDefault="003E19ED" w:rsidP="00B25DBE">
      <w:pPr>
        <w:pStyle w:val="SingleTxtG"/>
        <w:rPr>
          <w:i/>
          <w:iCs/>
        </w:rPr>
      </w:pPr>
      <m:oMath>
        <m:acc>
          <m:accPr>
            <m:chr m:val="̅"/>
            <m:ctrlPr>
              <w:rPr>
                <w:rFonts w:ascii="Cambria Math" w:hAnsi="Cambria Math"/>
                <w:lang w:val="ru-RU"/>
              </w:rPr>
            </m:ctrlPr>
          </m:accPr>
          <m:e>
            <m:sSub>
              <m:sSubPr>
                <m:ctrlPr>
                  <w:rPr>
                    <w:rFonts w:ascii="Cambria Math" w:hAnsi="Cambria Math"/>
                    <w:lang w:val="ru-RU"/>
                  </w:rPr>
                </m:ctrlPr>
              </m:sSub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k</m:t>
                </m:r>
              </m:sub>
            </m:sSub>
          </m:e>
        </m:acc>
        <m:r>
          <m:rPr>
            <m:sty m:val="p"/>
          </m:rPr>
          <w:rPr>
            <w:rFonts w:ascii="Cambria Math" w:hAnsi="Cambria Math"/>
          </w:rPr>
          <m:t xml:space="preserve">,  </m:t>
        </m:r>
        <m:acc>
          <m:accPr>
            <m:chr m:val="̅"/>
            <m:ctrlPr>
              <w:rPr>
                <w:rFonts w:ascii="Cambria Math" w:hAnsi="Cambria Math"/>
                <w:lang w:val="ru-RU"/>
              </w:rPr>
            </m:ctrlPr>
          </m:accPr>
          <m:e>
            <m:sSub>
              <m:sSubPr>
                <m:ctrlPr>
                  <w:rPr>
                    <w:rFonts w:ascii="Cambria Math" w:hAnsi="Cambria Math"/>
                    <w:lang w:val="ru-RU"/>
                  </w:rPr>
                </m:ctrlPr>
              </m:sSub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k</m:t>
                </m:r>
              </m:sub>
            </m:sSub>
          </m:e>
        </m:acc>
      </m:oMath>
      <w:r w:rsidR="00B25DBE" w:rsidRPr="00AF5FD5">
        <w:t xml:space="preserve"> </w:t>
      </w:r>
      <w:r w:rsidR="00B25DBE" w:rsidRPr="00AF5FD5">
        <w:rPr>
          <w:i/>
          <w:iCs/>
        </w:rPr>
        <w:t>sont respectivement les valeurs moyennes calculées (dans les limites de la -ième mesure) des températures extérieure</w:t>
      </w:r>
      <w:r w:rsidR="003C2CC8" w:rsidRPr="00AF5FD5">
        <w:rPr>
          <w:i/>
          <w:iCs/>
        </w:rPr>
        <w:t xml:space="preserve"> et intérieure de la caisse, en </w:t>
      </w:r>
      <w:r w:rsidR="00B25DBE" w:rsidRPr="00AF5FD5">
        <w:rPr>
          <w:i/>
          <w:iCs/>
        </w:rPr>
        <w:t>°C</w:t>
      </w:r>
      <w:r w:rsidR="0048024C" w:rsidRPr="00AF5FD5">
        <w:rPr>
          <w:i/>
          <w:iCs/>
        </w:rPr>
        <w:t> ;</w:t>
      </w:r>
    </w:p>
    <w:p w:rsidR="00B25DBE" w:rsidRPr="00AF5FD5" w:rsidRDefault="003E19ED" w:rsidP="00B25DBE">
      <w:pPr>
        <w:pStyle w:val="SingleTxtG"/>
        <w:rPr>
          <w:i/>
          <w:iCs/>
        </w:rPr>
      </w:pPr>
      <m:oMath>
        <m:bar>
          <m:barPr>
            <m:pos m:val="top"/>
            <m:ctrlPr>
              <w:rPr>
                <w:rFonts w:ascii="Cambria Math" w:hAnsi="Cambria Math"/>
                <w:lang w:val="ru-RU"/>
              </w:rPr>
            </m:ctrlPr>
          </m:barPr>
          <m:e>
            <m:sSub>
              <m:sSubPr>
                <m:ctrlPr>
                  <w:rPr>
                    <w:rFonts w:ascii="Cambria Math" w:hAnsi="Cambria Math"/>
                    <w:lang w:val="ru-RU"/>
                  </w:rPr>
                </m:ctrlPr>
              </m:sSubPr>
              <m:e>
                <m:r>
                  <w:rPr>
                    <w:rFonts w:ascii="Cambria Math" w:hAnsi="Cambria Math"/>
                    <w:lang w:val="ru-RU"/>
                  </w:rPr>
                  <m:t>S</m:t>
                </m:r>
              </m:e>
              <m:sub>
                <m:r>
                  <w:rPr>
                    <w:rFonts w:ascii="Cambria Math" w:hAnsi="Cambria Math"/>
                    <w:lang w:val="ru-RU"/>
                  </w:rPr>
                  <m:t>i</m:t>
                </m:r>
              </m:sub>
            </m:sSub>
          </m:e>
        </m:bar>
      </m:oMath>
      <w:r w:rsidR="00B25DBE" w:rsidRPr="00AF5FD5">
        <w:t xml:space="preserve">, </w:t>
      </w:r>
      <m:oMath>
        <m:bar>
          <m:barPr>
            <m:pos m:val="top"/>
            <m:ctrlPr>
              <w:rPr>
                <w:rFonts w:ascii="Cambria Math" w:hAnsi="Cambria Math"/>
                <w:lang w:val="ru-RU"/>
              </w:rPr>
            </m:ctrlPr>
          </m:barPr>
          <m:e>
            <m:sSub>
              <m:sSubPr>
                <m:ctrlPr>
                  <w:rPr>
                    <w:rFonts w:ascii="Cambria Math" w:hAnsi="Cambria Math"/>
                    <w:lang w:val="ru-RU"/>
                  </w:rPr>
                </m:ctrlPr>
              </m:sSubPr>
              <m:e>
                <m:r>
                  <w:rPr>
                    <w:rFonts w:ascii="Cambria Math" w:hAnsi="Cambria Math"/>
                    <w:lang w:val="ru-RU"/>
                  </w:rPr>
                  <m:t>S</m:t>
                </m:r>
              </m:e>
              <m:sub>
                <m:r>
                  <w:rPr>
                    <w:rFonts w:ascii="Cambria Math" w:hAnsi="Cambria Math"/>
                    <w:lang w:val="en-US"/>
                  </w:rPr>
                  <m:t>e</m:t>
                </m:r>
              </m:sub>
            </m:sSub>
          </m:e>
        </m:bar>
      </m:oMath>
      <w:r w:rsidR="00B25DBE" w:rsidRPr="00AF5FD5">
        <w:t xml:space="preserve"> </w:t>
      </w:r>
      <w:r w:rsidR="00B25DBE" w:rsidRPr="00AF5FD5">
        <w:rPr>
          <w:i/>
        </w:rPr>
        <w:t>sont respectivement les valeurs moyennes calculées</w:t>
      </w:r>
      <w:r w:rsidR="00B25DBE" w:rsidRPr="00AF5FD5">
        <w:rPr>
          <w:i/>
          <w:iCs/>
        </w:rPr>
        <w:t xml:space="preserve"> des surfaces intérieure et extérieure de la caisse</w:t>
      </w:r>
      <w:r w:rsidR="00B25DBE" w:rsidRPr="00AF5FD5">
        <w:rPr>
          <w:i/>
        </w:rPr>
        <w:t xml:space="preserve"> du véhicule soumis à l</w:t>
      </w:r>
      <w:r w:rsidR="00E84113" w:rsidRPr="00AF5FD5">
        <w:rPr>
          <w:i/>
        </w:rPr>
        <w:t>’</w:t>
      </w:r>
      <w:r w:rsidR="00B25DBE" w:rsidRPr="00AF5FD5">
        <w:rPr>
          <w:i/>
        </w:rPr>
        <w:t xml:space="preserve">essai </w:t>
      </w:r>
      <w:r w:rsidR="00B25DBE" w:rsidRPr="00AF5FD5">
        <w:rPr>
          <w:i/>
          <w:iCs/>
        </w:rPr>
        <w:t>(sans t</w:t>
      </w:r>
      <w:r w:rsidR="003C2CC8" w:rsidRPr="00AF5FD5">
        <w:rPr>
          <w:i/>
          <w:iCs/>
        </w:rPr>
        <w:t>enir compte des ondulations),en </w:t>
      </w:r>
      <w:r w:rsidR="00B25DBE" w:rsidRPr="00AF5FD5">
        <w:rPr>
          <w:i/>
          <w:iCs/>
        </w:rPr>
        <w:t>m</w:t>
      </w:r>
      <w:r w:rsidR="00B25DBE" w:rsidRPr="00AF5FD5">
        <w:rPr>
          <w:i/>
          <w:iCs/>
          <w:vertAlign w:val="superscript"/>
        </w:rPr>
        <w:t>2</w:t>
      </w:r>
      <w:r w:rsidR="00B25DBE" w:rsidRPr="00AF5FD5">
        <w:rPr>
          <w:i/>
          <w:iCs/>
        </w:rPr>
        <w:t>.</w:t>
      </w:r>
    </w:p>
    <w:p w:rsidR="00B25DBE" w:rsidRPr="00AF5FD5" w:rsidRDefault="003E19ED" w:rsidP="00B25DBE">
      <w:pPr>
        <w:pStyle w:val="SingleTxtG"/>
        <w:rPr>
          <w:i/>
          <w:iCs/>
          <w:lang w:val="ru-RU"/>
        </w:rPr>
      </w:pPr>
      <m:oMathPara>
        <m:oMathParaPr>
          <m:jc m:val="left"/>
        </m:oMathParaPr>
        <m:oMath>
          <m:acc>
            <m:accPr>
              <m:chr m:val="̅"/>
              <m:ctrlPr>
                <w:rPr>
                  <w:rFonts w:ascii="Cambria Math" w:hAnsi="Cambria Math"/>
                  <w:i/>
                  <w:iCs/>
                  <w:lang w:val="ru-RU"/>
                </w:rPr>
              </m:ctrlPr>
            </m:accPr>
            <m:e>
              <m:r>
                <w:rPr>
                  <w:rFonts w:ascii="Cambria Math" w:hAnsi="Cambria Math"/>
                  <w:lang w:val="ru-RU"/>
                </w:rPr>
                <m:t>W</m:t>
              </m:r>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k=1</m:t>
                  </m:r>
                </m:sub>
                <m:sup>
                  <m:r>
                    <w:rPr>
                      <w:rFonts w:ascii="Cambria Math" w:hAnsi="Cambria Math"/>
                      <w:lang w:val="ru-RU"/>
                    </w:rPr>
                    <m:t>n</m:t>
                  </m:r>
                </m:sup>
                <m:e>
                  <m:sSub>
                    <m:sSubPr>
                      <m:ctrlPr>
                        <w:rPr>
                          <w:rFonts w:ascii="Cambria Math" w:hAnsi="Cambria Math"/>
                          <w:i/>
                          <w:iCs/>
                          <w:lang w:val="ru-RU"/>
                        </w:rPr>
                      </m:ctrlPr>
                    </m:sSubPr>
                    <m:e>
                      <m:r>
                        <w:rPr>
                          <w:rFonts w:ascii="Cambria Math" w:hAnsi="Cambria Math"/>
                          <w:lang w:val="ru-RU"/>
                        </w:rPr>
                        <m:t>W</m:t>
                      </m:r>
                    </m:e>
                    <m:sub>
                      <m:r>
                        <w:rPr>
                          <w:rFonts w:ascii="Cambria Math" w:hAnsi="Cambria Math"/>
                          <w:lang w:val="ru-RU"/>
                        </w:rPr>
                        <m:t>k</m:t>
                      </m:r>
                    </m:sub>
                  </m:sSub>
                </m:e>
              </m:nary>
            </m:num>
            <m:den>
              <m:r>
                <w:rPr>
                  <w:rFonts w:ascii="Cambria Math" w:hAnsi="Cambria Math"/>
                  <w:lang w:val="ru-RU"/>
                </w:rPr>
                <m:t>n</m:t>
              </m:r>
            </m:den>
          </m:f>
        </m:oMath>
      </m:oMathPara>
    </w:p>
    <w:p w:rsidR="00B25DBE" w:rsidRPr="00AF5FD5" w:rsidRDefault="003E19ED" w:rsidP="00B25DBE">
      <w:pPr>
        <w:pStyle w:val="SingleTxtG"/>
        <w:rPr>
          <w:i/>
          <w:iCs/>
          <w:lang w:val="ru-RU"/>
        </w:rPr>
      </w:pPr>
      <m:oMathPara>
        <m:oMathParaPr>
          <m:jc m:val="left"/>
        </m:oMathParaPr>
        <m:oMath>
          <m:acc>
            <m:accPr>
              <m:chr m:val="̅"/>
              <m:ctrlPr>
                <w:rPr>
                  <w:rFonts w:ascii="Cambria Math" w:hAnsi="Cambria Math"/>
                  <w:i/>
                  <w:iCs/>
                  <w:lang w:val="ru-RU"/>
                </w:rPr>
              </m:ctrlPr>
            </m:acc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i</m:t>
                  </m:r>
                </m:sub>
              </m:sSub>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k=1</m:t>
                  </m:r>
                </m:sub>
                <m:sup>
                  <m:r>
                    <w:rPr>
                      <w:rFonts w:ascii="Cambria Math" w:hAnsi="Cambria Math"/>
                      <w:lang w:val="ru-RU"/>
                    </w:rPr>
                    <m:t>n</m:t>
                  </m:r>
                </m:sup>
                <m:e>
                  <m:nary>
                    <m:naryPr>
                      <m:chr m:val="∑"/>
                      <m:limLoc m:val="undOvr"/>
                      <m:ctrlPr>
                        <w:rPr>
                          <w:rFonts w:ascii="Cambria Math" w:hAnsi="Cambria Math"/>
                          <w:i/>
                          <w:iCs/>
                          <w:lang w:val="ru-RU"/>
                        </w:rPr>
                      </m:ctrlPr>
                    </m:naryPr>
                    <m:sub>
                      <m:r>
                        <w:rPr>
                          <w:rFonts w:ascii="Cambria Math" w:hAnsi="Cambria Math"/>
                          <w:lang w:val="ru-RU"/>
                        </w:rPr>
                        <m:t>i=1</m:t>
                      </m:r>
                    </m:sub>
                    <m:sup>
                      <m:r>
                        <w:rPr>
                          <w:rFonts w:ascii="Cambria Math" w:hAnsi="Cambria Math"/>
                          <w:lang w:val="ru-RU"/>
                        </w:rPr>
                        <m:t>l</m:t>
                      </m:r>
                    </m:sup>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i,k</m:t>
                          </m:r>
                        </m:sub>
                      </m:sSub>
                    </m:e>
                  </m:nary>
                </m:e>
              </m:nary>
            </m:num>
            <m:den>
              <m:r>
                <w:rPr>
                  <w:rFonts w:ascii="Cambria Math" w:hAnsi="Cambria Math"/>
                  <w:lang w:val="ru-RU"/>
                </w:rPr>
                <m:t>n∙l</m:t>
              </m:r>
            </m:den>
          </m:f>
        </m:oMath>
      </m:oMathPara>
    </w:p>
    <w:p w:rsidR="00B25DBE" w:rsidRPr="00AF5FD5" w:rsidRDefault="003E19ED" w:rsidP="00B25DBE">
      <w:pPr>
        <w:pStyle w:val="SingleTxtG"/>
        <w:rPr>
          <w:i/>
          <w:iCs/>
          <w:lang w:val="ru-RU"/>
        </w:rPr>
      </w:pPr>
      <m:oMathPara>
        <m:oMathParaPr>
          <m:jc m:val="left"/>
        </m:oMathParaPr>
        <m:oMath>
          <m:acc>
            <m:accPr>
              <m:chr m:val="̅"/>
              <m:ctrlPr>
                <w:rPr>
                  <w:rFonts w:ascii="Cambria Math" w:hAnsi="Cambria Math"/>
                  <w:i/>
                  <w:iCs/>
                  <w:lang w:val="ru-RU"/>
                </w:rPr>
              </m:ctrlPr>
            </m:acc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k=1</m:t>
                  </m:r>
                </m:sub>
                <m:sup>
                  <m:r>
                    <w:rPr>
                      <w:rFonts w:ascii="Cambria Math" w:hAnsi="Cambria Math"/>
                      <w:lang w:val="ru-RU"/>
                    </w:rPr>
                    <m:t>n</m:t>
                  </m:r>
                </m:sup>
                <m:e>
                  <m:nary>
                    <m:naryPr>
                      <m:chr m:val="∑"/>
                      <m:limLoc m:val="undOvr"/>
                      <m:ctrlPr>
                        <w:rPr>
                          <w:rFonts w:ascii="Cambria Math" w:hAnsi="Cambria Math"/>
                          <w:i/>
                          <w:iCs/>
                          <w:lang w:val="ru-RU"/>
                        </w:rPr>
                      </m:ctrlPr>
                    </m:naryPr>
                    <m:sub>
                      <m:r>
                        <w:rPr>
                          <w:rFonts w:ascii="Cambria Math" w:hAnsi="Cambria Math"/>
                          <w:lang w:val="ru-RU"/>
                        </w:rPr>
                        <m:t>j=1</m:t>
                      </m:r>
                    </m:sub>
                    <m:sup>
                      <m:r>
                        <w:rPr>
                          <w:rFonts w:ascii="Cambria Math" w:hAnsi="Cambria Math"/>
                          <w:lang w:val="ru-RU"/>
                        </w:rPr>
                        <m:t>m</m:t>
                      </m:r>
                    </m:sup>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j,k</m:t>
                          </m:r>
                        </m:sub>
                      </m:sSub>
                    </m:e>
                  </m:nary>
                </m:e>
              </m:nary>
            </m:num>
            <m:den>
              <m:r>
                <w:rPr>
                  <w:rFonts w:ascii="Cambria Math" w:hAnsi="Cambria Math"/>
                  <w:lang w:val="ru-RU"/>
                </w:rPr>
                <m:t>n∙m</m:t>
              </m:r>
            </m:den>
          </m:f>
        </m:oMath>
      </m:oMathPara>
    </w:p>
    <w:p w:rsidR="00B25DBE" w:rsidRPr="00AF5FD5" w:rsidRDefault="003E19ED" w:rsidP="00B25DBE">
      <w:pPr>
        <w:pStyle w:val="SingleTxtG"/>
        <w:rPr>
          <w:i/>
          <w:iCs/>
          <w:lang w:val="ru-RU"/>
        </w:rPr>
      </w:pPr>
      <m:oMathPara>
        <m:oMathParaPr>
          <m:jc m:val="left"/>
        </m:oMathParaPr>
        <m:oMath>
          <m:acc>
            <m:accPr>
              <m:chr m:val="̅"/>
              <m:ctrlPr>
                <w:rPr>
                  <w:rFonts w:ascii="Cambria Math" w:hAnsi="Cambria Math"/>
                  <w:i/>
                  <w:iCs/>
                  <w:lang w:val="ru-RU"/>
                </w:rPr>
              </m:ctrlPr>
            </m:accPr>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k</m:t>
                  </m:r>
                </m:sub>
              </m:sSub>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i=1</m:t>
                  </m:r>
                </m:sub>
                <m:sup>
                  <m:r>
                    <w:rPr>
                      <w:rFonts w:ascii="Cambria Math" w:hAnsi="Cambria Math"/>
                      <w:lang w:val="ru-RU"/>
                    </w:rPr>
                    <m:t>l</m:t>
                  </m:r>
                </m:sup>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i,k</m:t>
                      </m:r>
                    </m:sub>
                  </m:sSub>
                </m:e>
              </m:nary>
            </m:num>
            <m:den>
              <m:r>
                <w:rPr>
                  <w:rFonts w:ascii="Cambria Math" w:hAnsi="Cambria Math"/>
                  <w:lang w:val="ru-RU"/>
                </w:rPr>
                <m:t>l</m:t>
              </m:r>
            </m:den>
          </m:f>
        </m:oMath>
      </m:oMathPara>
    </w:p>
    <w:p w:rsidR="00B25DBE" w:rsidRPr="00AF5FD5" w:rsidRDefault="003E19ED" w:rsidP="00B25DBE">
      <w:pPr>
        <w:pStyle w:val="SingleTxtG"/>
        <w:rPr>
          <w:i/>
          <w:iCs/>
          <w:lang w:val="ru-RU"/>
        </w:rPr>
      </w:pPr>
      <m:oMathPara>
        <m:oMathParaPr>
          <m:jc m:val="left"/>
        </m:oMathParaPr>
        <m:oMath>
          <m:acc>
            <m:accPr>
              <m:chr m:val="̅"/>
              <m:ctrlPr>
                <w:rPr>
                  <w:rFonts w:ascii="Cambria Math" w:hAnsi="Cambria Math"/>
                  <w:i/>
                  <w:iCs/>
                  <w:lang w:val="ru-RU"/>
                </w:rPr>
              </m:ctrlPr>
            </m:accPr>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en-US"/>
                        </w:rPr>
                        <m:t>e</m:t>
                      </m:r>
                    </m:sub>
                  </m:sSub>
                </m:e>
                <m:sub>
                  <m:r>
                    <w:rPr>
                      <w:rFonts w:ascii="Cambria Math" w:hAnsi="Cambria Math"/>
                      <w:lang w:val="ru-RU"/>
                    </w:rPr>
                    <m:t>k</m:t>
                  </m:r>
                </m:sub>
              </m:sSub>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j=1</m:t>
                  </m:r>
                </m:sub>
                <m:sup>
                  <m:r>
                    <w:rPr>
                      <w:rFonts w:ascii="Cambria Math" w:hAnsi="Cambria Math"/>
                      <w:lang w:val="ru-RU"/>
                    </w:rPr>
                    <m:t>m</m:t>
                  </m:r>
                </m:sup>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j,k</m:t>
                      </m:r>
                    </m:sub>
                  </m:sSub>
                </m:e>
              </m:nary>
            </m:num>
            <m:den>
              <m:r>
                <w:rPr>
                  <w:rFonts w:ascii="Cambria Math" w:hAnsi="Cambria Math"/>
                  <w:lang w:val="ru-RU"/>
                </w:rPr>
                <m:t>m</m:t>
              </m:r>
            </m:den>
          </m:f>
        </m:oMath>
      </m:oMathPara>
    </w:p>
    <w:p w:rsidR="00B25DBE" w:rsidRPr="00AF5FD5" w:rsidRDefault="00B25DBE" w:rsidP="00B25DBE">
      <w:pPr>
        <w:pStyle w:val="SingleTxtG"/>
        <w:rPr>
          <w:i/>
          <w:iCs/>
        </w:rPr>
      </w:pPr>
      <w:r w:rsidRPr="00AF5FD5">
        <w:rPr>
          <w:i/>
          <w:iCs/>
        </w:rPr>
        <w:t>Si la puissance thermique (ou frigorifique) des échangeurs de chaleur a été déterminée en fonction des valeurs de la consommation d</w:t>
      </w:r>
      <w:r w:rsidR="00E84113" w:rsidRPr="00AF5FD5">
        <w:rPr>
          <w:i/>
          <w:iCs/>
        </w:rPr>
        <w:t>’</w:t>
      </w:r>
      <w:r w:rsidRPr="00AF5FD5">
        <w:rPr>
          <w:i/>
          <w:iCs/>
        </w:rPr>
        <w:t>énergie électrique par les échangeurs de chaleur, la formule mathématique sur la base de laquelle doivent se faire les calculs doit être prise en compte dans le résultat final de l</w:t>
      </w:r>
      <w:r w:rsidR="00E84113" w:rsidRPr="00AF5FD5">
        <w:rPr>
          <w:i/>
          <w:iCs/>
        </w:rPr>
        <w:t>’</w:t>
      </w:r>
      <w:r w:rsidRPr="00AF5FD5">
        <w:rPr>
          <w:i/>
          <w:iCs/>
        </w:rPr>
        <w:t xml:space="preserve">incertitude. </w:t>
      </w:r>
    </w:p>
    <w:p w:rsidR="00B25DBE" w:rsidRPr="00AF5FD5" w:rsidRDefault="003C2CC8" w:rsidP="00B25DBE">
      <w:pPr>
        <w:pStyle w:val="SingleTxtG"/>
        <w:rPr>
          <w:i/>
          <w:iCs/>
        </w:rPr>
      </w:pPr>
      <w:r w:rsidRPr="00AF5FD5">
        <w:rPr>
          <w:i/>
          <w:iCs/>
        </w:rPr>
        <w:t>La section 4.3 du Guide 98-3</w:t>
      </w:r>
      <w:r w:rsidR="00B25DBE" w:rsidRPr="00AF5FD5">
        <w:rPr>
          <w:i/>
          <w:iCs/>
        </w:rPr>
        <w:t>:2008 de l</w:t>
      </w:r>
      <w:r w:rsidR="00E84113" w:rsidRPr="00AF5FD5">
        <w:rPr>
          <w:i/>
          <w:iCs/>
        </w:rPr>
        <w:t>’</w:t>
      </w:r>
      <w:r w:rsidR="00B25DBE" w:rsidRPr="00AF5FD5">
        <w:rPr>
          <w:i/>
          <w:iCs/>
        </w:rPr>
        <w:t>ISO/CEI traite de l</w:t>
      </w:r>
      <w:r w:rsidR="00E84113" w:rsidRPr="00AF5FD5">
        <w:rPr>
          <w:i/>
          <w:iCs/>
        </w:rPr>
        <w:t>’</w:t>
      </w:r>
      <w:r w:rsidR="00B25DBE" w:rsidRPr="00AF5FD5">
        <w:rPr>
          <w:i/>
          <w:iCs/>
        </w:rPr>
        <w:t>évaluation des incertitudes-types pour l</w:t>
      </w:r>
      <w:r w:rsidR="00E84113" w:rsidRPr="00AF5FD5">
        <w:rPr>
          <w:i/>
          <w:iCs/>
        </w:rPr>
        <w:t>’</w:t>
      </w:r>
      <w:r w:rsidR="00B71CF1" w:rsidRPr="00AF5FD5">
        <w:rPr>
          <w:i/>
          <w:iCs/>
        </w:rPr>
        <w:t>évaluation de type </w:t>
      </w:r>
      <w:r w:rsidR="00B25DBE" w:rsidRPr="00AF5FD5">
        <w:rPr>
          <w:i/>
          <w:iCs/>
        </w:rPr>
        <w:t>B. Dans la présente observation nous proposons une formule de conception permettant d</w:t>
      </w:r>
      <w:r w:rsidR="00E84113" w:rsidRPr="00AF5FD5">
        <w:rPr>
          <w:i/>
          <w:iCs/>
        </w:rPr>
        <w:t>’</w:t>
      </w:r>
      <w:r w:rsidR="00B25DBE" w:rsidRPr="00AF5FD5">
        <w:rPr>
          <w:i/>
          <w:iCs/>
        </w:rPr>
        <w:t>obtenir l</w:t>
      </w:r>
      <w:r w:rsidR="00E84113" w:rsidRPr="00AF5FD5">
        <w:rPr>
          <w:i/>
          <w:iCs/>
        </w:rPr>
        <w:t>’</w:t>
      </w:r>
      <w:r w:rsidR="00B25DBE" w:rsidRPr="00AF5FD5">
        <w:rPr>
          <w:i/>
          <w:iCs/>
        </w:rPr>
        <w:t>incertitude-type sur la base de limites connues (inférieures et supérieures) pour l</w:t>
      </w:r>
      <w:r w:rsidR="00E84113" w:rsidRPr="00AF5FD5">
        <w:rPr>
          <w:i/>
          <w:iCs/>
        </w:rPr>
        <w:t>’</w:t>
      </w:r>
      <w:r w:rsidR="00B25DBE" w:rsidRPr="00AF5FD5">
        <w:rPr>
          <w:i/>
          <w:iCs/>
        </w:rPr>
        <w:t>évaluation des valeurs physiques mesurées. De semblables situations se produisent souvent en pratique et correspondent à des concepts tels que la classe de précision des instruments et sa marge d</w:t>
      </w:r>
      <w:r w:rsidR="00E84113" w:rsidRPr="00AF5FD5">
        <w:rPr>
          <w:i/>
          <w:iCs/>
        </w:rPr>
        <w:t>’</w:t>
      </w:r>
      <w:r w:rsidR="00B25DBE" w:rsidRPr="00AF5FD5">
        <w:rPr>
          <w:i/>
          <w:iCs/>
        </w:rPr>
        <w:t>erreur. Si l</w:t>
      </w:r>
      <w:r w:rsidR="00E84113" w:rsidRPr="00AF5FD5">
        <w:rPr>
          <w:i/>
          <w:iCs/>
        </w:rPr>
        <w:t>’</w:t>
      </w:r>
      <w:r w:rsidR="00B25DBE" w:rsidRPr="00AF5FD5">
        <w:rPr>
          <w:i/>
          <w:iCs/>
        </w:rPr>
        <w:t>intervalle des évaluations de valeurs physiques mesurées, x, est noté comme 2a (correspondant à la notation commune ±a de la marge d</w:t>
      </w:r>
      <w:r w:rsidR="00E84113" w:rsidRPr="00AF5FD5">
        <w:rPr>
          <w:i/>
          <w:iCs/>
        </w:rPr>
        <w:t>’</w:t>
      </w:r>
      <w:r w:rsidR="00B25DBE" w:rsidRPr="00AF5FD5">
        <w:rPr>
          <w:i/>
          <w:iCs/>
        </w:rPr>
        <w:t xml:space="preserve">erreur des instruments), alors :  </w:t>
      </w:r>
    </w:p>
    <w:p w:rsidR="00B25DBE" w:rsidRPr="00AF5FD5" w:rsidRDefault="003E19ED" w:rsidP="00B25DBE">
      <w:pPr>
        <w:pStyle w:val="SingleTxtG"/>
        <w:rPr>
          <w:i/>
          <w:iCs/>
          <w:lang w:val="ru-RU"/>
        </w:rPr>
      </w:pPr>
      <m:oMathPara>
        <m:oMathParaPr>
          <m:jc m:val="left"/>
        </m:oMathParaPr>
        <m:oMath>
          <m:sSub>
            <m:sSubPr>
              <m:ctrlPr>
                <w:rPr>
                  <w:rFonts w:ascii="Cambria Math" w:hAnsi="Cambria Math"/>
                  <w:i/>
                  <w:iCs/>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iCs/>
                  <w:lang w:val="ru-RU"/>
                </w:rPr>
              </m:ctrlPr>
            </m:dPr>
            <m:e>
              <m:r>
                <w:rPr>
                  <w:rFonts w:ascii="Cambria Math" w:hAnsi="Cambria Math"/>
                  <w:lang w:val="en-US"/>
                </w:rPr>
                <m:t>x</m:t>
              </m:r>
            </m:e>
          </m:d>
          <m:r>
            <w:rPr>
              <w:rFonts w:ascii="Cambria Math" w:hAnsi="Cambria Math"/>
              <w:lang w:val="ru-RU"/>
            </w:rPr>
            <m:t>=</m:t>
          </m:r>
          <m:f>
            <m:fPr>
              <m:ctrlPr>
                <w:rPr>
                  <w:rFonts w:ascii="Cambria Math" w:hAnsi="Cambria Math"/>
                  <w:i/>
                  <w:iCs/>
                  <w:lang w:val="ru-RU"/>
                </w:rPr>
              </m:ctrlPr>
            </m:fPr>
            <m:num>
              <m:r>
                <w:rPr>
                  <w:rFonts w:ascii="Cambria Math" w:hAnsi="Cambria Math"/>
                  <w:lang w:val="ru-RU"/>
                </w:rPr>
                <m:t>a</m:t>
              </m:r>
            </m:num>
            <m:den>
              <m:rad>
                <m:radPr>
                  <m:degHide m:val="1"/>
                  <m:ctrlPr>
                    <w:rPr>
                      <w:rFonts w:ascii="Cambria Math" w:hAnsi="Cambria Math"/>
                      <w:i/>
                      <w:iCs/>
                      <w:lang w:val="ru-RU"/>
                    </w:rPr>
                  </m:ctrlPr>
                </m:radPr>
                <m:deg/>
                <m:e>
                  <m:r>
                    <w:rPr>
                      <w:rFonts w:ascii="Cambria Math" w:hAnsi="Cambria Math"/>
                      <w:lang w:val="ru-RU"/>
                    </w:rPr>
                    <m:t>3</m:t>
                  </m:r>
                </m:e>
              </m:rad>
            </m:den>
          </m:f>
        </m:oMath>
      </m:oMathPara>
    </w:p>
    <w:p w:rsidR="00B25DBE" w:rsidRPr="00AF5FD5" w:rsidRDefault="00B25DBE" w:rsidP="00B25DBE">
      <w:pPr>
        <w:pStyle w:val="SingleTxtG"/>
        <w:rPr>
          <w:i/>
          <w:iCs/>
        </w:rPr>
      </w:pPr>
      <w:r w:rsidRPr="00AF5FD5">
        <w:rPr>
          <w:i/>
          <w:iCs/>
        </w:rPr>
        <w:t>2.</w:t>
      </w:r>
      <w:r w:rsidRPr="00AF5FD5">
        <w:rPr>
          <w:i/>
          <w:iCs/>
        </w:rPr>
        <w:tab/>
        <w:t>Dans des conditions normales d</w:t>
      </w:r>
      <w:r w:rsidR="00E84113" w:rsidRPr="00AF5FD5">
        <w:rPr>
          <w:i/>
          <w:iCs/>
        </w:rPr>
        <w:t>’</w:t>
      </w:r>
      <w:r w:rsidRPr="00AF5FD5">
        <w:rPr>
          <w:i/>
          <w:iCs/>
        </w:rPr>
        <w:t xml:space="preserve">essai on peut mesurer </w:t>
      </w:r>
      <m:oMath>
        <m:acc>
          <m:accPr>
            <m:chr m:val="̅"/>
            <m:ctrlPr>
              <w:rPr>
                <w:rFonts w:ascii="Cambria Math" w:hAnsi="Cambria Math"/>
                <w:i/>
                <w:iCs/>
              </w:rPr>
            </m:ctrlPr>
          </m:accPr>
          <m:e>
            <m:sSub>
              <m:sSubPr>
                <m:ctrlPr>
                  <w:rPr>
                    <w:rFonts w:ascii="Cambria Math" w:hAnsi="Cambria Math"/>
                    <w:i/>
                    <w:iCs/>
                  </w:rPr>
                </m:ctrlPr>
              </m:sSubPr>
              <m:e>
                <m:r>
                  <w:rPr>
                    <w:rFonts w:ascii="Cambria Math" w:hAnsi="Cambria Math"/>
                  </w:rPr>
                  <m:t>S</m:t>
                </m:r>
              </m:e>
              <m:sub>
                <m:r>
                  <w:rPr>
                    <w:rFonts w:ascii="Cambria Math" w:hAnsi="Cambria Math"/>
                  </w:rPr>
                  <m:t>i</m:t>
                </m:r>
              </m:sub>
            </m:sSub>
          </m:e>
        </m:acc>
        <m:r>
          <w:rPr>
            <w:rFonts w:ascii="Cambria Math" w:hAnsi="Cambria Math"/>
          </w:rPr>
          <m:t xml:space="preserve"> et </m:t>
        </m:r>
        <m:acc>
          <m:accPr>
            <m:chr m:val="̅"/>
            <m:ctrlPr>
              <w:rPr>
                <w:rFonts w:ascii="Cambria Math" w:hAnsi="Cambria Math"/>
                <w:i/>
                <w:iCs/>
              </w:rPr>
            </m:ctrlPr>
          </m:accPr>
          <m:e>
            <m:sSub>
              <m:sSubPr>
                <m:ctrlPr>
                  <w:rPr>
                    <w:rFonts w:ascii="Cambria Math" w:hAnsi="Cambria Math"/>
                    <w:i/>
                    <w:iCs/>
                  </w:rPr>
                </m:ctrlPr>
              </m:sSubPr>
              <m:e>
                <m:r>
                  <w:rPr>
                    <w:rFonts w:ascii="Cambria Math" w:hAnsi="Cambria Math"/>
                  </w:rPr>
                  <m:t>S</m:t>
                </m:r>
              </m:e>
              <m:sub>
                <m:r>
                  <w:rPr>
                    <w:rFonts w:ascii="Cambria Math" w:hAnsi="Cambria Math"/>
                    <w:lang w:val="en-US"/>
                  </w:rPr>
                  <m:t>e</m:t>
                </m:r>
              </m:sub>
            </m:sSub>
          </m:e>
        </m:acc>
      </m:oMath>
      <w:r w:rsidRPr="00AF5FD5">
        <w:rPr>
          <w:i/>
          <w:iCs/>
        </w:rPr>
        <w:t xml:space="preserve"> avec une grande précision. Dans de tels cas, on peut accepter que l</w:t>
      </w:r>
      <w:r w:rsidR="00E84113" w:rsidRPr="00AF5FD5">
        <w:rPr>
          <w:i/>
          <w:iCs/>
        </w:rPr>
        <w:t>’</w:t>
      </w:r>
      <w:r w:rsidRPr="00AF5FD5">
        <w:rPr>
          <w:i/>
          <w:iCs/>
        </w:rPr>
        <w:t>incertitude type composée soit égale à ±1</w:t>
      </w:r>
      <w:r w:rsidR="003C2CC8" w:rsidRPr="00AF5FD5">
        <w:rPr>
          <w:i/>
          <w:iCs/>
        </w:rPr>
        <w:t> </w:t>
      </w:r>
      <w:r w:rsidRPr="00AF5FD5">
        <w:rPr>
          <w:i/>
          <w:iCs/>
        </w:rPr>
        <w:t>%. Il y a toutefois des cas où il est impossible de mesurer avec une telle précision.</w:t>
      </w:r>
    </w:p>
    <w:p w:rsidR="00B25DBE" w:rsidRPr="00AF5FD5" w:rsidRDefault="00B25DBE" w:rsidP="00B25DBE">
      <w:pPr>
        <w:pStyle w:val="SingleTxtG"/>
        <w:rPr>
          <w:i/>
          <w:iCs/>
        </w:rPr>
      </w:pPr>
      <w:r w:rsidRPr="00AF5FD5">
        <w:rPr>
          <w:i/>
          <w:iCs/>
        </w:rPr>
        <w:t>On peut en général utiliser la méthode suivante pour déterminer l</w:t>
      </w:r>
      <w:r w:rsidR="00E84113" w:rsidRPr="00AF5FD5">
        <w:rPr>
          <w:i/>
          <w:iCs/>
        </w:rPr>
        <w:t>’</w:t>
      </w:r>
      <w:r w:rsidRPr="00AF5FD5">
        <w:rPr>
          <w:i/>
          <w:iCs/>
        </w:rPr>
        <w:t xml:space="preserve">incertitude type composée de </w:t>
      </w:r>
      <m:oMath>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hAnsi="Cambria Math"/>
          </w:rPr>
          <m:t xml:space="preserve"> </m:t>
        </m:r>
        <m:r>
          <w:rPr>
            <w:rFonts w:ascii="Cambria Math" w:hAnsi="Cambria Math"/>
            <w:lang w:val="en-US"/>
          </w:rPr>
          <m:t>et</m:t>
        </m:r>
        <m:r>
          <w:rPr>
            <w:rFonts w:ascii="Cambria Math" w:hAnsi="Cambria Math"/>
          </w:rPr>
          <m:t xml:space="preserve"> </m:t>
        </m:r>
        <m:sSub>
          <m:sSubPr>
            <m:ctrlPr>
              <w:rPr>
                <w:rFonts w:ascii="Cambria Math" w:hAnsi="Cambria Math"/>
                <w:i/>
                <w:iCs/>
              </w:rPr>
            </m:ctrlPr>
          </m:sSubPr>
          <m:e>
            <m:r>
              <w:rPr>
                <w:rFonts w:ascii="Cambria Math" w:hAnsi="Cambria Math"/>
              </w:rPr>
              <m:t>S</m:t>
            </m:r>
          </m:e>
          <m:sub>
            <m:r>
              <w:rPr>
                <w:rFonts w:ascii="Cambria Math" w:hAnsi="Cambria Math"/>
                <w:lang w:val="en-US"/>
              </w:rPr>
              <m:t>e</m:t>
            </m:r>
          </m:sub>
        </m:sSub>
      </m:oMath>
      <w:r w:rsidRPr="00AF5FD5">
        <w:rPr>
          <w:i/>
          <w:iCs/>
        </w:rPr>
        <w:t>, qui servent à calculer la surface de transfert thermique de la caisse,</w:t>
      </w:r>
      <w:r w:rsidR="003C2CC8" w:rsidRPr="00AF5FD5">
        <w:rPr>
          <w:i/>
          <w:iCs/>
        </w:rPr>
        <w:t> </w:t>
      </w:r>
      <m:oMath>
        <m:r>
          <w:rPr>
            <w:rFonts w:ascii="Cambria Math" w:hAnsi="Cambria Math"/>
          </w:rPr>
          <m:t>S</m:t>
        </m:r>
      </m:oMath>
      <w:r w:rsidRPr="00AF5FD5">
        <w:rPr>
          <w:i/>
          <w:iCs/>
        </w:rPr>
        <w:t>.</w:t>
      </w:r>
    </w:p>
    <w:p w:rsidR="00B25DBE" w:rsidRPr="00AF5FD5" w:rsidRDefault="00B25DBE" w:rsidP="00B25DBE">
      <w:pPr>
        <w:pStyle w:val="SingleTxtG"/>
        <w:rPr>
          <w:i/>
          <w:iCs/>
        </w:rPr>
      </w:pPr>
      <w:r w:rsidRPr="00AF5FD5">
        <w:rPr>
          <w:i/>
          <w:iCs/>
        </w:rPr>
        <w:t>Si l</w:t>
      </w:r>
      <w:r w:rsidR="00E84113" w:rsidRPr="00AF5FD5">
        <w:rPr>
          <w:i/>
          <w:iCs/>
        </w:rPr>
        <w:t>’</w:t>
      </w:r>
      <w:r w:rsidRPr="00AF5FD5">
        <w:rPr>
          <w:i/>
          <w:iCs/>
        </w:rPr>
        <w:t>on représente S</w:t>
      </w:r>
      <w:r w:rsidRPr="00AF5FD5">
        <w:rPr>
          <w:i/>
          <w:iCs/>
          <w:vertAlign w:val="subscript"/>
        </w:rPr>
        <w:t>i</w:t>
      </w:r>
      <w:r w:rsidRPr="00AF5FD5">
        <w:rPr>
          <w:i/>
          <w:iCs/>
        </w:rPr>
        <w:t xml:space="preserve"> et S</w:t>
      </w:r>
      <w:r w:rsidRPr="00AF5FD5">
        <w:rPr>
          <w:i/>
          <w:iCs/>
          <w:vertAlign w:val="subscript"/>
        </w:rPr>
        <w:t>e</w:t>
      </w:r>
      <w:r w:rsidRPr="00AF5FD5">
        <w:rPr>
          <w:i/>
          <w:iCs/>
        </w:rPr>
        <w:t xml:space="preserve"> par des fonctions d</w:t>
      </w:r>
      <w:r w:rsidR="00E84113" w:rsidRPr="00AF5FD5">
        <w:rPr>
          <w:i/>
          <w:iCs/>
        </w:rPr>
        <w:t>’</w:t>
      </w:r>
      <w:r w:rsidRPr="00AF5FD5">
        <w:rPr>
          <w:i/>
          <w:iCs/>
        </w:rPr>
        <w:t>une série de paramètres maintes fois mesurés, p</w:t>
      </w:r>
      <w:r w:rsidRPr="00AF5FD5">
        <w:rPr>
          <w:i/>
          <w:iCs/>
          <w:vertAlign w:val="subscript"/>
        </w:rPr>
        <w:t>i</w:t>
      </w:r>
      <w:r w:rsidRPr="00AF5FD5">
        <w:rPr>
          <w:i/>
          <w:iCs/>
        </w:rPr>
        <w:t xml:space="preserve"> et p</w:t>
      </w:r>
      <w:r w:rsidRPr="00AF5FD5">
        <w:rPr>
          <w:i/>
          <w:iCs/>
          <w:vertAlign w:val="subscript"/>
        </w:rPr>
        <w:t>e</w:t>
      </w:r>
      <w:r w:rsidRPr="00AF5FD5">
        <w:rPr>
          <w:i/>
          <w:iCs/>
        </w:rPr>
        <w:t>, (par exemple les longueurs, largeurs et hauteurs mesurées en différents points de la caisse de l</w:t>
      </w:r>
      <w:r w:rsidR="00E84113" w:rsidRPr="00AF5FD5">
        <w:rPr>
          <w:i/>
          <w:iCs/>
        </w:rPr>
        <w:t>’</w:t>
      </w:r>
      <w:r w:rsidR="00707BB8">
        <w:rPr>
          <w:i/>
          <w:iCs/>
        </w:rPr>
        <w:t>engin de transport spécial) :</w:t>
      </w:r>
    </w:p>
    <w:p w:rsidR="00B25DBE" w:rsidRPr="00AF5FD5" w:rsidRDefault="003E19ED" w:rsidP="00B25DBE">
      <w:pPr>
        <w:pStyle w:val="SingleTxtG"/>
        <w:rPr>
          <w:i/>
          <w:lang w:val="en-US"/>
        </w:rPr>
      </w:pPr>
      <m:oMathPara>
        <m:oMathParaPr>
          <m:jc m:val="left"/>
        </m:oMathParaPr>
        <m:oMath>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r>
            <w:rPr>
              <w:rFonts w:ascii="Cambria Math" w:hAnsi="Cambria Math"/>
              <w:lang w:val="ru-RU"/>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2</m:t>
                  </m:r>
                </m:sub>
              </m:sSub>
              <m:r>
                <w:rPr>
                  <w:rFonts w:ascii="Cambria Math" w:hAnsi="Cambria Math"/>
                  <w:lang w:val="en-US"/>
                </w:rPr>
                <m:t>,</m:t>
              </m:r>
              <m:r>
                <w:rPr>
                  <w:rFonts w:ascii="Cambria Math" w:hAnsi="Cambria Math"/>
                  <w:lang w:val="ru-RU"/>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r>
                <w:rPr>
                  <w:rFonts w:ascii="Cambria Math" w:hAns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oMath>
      </m:oMathPara>
    </w:p>
    <w:p w:rsidR="00B25DBE" w:rsidRPr="00AF5FD5" w:rsidRDefault="003E19ED" w:rsidP="00B25DBE">
      <w:pPr>
        <w:pStyle w:val="SingleTxtG"/>
        <w:rPr>
          <w:i/>
          <w:lang w:val="en-US"/>
        </w:rPr>
      </w:pPr>
      <m:oMathPara>
        <m:oMathParaPr>
          <m:jc m:val="left"/>
        </m:oMathParaPr>
        <m:oMath>
          <m:sSub>
            <m:sSubPr>
              <m:ctrlPr>
                <w:rPr>
                  <w:rFonts w:ascii="Cambria Math" w:hAnsi="Cambria Math"/>
                  <w:i/>
                  <w:lang w:val="ru-RU"/>
                </w:rPr>
              </m:ctrlPr>
            </m:sSubPr>
            <m:e>
              <m:r>
                <w:rPr>
                  <w:rFonts w:ascii="Cambria Math" w:hAnsi="Cambria Math"/>
                  <w:lang w:val="ru-RU"/>
                </w:rPr>
                <m:t>S</m:t>
              </m:r>
            </m:e>
            <m:sub>
              <m:r>
                <w:rPr>
                  <w:rFonts w:ascii="Cambria Math" w:hAnsi="Cambria Math"/>
                  <w:lang w:val="en-US"/>
                </w:rPr>
                <m:t>e</m:t>
              </m:r>
            </m:sub>
          </m:sSub>
          <m:r>
            <w:rPr>
              <w:rFonts w:ascii="Cambria Math" w:hAnsi="Cambria Math"/>
              <w:lang w:val="ru-RU"/>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r>
                <w:rPr>
                  <w:rFonts w:ascii="Cambria Math" w:hAns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e>
          </m:d>
        </m:oMath>
      </m:oMathPara>
    </w:p>
    <w:p w:rsidR="00B25DBE" w:rsidRPr="00AF5FD5" w:rsidRDefault="00B25DBE" w:rsidP="00B25DBE">
      <w:pPr>
        <w:pStyle w:val="SingleTxtG"/>
        <w:rPr>
          <w:i/>
          <w:iCs/>
        </w:rPr>
      </w:pPr>
      <w:r w:rsidRPr="00AF5FD5">
        <w:rPr>
          <w:i/>
          <w:iCs/>
        </w:rPr>
        <w:t>alors leurs incertitudes types composées peuven</w:t>
      </w:r>
      <w:r w:rsidR="003C2CC8" w:rsidRPr="00AF5FD5">
        <w:rPr>
          <w:i/>
          <w:iCs/>
        </w:rPr>
        <w:t>t être calculées par la formule :</w:t>
      </w:r>
    </w:p>
    <w:p w:rsidR="00B25DBE" w:rsidRPr="00AF5FD5" w:rsidRDefault="003E19ED" w:rsidP="00B25DBE">
      <w:pPr>
        <w:pStyle w:val="SingleTxtG"/>
        <w:rPr>
          <w:i/>
          <w:lang w:val="ru-RU"/>
        </w:rPr>
      </w:pPr>
      <m:oMathPara>
        <m:oMathParaPr>
          <m:jc m:val="left"/>
        </m:oMathParaPr>
        <m:oMath>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d>
          <m:r>
            <w:rPr>
              <w:rFonts w:ascii="Cambria Math" w:hAnsi="Cambria Math"/>
              <w:lang w:val="ru-RU"/>
            </w:rPr>
            <m:t>=</m:t>
          </m:r>
          <m:rad>
            <m:radPr>
              <m:degHide m:val="1"/>
              <m:ctrlPr>
                <w:rPr>
                  <w:rFonts w:ascii="Cambria Math" w:hAnsi="Cambria Math"/>
                  <w:i/>
                  <w:lang w:val="ru-RU"/>
                </w:rPr>
              </m:ctrlPr>
            </m:radPr>
            <m:deg/>
            <m:e>
              <m:nary>
                <m:naryPr>
                  <m:chr m:val="∑"/>
                  <m:limLoc m:val="undOvr"/>
                  <m:ctrlPr>
                    <w:rPr>
                      <w:rFonts w:ascii="Cambria Math" w:hAnsi="Cambria Math"/>
                      <w:i/>
                      <w:lang w:val="ru-RU"/>
                    </w:rPr>
                  </m:ctrlPr>
                </m:naryPr>
                <m:sub>
                  <m:r>
                    <w:rPr>
                      <w:rFonts w:ascii="Cambria Math" w:hAnsi="Cambria Math"/>
                      <w:lang w:val="ru-RU"/>
                    </w:rPr>
                    <m:t>y=1</m:t>
                  </m:r>
                </m:sub>
                <m:sup>
                  <m:r>
                    <w:rPr>
                      <w:rFonts w:ascii="Cambria Math" w:hAnsi="Cambria Math"/>
                      <w:lang w:val="ru-RU"/>
                    </w:rPr>
                    <m:t>Y</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r>
                            <w:rPr>
                              <w:rFonts w:ascii="Cambria Math" w:hAnsi="Cambria Math"/>
                              <w:lang w:val="ru-RU"/>
                            </w:rPr>
                            <m:t>∙</m:t>
                          </m:r>
                          <m:f>
                            <m:fPr>
                              <m:ctrlPr>
                                <w:rPr>
                                  <w:rFonts w:ascii="Cambria Math" w:hAnsi="Cambria Math"/>
                                  <w:i/>
                                  <w:lang w:val="ru-RU"/>
                                </w:rPr>
                              </m:ctrlPr>
                            </m:fPr>
                            <m:num>
                              <m:r>
                                <w:rPr>
                                  <w:rFonts w:ascii="Cambria Math" w:hAnsi="Cambria Math"/>
                                  <w:lang w:val="ru-RU"/>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ru-RU"/>
                                    </w:rPr>
                                    <m:t>1</m:t>
                                  </m:r>
                                </m:sub>
                              </m:sSub>
                            </m:num>
                            <m:den>
                              <m:r>
                                <w:rPr>
                                  <w:rFonts w:ascii="Cambria Math" w:hAnsi="Cambria Math"/>
                                  <w:lang w:val="ru-RU"/>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den>
                          </m:f>
                        </m:e>
                      </m:d>
                    </m:e>
                    <m:sup>
                      <m:r>
                        <w:rPr>
                          <w:rFonts w:ascii="Cambria Math" w:hAnsi="Cambria Math"/>
                          <w:lang w:val="ru-RU"/>
                        </w:rPr>
                        <m:t>2</m:t>
                      </m:r>
                    </m:sup>
                  </m:sSup>
                </m:e>
              </m:nary>
            </m:e>
          </m:rad>
        </m:oMath>
      </m:oMathPara>
    </w:p>
    <w:p w:rsidR="00B25DBE" w:rsidRPr="00AF5FD5" w:rsidRDefault="003E19ED" w:rsidP="00B25DBE">
      <w:pPr>
        <w:pStyle w:val="SingleTxtG"/>
        <w:rPr>
          <w:i/>
          <w:lang w:val="ru-RU"/>
        </w:rPr>
      </w:pPr>
      <m:oMathPara>
        <m:oMathParaPr>
          <m:jc m:val="left"/>
        </m:oMathParaPr>
        <m:oMath>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d>
          <m:r>
            <w:rPr>
              <w:rFonts w:ascii="Cambria Math" w:hAnsi="Cambria Math"/>
              <w:lang w:val="ru-RU"/>
            </w:rPr>
            <m:t>=</m:t>
          </m:r>
          <m:rad>
            <m:radPr>
              <m:degHide m:val="1"/>
              <m:ctrlPr>
                <w:rPr>
                  <w:rFonts w:ascii="Cambria Math" w:hAnsi="Cambria Math"/>
                  <w:i/>
                  <w:lang w:val="ru-RU"/>
                </w:rPr>
              </m:ctrlPr>
            </m:radPr>
            <m:deg/>
            <m:e>
              <m:nary>
                <m:naryPr>
                  <m:chr m:val="∑"/>
                  <m:limLoc m:val="undOvr"/>
                  <m:ctrlPr>
                    <w:rPr>
                      <w:rFonts w:ascii="Cambria Math" w:hAnsi="Cambria Math"/>
                      <w:i/>
                      <w:lang w:val="ru-RU"/>
                    </w:rPr>
                  </m:ctrlPr>
                </m:naryPr>
                <m:sub>
                  <m:r>
                    <w:rPr>
                      <w:rFonts w:ascii="Cambria Math" w:hAnsi="Cambria Math"/>
                      <w:lang w:val="ru-RU"/>
                    </w:rPr>
                    <m:t>z=1</m:t>
                  </m:r>
                </m:sub>
                <m:sup>
                  <m:r>
                    <w:rPr>
                      <w:rFonts w:ascii="Cambria Math" w:hAnsi="Cambria Math"/>
                      <w:lang w:val="ru-RU"/>
                    </w:rPr>
                    <m:t>Z</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e>
                          </m:d>
                          <m:r>
                            <w:rPr>
                              <w:rFonts w:ascii="Cambria Math" w:hAnsi="Cambria Math"/>
                              <w:lang w:val="ru-RU"/>
                            </w:rPr>
                            <m:t>∙</m:t>
                          </m:r>
                          <m:f>
                            <m:fPr>
                              <m:ctrlPr>
                                <w:rPr>
                                  <w:rFonts w:ascii="Cambria Math" w:hAnsi="Cambria Math"/>
                                  <w:i/>
                                  <w:lang w:val="ru-RU"/>
                                </w:rPr>
                              </m:ctrlPr>
                            </m:fPr>
                            <m:num>
                              <m:r>
                                <w:rPr>
                                  <w:rFonts w:ascii="Cambria Math" w:hAnsi="Cambria Math"/>
                                  <w:lang w:val="ru-RU"/>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ru-RU"/>
                                    </w:rPr>
                                    <m:t>2</m:t>
                                  </m:r>
                                </m:sub>
                              </m:sSub>
                            </m:num>
                            <m:den>
                              <m:r>
                                <w:rPr>
                                  <w:rFonts w:ascii="Cambria Math" w:hAnsi="Cambria Math"/>
                                  <w:lang w:val="ru-RU"/>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den>
                          </m:f>
                        </m:e>
                      </m:d>
                    </m:e>
                    <m:sup>
                      <m:r>
                        <w:rPr>
                          <w:rFonts w:ascii="Cambria Math" w:hAnsi="Cambria Math"/>
                          <w:lang w:val="ru-RU"/>
                        </w:rPr>
                        <m:t>2</m:t>
                      </m:r>
                    </m:sup>
                  </m:sSup>
                </m:e>
              </m:nary>
            </m:e>
          </m:rad>
        </m:oMath>
      </m:oMathPara>
    </w:p>
    <w:p w:rsidR="00B25DBE" w:rsidRPr="00AF5FD5" w:rsidRDefault="00DA3ECA" w:rsidP="00B25DBE">
      <w:pPr>
        <w:pStyle w:val="SingleTxtG"/>
        <w:rPr>
          <w:i/>
          <w:iCs/>
        </w:rPr>
      </w:pPr>
      <w:r w:rsidRPr="00AF5FD5">
        <w:rPr>
          <w:i/>
          <w:iCs/>
        </w:rPr>
        <w:t>où :</w:t>
      </w:r>
    </w:p>
    <w:p w:rsidR="00B25DBE" w:rsidRPr="00AF5FD5" w:rsidRDefault="003E19ED" w:rsidP="00B25DBE">
      <w:pPr>
        <w:pStyle w:val="SingleTxtG"/>
      </w:pP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1</m:t>
                </m:r>
              </m:sub>
            </m:sSub>
          </m:num>
          <m:den>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den>
        </m:f>
        <m:r>
          <m:rPr>
            <m:sty m:val="p"/>
          </m:rPr>
          <w:rPr>
            <w:rFonts w:ascii="Cambria Math" w:hAnsi="Cambria Math"/>
          </w:rPr>
          <m:t xml:space="preserve">, </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num>
          <m:den>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den>
        </m:f>
      </m:oMath>
      <w:r w:rsidR="00B25DBE" w:rsidRPr="00AF5FD5">
        <w:t xml:space="preserve"> </w:t>
      </w:r>
      <w:r w:rsidR="00B25DBE" w:rsidRPr="00AF5FD5">
        <w:rPr>
          <w:i/>
          <w:iCs/>
        </w:rPr>
        <w:t>sont les dérivées partielles correspondantes des fonctions pour le calcul de</w:t>
      </w:r>
      <w:r w:rsidR="00DA3ECA" w:rsidRPr="00AF5FD5">
        <w:rPr>
          <w:i/>
          <w:iCs/>
        </w:rPr>
        <w:t> </w:t>
      </w:r>
      <m:oMath>
        <m:sSub>
          <m:sSubPr>
            <m:ctrlPr>
              <w:rPr>
                <w:rFonts w:ascii="Cambria Math" w:hAnsi="Cambria Math"/>
              </w:rPr>
            </m:ctrlPr>
          </m:sSubPr>
          <m:e>
            <m:r>
              <w:rPr>
                <w:rFonts w:ascii="Cambria Math" w:hAnsi="Cambria Math"/>
              </w:rPr>
              <m:t>S</m:t>
            </m:r>
          </m:e>
          <m:sub>
            <m:r>
              <w:rPr>
                <w:rFonts w:ascii="Cambria Math" w:hAnsi="Cambria Math"/>
              </w:rPr>
              <m:t>i</m:t>
            </m:r>
          </m:sub>
        </m:sSub>
        <m:r>
          <m:rPr>
            <m:sty m:val="p"/>
          </m:rPr>
          <w:rPr>
            <w:rFonts w:ascii="Cambria Math" w:hAnsi="Cambria Math"/>
          </w:rPr>
          <m:t xml:space="preserve"> et </m:t>
        </m:r>
        <m:sSub>
          <m:sSubPr>
            <m:ctrlPr>
              <w:rPr>
                <w:rFonts w:ascii="Cambria Math" w:hAnsi="Cambria Math"/>
              </w:rPr>
            </m:ctrlPr>
          </m:sSubPr>
          <m:e>
            <m:r>
              <w:rPr>
                <w:rFonts w:ascii="Cambria Math" w:hAnsi="Cambria Math"/>
              </w:rPr>
              <m:t>S</m:t>
            </m:r>
          </m:e>
          <m:sub>
            <m:r>
              <w:rPr>
                <w:rFonts w:ascii="Cambria Math" w:hAnsi="Cambria Math"/>
              </w:rPr>
              <m:t>e</m:t>
            </m:r>
          </m:sub>
        </m:sSub>
        <m:r>
          <m:rPr>
            <m:sty m:val="p"/>
          </m:rPr>
          <w:rPr>
            <w:rFonts w:ascii="Cambria Math" w:hAnsi="Cambria Math"/>
          </w:rPr>
          <m:t> ;</m:t>
        </m:r>
      </m:oMath>
    </w:p>
    <w:p w:rsidR="00B25DBE" w:rsidRPr="00AF5FD5" w:rsidRDefault="003E19ED" w:rsidP="00B25DBE">
      <w:pPr>
        <w:pStyle w:val="SingleTxtG"/>
      </w:pPr>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d>
      </m:oMath>
      <w:r w:rsidR="00B25DBE" w:rsidRPr="00AF5FD5">
        <w:t xml:space="preserve">, </w:t>
      </w:r>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e>
        </m:d>
      </m:oMath>
      <w:r w:rsidR="00B25DBE" w:rsidRPr="00AF5FD5">
        <w:t xml:space="preserve"> </w:t>
      </w:r>
      <w:r w:rsidR="00B25DBE" w:rsidRPr="00AF5FD5">
        <w:rPr>
          <w:i/>
        </w:rPr>
        <w:t>sont les</w:t>
      </w:r>
      <w:r w:rsidR="00B25DBE" w:rsidRPr="00AF5FD5">
        <w:t xml:space="preserve"> </w:t>
      </w:r>
      <w:r w:rsidR="00B25DBE" w:rsidRPr="00AF5FD5">
        <w:rPr>
          <w:i/>
          <w:iCs/>
        </w:rPr>
        <w:t xml:space="preserve">incertitudes-types composées pour les paramètres </w:t>
      </w:r>
      <m:oMath>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r>
          <m:rPr>
            <m:sty m:val="p"/>
          </m:rPr>
          <w:rPr>
            <w:rFonts w:ascii="Cambria Math" w:hAnsi="Cambria Math"/>
          </w:rPr>
          <m:t xml:space="preserve"> et </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r>
          <w:rPr>
            <w:rFonts w:ascii="Cambria Math" w:hAnsi="Cambria Math"/>
          </w:rPr>
          <m:t xml:space="preserve"> ;</m:t>
        </m:r>
      </m:oMath>
    </w:p>
    <w:p w:rsidR="00B25DBE" w:rsidRPr="00AF5FD5" w:rsidRDefault="003E19ED" w:rsidP="00B25DBE">
      <w:pPr>
        <w:pStyle w:val="SingleTxtG"/>
        <w:rPr>
          <w:i/>
          <w:lang w:val="ru-RU"/>
        </w:rPr>
      </w:pPr>
      <m:oMathPara>
        <m:oMathParaPr>
          <m:jc m:val="left"/>
        </m:oMathParaPr>
        <m:oMath>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r>
            <w:rPr>
              <w:rFonts w:ascii="Cambria Math" w:hAnsi="Cambria Math"/>
              <w:lang w:val="ru-RU"/>
            </w:rPr>
            <m:t>=</m:t>
          </m:r>
          <m:rad>
            <m:radPr>
              <m:degHide m:val="1"/>
              <m:ctrlPr>
                <w:rPr>
                  <w:rFonts w:ascii="Cambria Math" w:hAnsi="Cambria Math"/>
                  <w:i/>
                  <w:lang w:val="ru-RU"/>
                </w:rPr>
              </m:ctrlPr>
            </m:radPr>
            <m:deg/>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en-US"/>
                        </w:rPr>
                        <m:t>v</m:t>
                      </m:r>
                      <m:r>
                        <w:rPr>
                          <w:rFonts w:ascii="Cambria Math" w:hAnsi="Cambria Math"/>
                          <w:lang w:val="ru-RU"/>
                        </w:rPr>
                        <m:t>=1</m:t>
                      </m:r>
                    </m:sub>
                    <m:sup>
                      <m:r>
                        <w:rPr>
                          <w:rFonts w:ascii="Cambria Math" w:hAnsi="Cambria Math"/>
                          <w:lang w:val="ru-RU"/>
                        </w:rPr>
                        <m:t>V</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e>
                                <m:sub>
                                  <m:r>
                                    <w:rPr>
                                      <w:rFonts w:ascii="Cambria Math" w:hAnsi="Cambria Math"/>
                                      <w:lang w:val="ru-RU"/>
                                    </w:rPr>
                                    <m:t>v</m:t>
                                  </m:r>
                                </m:sub>
                              </m:sSub>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e>
                              </m:acc>
                            </m:e>
                          </m:d>
                        </m:e>
                        <m:sup>
                          <m:r>
                            <w:rPr>
                              <w:rFonts w:ascii="Cambria Math" w:hAnsi="Cambria Math"/>
                              <w:lang w:val="ru-RU"/>
                            </w:rPr>
                            <m:t>2</m:t>
                          </m:r>
                        </m:sup>
                      </m:sSup>
                    </m:e>
                  </m:nary>
                </m:num>
                <m:den>
                  <m:r>
                    <w:rPr>
                      <w:rFonts w:ascii="Cambria Math" w:hAnsi="Cambria Math"/>
                      <w:lang w:val="ru-RU"/>
                    </w:rPr>
                    <m:t>V∙</m:t>
                  </m:r>
                  <m:d>
                    <m:dPr>
                      <m:ctrlPr>
                        <w:rPr>
                          <w:rFonts w:ascii="Cambria Math" w:hAnsi="Cambria Math"/>
                          <w:i/>
                          <w:lang w:val="ru-RU"/>
                        </w:rPr>
                      </m:ctrlPr>
                    </m:dPr>
                    <m:e>
                      <m:r>
                        <w:rPr>
                          <w:rFonts w:ascii="Cambria Math" w:hAnsi="Cambria Math"/>
                          <w:lang w:val="ru-RU"/>
                        </w:rPr>
                        <m:t>V-1</m:t>
                      </m:r>
                    </m:e>
                  </m:d>
                </m:den>
              </m:f>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e>
                <m:sup>
                  <m:r>
                    <w:rPr>
                      <w:rFonts w:ascii="Cambria Math" w:hAnsi="Cambria Math"/>
                      <w:lang w:val="ru-RU"/>
                    </w:rPr>
                    <m:t>2</m:t>
                  </m:r>
                </m:sup>
              </m:sSup>
            </m:e>
          </m:rad>
        </m:oMath>
      </m:oMathPara>
    </w:p>
    <w:p w:rsidR="00B25DBE" w:rsidRPr="00AF5FD5" w:rsidRDefault="003E19ED" w:rsidP="00B25DBE">
      <w:pPr>
        <w:pStyle w:val="SingleTxtG"/>
        <w:rPr>
          <w:i/>
          <w:lang w:val="ru-RU"/>
        </w:rPr>
      </w:pPr>
      <m:oMathPara>
        <m:oMathParaPr>
          <m:jc m:val="left"/>
        </m:oMathParaPr>
        <m:oMath>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e>
          </m:acc>
          <m:r>
            <w:rPr>
              <w:rFonts w:ascii="Cambria Math" w:hAnsi="Cambria Math"/>
              <w:lang w:val="ru-RU"/>
            </w:rPr>
            <m:t>=</m:t>
          </m:r>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v=1</m:t>
                  </m:r>
                </m:sub>
                <m:sup>
                  <m:r>
                    <w:rPr>
                      <w:rFonts w:ascii="Cambria Math" w:hAnsi="Cambria Math"/>
                      <w:lang w:val="ru-RU"/>
                    </w:rPr>
                    <m:t>V</m:t>
                  </m:r>
                </m:sup>
                <m:e>
                  <m:sSub>
                    <m:sSubPr>
                      <m:ctrlPr>
                        <w:rPr>
                          <w:rFonts w:ascii="Cambria Math" w:hAnsi="Cambria Math"/>
                          <w:i/>
                          <w:lang w:val="ru-RU"/>
                        </w:rPr>
                      </m:ctrlPr>
                    </m:sSub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i</m:t>
                              </m:r>
                            </m:sub>
                          </m:sSub>
                        </m:e>
                        <m:sub>
                          <m:r>
                            <w:rPr>
                              <w:rFonts w:ascii="Cambria Math" w:hAnsi="Cambria Math"/>
                              <w:lang w:val="ru-RU"/>
                            </w:rPr>
                            <m:t>y</m:t>
                          </m:r>
                        </m:sub>
                      </m:sSub>
                    </m:e>
                    <m:sub>
                      <m:r>
                        <w:rPr>
                          <w:rFonts w:ascii="Cambria Math" w:hAnsi="Cambria Math"/>
                          <w:lang w:val="ru-RU"/>
                        </w:rPr>
                        <m:t>v</m:t>
                      </m:r>
                    </m:sub>
                  </m:sSub>
                </m:e>
              </m:nary>
            </m:num>
            <m:den>
              <m:r>
                <w:rPr>
                  <w:rFonts w:ascii="Cambria Math" w:hAnsi="Cambria Math"/>
                  <w:lang w:val="ru-RU"/>
                </w:rPr>
                <m:t>V</m:t>
              </m:r>
            </m:den>
          </m:f>
        </m:oMath>
      </m:oMathPara>
    </w:p>
    <w:p w:rsidR="00B25DBE" w:rsidRPr="00AF5FD5" w:rsidRDefault="00DA3ECA" w:rsidP="00B25DBE">
      <w:pPr>
        <w:pStyle w:val="SingleTxtG"/>
        <w:rPr>
          <w:i/>
          <w:iCs/>
        </w:rPr>
      </w:pPr>
      <w:r w:rsidRPr="00AF5FD5">
        <w:rPr>
          <w:i/>
          <w:iCs/>
        </w:rPr>
        <w:t>où :</w:t>
      </w:r>
    </w:p>
    <w:p w:rsidR="00B25DBE" w:rsidRPr="00AF5FD5" w:rsidRDefault="00B25DBE" w:rsidP="00B25DBE">
      <w:pPr>
        <w:pStyle w:val="SingleTxtG"/>
        <w:rPr>
          <w:i/>
          <w:iCs/>
        </w:rPr>
      </w:pPr>
      <m:oMath>
        <m:r>
          <w:rPr>
            <w:rFonts w:ascii="Cambria Math" w:hAnsi="Cambria Math"/>
          </w:rPr>
          <m:t>V</m:t>
        </m:r>
      </m:oMath>
      <w:r w:rsidRPr="00AF5FD5">
        <w:t xml:space="preserve"> </w:t>
      </w:r>
      <w:r w:rsidRPr="00AF5FD5">
        <w:rPr>
          <w:i/>
          <w:iCs/>
        </w:rPr>
        <w:t>est le nombre de mesures réalisées pour déterminer la valeur moyenne du paramètre</w:t>
      </w:r>
      <w:r w:rsidR="007B4D98">
        <w:rPr>
          <w:i/>
          <w:iCs/>
        </w:rPr>
        <w:t> </w:t>
      </w: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r>
          <w:rPr>
            <w:rFonts w:ascii="Cambria Math" w:hAnsi="Cambria Math"/>
          </w:rPr>
          <m:t> ;</m:t>
        </m:r>
      </m:oMath>
    </w:p>
    <w:p w:rsidR="00B25DBE" w:rsidRPr="00AF5FD5" w:rsidRDefault="003E19ED" w:rsidP="00B25DBE">
      <w:pPr>
        <w:pStyle w:val="SingleTxtG"/>
      </w:pPr>
      <m:oMath>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oMath>
      <w:r w:rsidR="00B25DBE" w:rsidRPr="00AF5FD5">
        <w:t xml:space="preserve"> </w:t>
      </w:r>
      <w:r w:rsidR="00B25DBE" w:rsidRPr="00AF5FD5">
        <w:rPr>
          <w:i/>
          <w:iCs/>
        </w:rPr>
        <w:t xml:space="preserve">est la -ième valeur mesurée du paramètre </w:t>
      </w:r>
      <m:oMath>
        <m:r>
          <w:rPr>
            <w:rFonts w:ascii="Cambria Math" w:hAnsi="Cambria Math"/>
          </w:rPr>
          <m:t xml:space="preserve"> </m:t>
        </m:r>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DA3ECA" w:rsidRPr="00AF5FD5">
        <w:rPr>
          <w:rFonts w:eastAsiaTheme="minorEastAsia"/>
          <w:i/>
          <w:iCs/>
        </w:rPr>
        <w:t> </w:t>
      </w:r>
      <w:r w:rsidR="0048024C" w:rsidRPr="00AF5FD5">
        <w:rPr>
          <w:iCs/>
        </w:rPr>
        <w:t>;</w:t>
      </w:r>
    </w:p>
    <w:p w:rsidR="00B25DBE" w:rsidRPr="00AF5FD5" w:rsidRDefault="003E19ED" w:rsidP="00B25DBE">
      <w:pPr>
        <w:pStyle w:val="SingleTxtG"/>
        <w:rPr>
          <w:i/>
          <w:iCs/>
        </w:rPr>
      </w:pPr>
      <m:oMath>
        <m:sSub>
          <m:sSubPr>
            <m:ctrlPr>
              <w:rPr>
                <w:rFonts w:ascii="Cambria Math" w:hAnsi="Cambria Math"/>
              </w:rPr>
            </m:ctrlPr>
          </m:sSubPr>
          <m:e>
            <m:r>
              <w:rPr>
                <w:rFonts w:ascii="Cambria Math" w:hAnsi="Cambria Math"/>
              </w:rPr>
              <m:t>u</m:t>
            </m:r>
          </m:e>
          <m:sub>
            <m:r>
              <w:rPr>
                <w:rFonts w:ascii="Cambria Math" w:hAnsi="Cambria Math"/>
              </w:rPr>
              <m:t>B</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d>
      </m:oMath>
      <w:r w:rsidR="00B25DBE" w:rsidRPr="00AF5FD5">
        <w:t xml:space="preserve"> </w:t>
      </w:r>
      <w:r w:rsidR="00B25DBE" w:rsidRPr="00AF5FD5">
        <w:rPr>
          <w:i/>
          <w:iCs/>
        </w:rPr>
        <w:t xml:space="preserve">est le paramètre incertitude-type </w:t>
      </w: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r>
          <w:rPr>
            <w:rFonts w:ascii="Cambria Math" w:hAnsi="Cambria Math"/>
          </w:rPr>
          <m:t xml:space="preserve"> </m:t>
        </m:r>
      </m:oMath>
      <w:r w:rsidR="000B15B3">
        <w:rPr>
          <w:i/>
          <w:iCs/>
        </w:rPr>
        <w:t>évalué pour le type </w:t>
      </w:r>
      <w:r w:rsidR="00B25DBE" w:rsidRPr="00AF5FD5">
        <w:rPr>
          <w:i/>
          <w:iCs/>
        </w:rPr>
        <w:t>B (pour plus de détails sur les méthodes et techniques d</w:t>
      </w:r>
      <w:r w:rsidR="00E84113" w:rsidRPr="00AF5FD5">
        <w:rPr>
          <w:i/>
          <w:iCs/>
        </w:rPr>
        <w:t>’</w:t>
      </w:r>
      <w:r w:rsidR="00B25DBE" w:rsidRPr="00AF5FD5">
        <w:rPr>
          <w:i/>
          <w:iCs/>
        </w:rPr>
        <w:t>éval</w:t>
      </w:r>
      <w:r w:rsidR="000B15B3">
        <w:rPr>
          <w:i/>
          <w:iCs/>
        </w:rPr>
        <w:t>uation des incertitudes de type </w:t>
      </w:r>
      <w:r w:rsidR="00B25DBE" w:rsidRPr="00AF5FD5">
        <w:rPr>
          <w:i/>
          <w:iCs/>
        </w:rPr>
        <w:t>B, vo</w:t>
      </w:r>
      <w:r w:rsidR="00DA3ECA" w:rsidRPr="00AF5FD5">
        <w:rPr>
          <w:i/>
          <w:iCs/>
        </w:rPr>
        <w:t>ir la section</w:t>
      </w:r>
      <w:r w:rsidR="000B15B3">
        <w:rPr>
          <w:i/>
          <w:iCs/>
        </w:rPr>
        <w:t> </w:t>
      </w:r>
      <w:r w:rsidR="00DA3ECA" w:rsidRPr="00AF5FD5">
        <w:rPr>
          <w:i/>
          <w:iCs/>
        </w:rPr>
        <w:t>4.3 du Guide 98-3</w:t>
      </w:r>
      <w:r w:rsidR="00B25DBE" w:rsidRPr="00AF5FD5">
        <w:rPr>
          <w:i/>
          <w:iCs/>
        </w:rPr>
        <w:t>:2008 de l</w:t>
      </w:r>
      <w:r w:rsidR="00E84113" w:rsidRPr="00AF5FD5">
        <w:rPr>
          <w:i/>
          <w:iCs/>
        </w:rPr>
        <w:t>’</w:t>
      </w:r>
      <w:r w:rsidR="00B25DBE" w:rsidRPr="00AF5FD5">
        <w:rPr>
          <w:i/>
          <w:iCs/>
        </w:rPr>
        <w:t>ISO/CEI).</w:t>
      </w:r>
    </w:p>
    <w:p w:rsidR="00B25DBE" w:rsidRPr="00AF5FD5" w:rsidRDefault="003E19ED" w:rsidP="00B25DBE">
      <w:pPr>
        <w:pStyle w:val="SingleTxtG"/>
      </w:pPr>
      <m:oMath>
        <m:acc>
          <m:accPr>
            <m:chr m:val="̅"/>
            <m:ctrlPr>
              <w:rPr>
                <w:rFonts w:ascii="Cambria Math" w:hAnsi="Cambria Math"/>
              </w:rPr>
            </m:ctrlPr>
          </m:acc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acc>
        <m:r>
          <m:rPr>
            <m:sty m:val="p"/>
          </m:rPr>
          <w:rPr>
            <w:rFonts w:ascii="Cambria Math" w:hAnsi="Cambria Math"/>
          </w:rPr>
          <m:t xml:space="preserve"> et </m:t>
        </m:r>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d>
        <m:r>
          <w:rPr>
            <w:rFonts w:ascii="Cambria Math" w:hAnsi="Cambria Math"/>
          </w:rPr>
          <m:t xml:space="preserve"> </m:t>
        </m:r>
      </m:oMath>
      <w:r w:rsidR="00B25DBE" w:rsidRPr="00AF5FD5">
        <w:rPr>
          <w:i/>
          <w:iCs/>
        </w:rPr>
        <w:t xml:space="preserve">sont calculé de la même manière que </w:t>
      </w:r>
      <w:r w:rsidR="00B25DBE" w:rsidRPr="00AF5FD5">
        <w:t xml:space="preserve"> </w:t>
      </w:r>
      <m:oMath>
        <m:acc>
          <m:accPr>
            <m:chr m:val="̅"/>
            <m:ctrlPr>
              <w:rPr>
                <w:rFonts w:ascii="Cambria Math" w:hAnsi="Cambria Math"/>
              </w:rPr>
            </m:ctrlPr>
          </m:acc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e>
        </m:acc>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e>
        </m:d>
      </m:oMath>
      <w:r w:rsidR="00B25DBE" w:rsidRPr="00AF5FD5">
        <w:t>.</w:t>
      </w:r>
    </w:p>
    <w:p w:rsidR="00B25DBE" w:rsidRPr="00AF5FD5" w:rsidRDefault="00B25DBE" w:rsidP="00B25DBE">
      <w:pPr>
        <w:pStyle w:val="SingleTxtG"/>
        <w:rPr>
          <w:i/>
          <w:iCs/>
        </w:rPr>
      </w:pPr>
      <w:r w:rsidRPr="00AF5FD5">
        <w:rPr>
          <w:i/>
          <w:iCs/>
        </w:rPr>
        <w:t>3.</w:t>
      </w:r>
      <w:r w:rsidRPr="00AF5FD5">
        <w:rPr>
          <w:i/>
          <w:iCs/>
        </w:rPr>
        <w:tab/>
        <w:t>D</w:t>
      </w:r>
      <w:r w:rsidR="00E84113" w:rsidRPr="00AF5FD5">
        <w:rPr>
          <w:i/>
          <w:iCs/>
        </w:rPr>
        <w:t>’</w:t>
      </w:r>
      <w:r w:rsidRPr="00AF5FD5">
        <w:rPr>
          <w:i/>
          <w:iCs/>
        </w:rPr>
        <w:t>autres incertitudes qui n</w:t>
      </w:r>
      <w:r w:rsidR="00E84113" w:rsidRPr="00AF5FD5">
        <w:rPr>
          <w:i/>
          <w:iCs/>
        </w:rPr>
        <w:t>’</w:t>
      </w:r>
      <w:r w:rsidRPr="00AF5FD5">
        <w:rPr>
          <w:i/>
          <w:iCs/>
        </w:rPr>
        <w:t>ont pas encore été prises en considération peuvent avoir une influence sur la précision de la détermination du coefficient K :</w:t>
      </w:r>
    </w:p>
    <w:p w:rsidR="00B25DBE" w:rsidRPr="00AF5FD5" w:rsidRDefault="00B25DBE" w:rsidP="00DA3ECA">
      <w:pPr>
        <w:pStyle w:val="SingleTxtG"/>
        <w:ind w:firstLine="567"/>
        <w:rPr>
          <w:i/>
          <w:iCs/>
        </w:rPr>
      </w:pPr>
      <w:r w:rsidRPr="00AF5FD5">
        <w:rPr>
          <w:i/>
          <w:iCs/>
        </w:rPr>
        <w:t xml:space="preserve">a) </w:t>
      </w:r>
      <w:r w:rsidRPr="00AF5FD5">
        <w:rPr>
          <w:i/>
          <w:iCs/>
        </w:rPr>
        <w:tab/>
        <w:t xml:space="preserve">Les imprécisions </w:t>
      </w:r>
      <w:r w:rsidR="00DA3ECA" w:rsidRPr="00AF5FD5">
        <w:rPr>
          <w:i/>
          <w:iCs/>
        </w:rPr>
        <w:t>“latentes”</w:t>
      </w:r>
      <w:r w:rsidRPr="00AF5FD5">
        <w:rPr>
          <w:i/>
          <w:iCs/>
        </w:rPr>
        <w:t>, dues à des variations admissibles de la température intérieure et extérieure, qui sont fonction de l</w:t>
      </w:r>
      <w:r w:rsidR="00E84113" w:rsidRPr="00AF5FD5">
        <w:rPr>
          <w:i/>
          <w:iCs/>
        </w:rPr>
        <w:t>’</w:t>
      </w:r>
      <w:r w:rsidRPr="00AF5FD5">
        <w:rPr>
          <w:i/>
          <w:iCs/>
        </w:rPr>
        <w:t>inertie thermique des parois de l</w:t>
      </w:r>
      <w:r w:rsidR="00E84113" w:rsidRPr="00AF5FD5">
        <w:rPr>
          <w:i/>
          <w:iCs/>
        </w:rPr>
        <w:t>’</w:t>
      </w:r>
      <w:r w:rsidRPr="00AF5FD5">
        <w:rPr>
          <w:i/>
          <w:iCs/>
        </w:rPr>
        <w:t xml:space="preserve">engin, de la température et du temps ; </w:t>
      </w:r>
    </w:p>
    <w:p w:rsidR="00B25DBE" w:rsidRPr="00AF5FD5" w:rsidRDefault="00B25DBE" w:rsidP="00DA3ECA">
      <w:pPr>
        <w:pStyle w:val="SingleTxtG"/>
        <w:ind w:firstLine="567"/>
        <w:rPr>
          <w:i/>
          <w:iCs/>
        </w:rPr>
      </w:pPr>
      <w:r w:rsidRPr="00AF5FD5">
        <w:rPr>
          <w:i/>
          <w:iCs/>
        </w:rPr>
        <w:t xml:space="preserve">b) </w:t>
      </w:r>
      <w:r w:rsidRPr="00AF5FD5">
        <w:rPr>
          <w:i/>
          <w:iCs/>
        </w:rPr>
        <w:tab/>
        <w:t>Les incertitudes dues à la variation de la vitesse de l</w:t>
      </w:r>
      <w:r w:rsidR="00E84113" w:rsidRPr="00AF5FD5">
        <w:rPr>
          <w:i/>
          <w:iCs/>
        </w:rPr>
        <w:t>’</w:t>
      </w:r>
      <w:r w:rsidRPr="00AF5FD5">
        <w:rPr>
          <w:i/>
          <w:iCs/>
        </w:rPr>
        <w:t xml:space="preserve">air à la couche limite et à son influence sur la résistance thermique. </w:t>
      </w:r>
    </w:p>
    <w:p w:rsidR="00B25DBE" w:rsidRPr="00AF5FD5" w:rsidRDefault="00B25DBE" w:rsidP="00B25DBE">
      <w:pPr>
        <w:pStyle w:val="SingleTxtG"/>
      </w:pPr>
      <w:r w:rsidRPr="00AF5FD5">
        <w:rPr>
          <w:i/>
          <w:iCs/>
        </w:rPr>
        <w:t>Si les vitesses intérieure et extérieure de l</w:t>
      </w:r>
      <w:r w:rsidR="00E84113" w:rsidRPr="00AF5FD5">
        <w:rPr>
          <w:i/>
          <w:iCs/>
        </w:rPr>
        <w:t>’</w:t>
      </w:r>
      <w:r w:rsidRPr="00AF5FD5">
        <w:rPr>
          <w:i/>
          <w:iCs/>
        </w:rPr>
        <w:t>air sont égales, l</w:t>
      </w:r>
      <w:r w:rsidR="00E84113" w:rsidRPr="00AF5FD5">
        <w:rPr>
          <w:i/>
          <w:iCs/>
        </w:rPr>
        <w:t>’</w:t>
      </w:r>
      <w:r w:rsidRPr="00AF5FD5">
        <w:rPr>
          <w:i/>
          <w:iCs/>
        </w:rPr>
        <w:t>incertitude élargie possible sera d</w:t>
      </w:r>
      <w:r w:rsidR="00E84113" w:rsidRPr="00AF5FD5">
        <w:rPr>
          <w:i/>
          <w:iCs/>
        </w:rPr>
        <w:t>’</w:t>
      </w:r>
      <w:r w:rsidR="00DA3ECA" w:rsidRPr="00AF5FD5">
        <w:rPr>
          <w:i/>
          <w:iCs/>
        </w:rPr>
        <w:t>environ 2,5 %, entre 1 et 2 </w:t>
      </w:r>
      <w:r w:rsidRPr="00AF5FD5">
        <w:rPr>
          <w:i/>
          <w:iCs/>
        </w:rPr>
        <w:t xml:space="preserve">m/s, pour un coefficient K moyen de </w:t>
      </w:r>
      <w:r w:rsidR="00DA3ECA" w:rsidRPr="00AF5FD5">
        <w:rPr>
          <w:i/>
          <w:iCs/>
        </w:rPr>
        <w:t>0,4 W/m</w:t>
      </w:r>
      <w:r w:rsidR="00DA3ECA" w:rsidRPr="000B15B3">
        <w:rPr>
          <w:i/>
          <w:iCs/>
          <w:vertAlign w:val="superscript"/>
        </w:rPr>
        <w:t>2</w:t>
      </w:r>
      <w:r w:rsidR="00DA3ECA" w:rsidRPr="00AF5FD5">
        <w:rPr>
          <w:i/>
          <w:iCs/>
        </w:rPr>
        <w:t>.K. Pour un coefficient K de 0,7 </w:t>
      </w:r>
      <w:r w:rsidRPr="00AF5FD5">
        <w:rPr>
          <w:i/>
          <w:iCs/>
        </w:rPr>
        <w:t>W/m</w:t>
      </w:r>
      <w:r w:rsidRPr="000B15B3">
        <w:rPr>
          <w:i/>
          <w:iCs/>
          <w:vertAlign w:val="superscript"/>
        </w:rPr>
        <w:t>2</w:t>
      </w:r>
      <w:r w:rsidRPr="00AF5FD5">
        <w:rPr>
          <w:i/>
          <w:iCs/>
        </w:rPr>
        <w:t>.K, cette incertit</w:t>
      </w:r>
      <w:r w:rsidR="00DA3ECA" w:rsidRPr="00AF5FD5">
        <w:rPr>
          <w:i/>
          <w:iCs/>
        </w:rPr>
        <w:t>ude élargie atteindra près de 5 </w:t>
      </w:r>
      <w:r w:rsidRPr="00AF5FD5">
        <w:rPr>
          <w:i/>
          <w:iCs/>
        </w:rPr>
        <w:t>%.</w:t>
      </w:r>
      <w:r w:rsidRPr="00AF5FD5">
        <w:t xml:space="preserve"> </w:t>
      </w:r>
      <w:r w:rsidRPr="00AF5FD5">
        <w:rPr>
          <w:i/>
          <w:iCs/>
        </w:rPr>
        <w:t>Enfin, s</w:t>
      </w:r>
      <w:r w:rsidR="00E84113" w:rsidRPr="00AF5FD5">
        <w:rPr>
          <w:i/>
          <w:iCs/>
        </w:rPr>
        <w:t>’</w:t>
      </w:r>
      <w:r w:rsidRPr="00AF5FD5">
        <w:rPr>
          <w:i/>
          <w:iCs/>
        </w:rPr>
        <w:t>il existe d</w:t>
      </w:r>
      <w:r w:rsidR="00E84113" w:rsidRPr="00AF5FD5">
        <w:rPr>
          <w:i/>
          <w:iCs/>
        </w:rPr>
        <w:t>’</w:t>
      </w:r>
      <w:r w:rsidRPr="00AF5FD5">
        <w:rPr>
          <w:i/>
          <w:iCs/>
        </w:rPr>
        <w:t>importants ponts thermiques, l</w:t>
      </w:r>
      <w:r w:rsidR="00E84113" w:rsidRPr="00AF5FD5">
        <w:rPr>
          <w:i/>
          <w:iCs/>
        </w:rPr>
        <w:t>’</w:t>
      </w:r>
      <w:r w:rsidRPr="00AF5FD5">
        <w:rPr>
          <w:i/>
          <w:iCs/>
        </w:rPr>
        <w:t>influence de la vitesse et de la direction de l</w:t>
      </w:r>
      <w:r w:rsidR="00E84113" w:rsidRPr="00AF5FD5">
        <w:rPr>
          <w:i/>
          <w:iCs/>
        </w:rPr>
        <w:t>’</w:t>
      </w:r>
      <w:r w:rsidR="00DA3ECA" w:rsidRPr="00AF5FD5">
        <w:rPr>
          <w:i/>
          <w:iCs/>
        </w:rPr>
        <w:t>air sera plus importante.</w:t>
      </w:r>
      <w:r w:rsidR="00DA3ECA" w:rsidRPr="00AF5FD5">
        <w:t> »</w:t>
      </w:r>
    </w:p>
    <w:p w:rsidR="0010162E" w:rsidRPr="00AF5FD5" w:rsidRDefault="00B25DBE" w:rsidP="00B25DBE">
      <w:pPr>
        <w:pStyle w:val="SingleTxtG"/>
      </w:pPr>
      <w:r w:rsidRPr="00AF5FD5">
        <w:rPr>
          <w:i/>
          <w:noProof/>
          <w:lang w:eastAsia="fr-CH"/>
        </w:rPr>
        <mc:AlternateContent>
          <mc:Choice Requires="wps">
            <w:drawing>
              <wp:anchor distT="45720" distB="45720" distL="114300" distR="114300" simplePos="0" relativeHeight="251646976" behindDoc="0" locked="0" layoutInCell="1" allowOverlap="1" wp14:anchorId="0039114F" wp14:editId="2859AC63">
                <wp:simplePos x="0" y="0"/>
                <wp:positionH relativeFrom="column">
                  <wp:posOffset>1598828</wp:posOffset>
                </wp:positionH>
                <wp:positionV relativeFrom="paragraph">
                  <wp:posOffset>183769</wp:posOffset>
                </wp:positionV>
                <wp:extent cx="2823617"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617" cy="1404620"/>
                        </a:xfrm>
                        <a:prstGeom prst="rect">
                          <a:avLst/>
                        </a:prstGeom>
                        <a:solidFill>
                          <a:srgbClr val="FFFFFF"/>
                        </a:solidFill>
                        <a:ln w="9525">
                          <a:noFill/>
                          <a:miter lim="800000"/>
                          <a:headEnd/>
                          <a:tailEnd/>
                        </a:ln>
                      </wps:spPr>
                      <wps:txbx>
                        <w:txbxContent>
                          <w:p w:rsidR="006E618B" w:rsidRPr="0035203C" w:rsidRDefault="006E618B" w:rsidP="00B25DBE">
                            <w:pPr>
                              <w:pStyle w:val="SingleTxtG"/>
                              <w:spacing w:before="120" w:after="0"/>
                              <w:jc w:val="center"/>
                              <w:rPr>
                                <w:u w:val="single"/>
                              </w:rP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9114F" id="Text Box 2" o:spid="_x0000_s1040" type="#_x0000_t202" style="position:absolute;left:0;text-align:left;margin-left:125.9pt;margin-top:14.45pt;width:222.3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y9JAIAACYEAAAOAAAAZHJzL2Uyb0RvYy54bWysU9uO2yAQfa/Uf0C8N77UyW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" stroked="f">
                <v:textbox style="mso-fit-shape-to-text:t">
                  <w:txbxContent>
                    <w:p w:rsidR="006E618B" w:rsidRPr="0035203C" w:rsidRDefault="006E618B" w:rsidP="00B25DBE">
                      <w:pPr>
                        <w:pStyle w:val="SingleTxtG"/>
                        <w:spacing w:before="120" w:after="0"/>
                        <w:jc w:val="center"/>
                        <w:rPr>
                          <w:u w:val="single"/>
                        </w:rPr>
                      </w:pPr>
                      <w:r>
                        <w:rPr>
                          <w:u w:val="single"/>
                        </w:rPr>
                        <w:tab/>
                      </w:r>
                      <w:r>
                        <w:rPr>
                          <w:u w:val="single"/>
                        </w:rPr>
                        <w:tab/>
                      </w:r>
                      <w:r>
                        <w:rPr>
                          <w:u w:val="single"/>
                        </w:rPr>
                        <w:tab/>
                      </w:r>
                    </w:p>
                  </w:txbxContent>
                </v:textbox>
              </v:shape>
            </w:pict>
          </mc:Fallback>
        </mc:AlternateContent>
      </w:r>
      <w:r w:rsidRPr="00AF5FD5">
        <w:rPr>
          <w:i/>
        </w:rPr>
        <w:t>(Document de référence</w:t>
      </w:r>
      <w:r w:rsidR="00DA3ECA" w:rsidRPr="00AF5FD5">
        <w:rPr>
          <w:i/>
        </w:rPr>
        <w:t> </w:t>
      </w:r>
      <w:r w:rsidRPr="00AF5FD5">
        <w:rPr>
          <w:i/>
        </w:rPr>
        <w:t>: ECE/TRANS/WP.11/2018/20</w:t>
      </w:r>
      <w:r w:rsidR="00DA3ECA" w:rsidRPr="00AF5FD5">
        <w:rPr>
          <w:i/>
        </w:rPr>
        <w:t>.</w:t>
      </w:r>
      <w:r w:rsidRPr="00AF5FD5">
        <w:rPr>
          <w:i/>
        </w:rPr>
        <w:t>)</w:t>
      </w:r>
    </w:p>
    <w:sectPr w:rsidR="0010162E" w:rsidRPr="00AF5FD5" w:rsidSect="0010162E">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18B" w:rsidRDefault="006E618B" w:rsidP="00F95C08">
      <w:pPr>
        <w:spacing w:line="240" w:lineRule="auto"/>
      </w:pPr>
    </w:p>
  </w:endnote>
  <w:endnote w:type="continuationSeparator" w:id="0">
    <w:p w:rsidR="006E618B" w:rsidRPr="00AC3823" w:rsidRDefault="006E618B" w:rsidP="00AC3823">
      <w:pPr>
        <w:pStyle w:val="Footer"/>
      </w:pPr>
    </w:p>
  </w:endnote>
  <w:endnote w:type="continuationNotice" w:id="1">
    <w:p w:rsidR="006E618B" w:rsidRDefault="006E61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18B" w:rsidRPr="0010162E" w:rsidRDefault="006E618B" w:rsidP="0010162E">
    <w:pPr>
      <w:pStyle w:val="Footer"/>
      <w:tabs>
        <w:tab w:val="right" w:pos="9638"/>
      </w:tabs>
    </w:pPr>
    <w:r w:rsidRPr="0010162E">
      <w:rPr>
        <w:b/>
        <w:sz w:val="18"/>
      </w:rPr>
      <w:fldChar w:fldCharType="begin"/>
    </w:r>
    <w:r w:rsidRPr="0010162E">
      <w:rPr>
        <w:b/>
        <w:sz w:val="18"/>
      </w:rPr>
      <w:instrText xml:space="preserve"> PAGE  \* MERGEFORMAT </w:instrText>
    </w:r>
    <w:r w:rsidRPr="0010162E">
      <w:rPr>
        <w:b/>
        <w:sz w:val="18"/>
      </w:rPr>
      <w:fldChar w:fldCharType="separate"/>
    </w:r>
    <w:r w:rsidR="0080770D">
      <w:rPr>
        <w:b/>
        <w:noProof/>
        <w:sz w:val="18"/>
      </w:rPr>
      <w:t>18</w:t>
    </w:r>
    <w:r w:rsidRPr="0010162E">
      <w:rPr>
        <w:b/>
        <w:sz w:val="18"/>
      </w:rPr>
      <w:fldChar w:fldCharType="end"/>
    </w:r>
    <w:r>
      <w:rPr>
        <w:b/>
        <w:sz w:val="18"/>
      </w:rPr>
      <w:tab/>
    </w:r>
    <w:r>
      <w:t>GE.18-17818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18B" w:rsidRPr="0010162E" w:rsidRDefault="006E618B" w:rsidP="0010162E">
    <w:pPr>
      <w:pStyle w:val="Footer"/>
      <w:tabs>
        <w:tab w:val="right" w:pos="9638"/>
      </w:tabs>
      <w:rPr>
        <w:b/>
        <w:sz w:val="18"/>
      </w:rPr>
    </w:pPr>
    <w:r>
      <w:t>GE.18-17818</w:t>
    </w:r>
    <w:r>
      <w:tab/>
    </w:r>
    <w:r w:rsidRPr="0010162E">
      <w:rPr>
        <w:b/>
        <w:sz w:val="18"/>
      </w:rPr>
      <w:fldChar w:fldCharType="begin"/>
    </w:r>
    <w:r w:rsidRPr="0010162E">
      <w:rPr>
        <w:b/>
        <w:sz w:val="18"/>
      </w:rPr>
      <w:instrText xml:space="preserve"> PAGE  \* MERGEFORMAT </w:instrText>
    </w:r>
    <w:r w:rsidRPr="0010162E">
      <w:rPr>
        <w:b/>
        <w:sz w:val="18"/>
      </w:rPr>
      <w:fldChar w:fldCharType="separate"/>
    </w:r>
    <w:r w:rsidR="0080770D">
      <w:rPr>
        <w:b/>
        <w:noProof/>
        <w:sz w:val="18"/>
      </w:rPr>
      <w:t>17</w:t>
    </w:r>
    <w:r w:rsidRPr="001016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18B" w:rsidRPr="0010162E" w:rsidRDefault="006E618B" w:rsidP="0010162E">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18-17818  (F)    </w:t>
    </w:r>
    <w:r w:rsidRPr="0058315B">
      <w:rPr>
        <w:sz w:val="20"/>
      </w:rPr>
      <w:t>230119    2</w:t>
    </w:r>
    <w:r w:rsidR="0058315B" w:rsidRPr="0058315B">
      <w:rPr>
        <w:sz w:val="20"/>
      </w:rPr>
      <w:t>5</w:t>
    </w:r>
    <w:r w:rsidRPr="0058315B">
      <w:rPr>
        <w:sz w:val="20"/>
      </w:rPr>
      <w:t>0119</w:t>
    </w:r>
    <w:r>
      <w:rPr>
        <w:sz w:val="20"/>
      </w:rPr>
      <w:br/>
    </w:r>
    <w:r w:rsidRPr="0010162E">
      <w:rPr>
        <w:rFonts w:ascii="C39T30Lfz" w:hAnsi="C39T30Lfz"/>
        <w:sz w:val="56"/>
      </w:rPr>
      <w:t></w:t>
    </w:r>
    <w:r w:rsidRPr="0010162E">
      <w:rPr>
        <w:rFonts w:ascii="C39T30Lfz" w:hAnsi="C39T30Lfz"/>
        <w:sz w:val="56"/>
      </w:rPr>
      <w:t></w:t>
    </w:r>
    <w:r w:rsidRPr="0010162E">
      <w:rPr>
        <w:rFonts w:ascii="C39T30Lfz" w:hAnsi="C39T30Lfz"/>
        <w:sz w:val="56"/>
      </w:rPr>
      <w:t></w:t>
    </w:r>
    <w:r w:rsidRPr="0010162E">
      <w:rPr>
        <w:rFonts w:ascii="C39T30Lfz" w:hAnsi="C39T30Lfz"/>
        <w:sz w:val="56"/>
      </w:rPr>
      <w:t></w:t>
    </w:r>
    <w:r w:rsidRPr="0010162E">
      <w:rPr>
        <w:rFonts w:ascii="C39T30Lfz" w:hAnsi="C39T30Lfz"/>
        <w:sz w:val="56"/>
      </w:rPr>
      <w:t></w:t>
    </w:r>
    <w:r w:rsidRPr="0010162E">
      <w:rPr>
        <w:rFonts w:ascii="C39T30Lfz" w:hAnsi="C39T30Lfz"/>
        <w:sz w:val="56"/>
      </w:rPr>
      <w:t></w:t>
    </w:r>
    <w:r w:rsidRPr="0010162E">
      <w:rPr>
        <w:rFonts w:ascii="C39T30Lfz" w:hAnsi="C39T30Lfz"/>
        <w:sz w:val="56"/>
      </w:rPr>
      <w:t></w:t>
    </w:r>
    <w:r w:rsidRPr="0010162E">
      <w:rPr>
        <w:rFonts w:ascii="C39T30Lfz" w:hAnsi="C39T30Lfz"/>
        <w:sz w:val="56"/>
      </w:rPr>
      <w:t></w:t>
    </w:r>
    <w:r w:rsidRPr="0010162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18B" w:rsidRPr="00AC3823" w:rsidRDefault="006E618B" w:rsidP="00AC3823">
      <w:pPr>
        <w:pStyle w:val="Footer"/>
        <w:tabs>
          <w:tab w:val="right" w:pos="2155"/>
        </w:tabs>
        <w:spacing w:after="80" w:line="240" w:lineRule="atLeast"/>
        <w:ind w:left="680"/>
        <w:rPr>
          <w:u w:val="single"/>
        </w:rPr>
      </w:pPr>
      <w:r>
        <w:rPr>
          <w:u w:val="single"/>
        </w:rPr>
        <w:tab/>
      </w:r>
    </w:p>
  </w:footnote>
  <w:footnote w:type="continuationSeparator" w:id="0">
    <w:p w:rsidR="006E618B" w:rsidRPr="00AC3823" w:rsidRDefault="006E618B" w:rsidP="00AC3823">
      <w:pPr>
        <w:pStyle w:val="Footer"/>
        <w:tabs>
          <w:tab w:val="right" w:pos="2155"/>
        </w:tabs>
        <w:spacing w:after="80" w:line="240" w:lineRule="atLeast"/>
        <w:ind w:left="680"/>
        <w:rPr>
          <w:u w:val="single"/>
        </w:rPr>
      </w:pPr>
      <w:r>
        <w:rPr>
          <w:u w:val="single"/>
        </w:rPr>
        <w:tab/>
      </w:r>
    </w:p>
  </w:footnote>
  <w:footnote w:type="continuationNotice" w:id="1">
    <w:p w:rsidR="006E618B" w:rsidRPr="00AC3823" w:rsidRDefault="006E618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18B" w:rsidRPr="0010162E" w:rsidRDefault="0080770D">
    <w:pPr>
      <w:pStyle w:val="Header"/>
    </w:pPr>
    <w:fldSimple w:instr=" TITLE  \* MERGEFORMAT ">
      <w:r w:rsidR="003E19ED">
        <w:t>ECE/TRANS/WP.11/239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18B" w:rsidRPr="0010162E" w:rsidRDefault="0080770D" w:rsidP="0010162E">
    <w:pPr>
      <w:pStyle w:val="Header"/>
      <w:jc w:val="right"/>
    </w:pPr>
    <w:fldSimple w:instr=" TITLE  \* MERGEFORMAT ">
      <w:r w:rsidR="003E19ED">
        <w:t>ECE/TRANS/WP.11/239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E075B"/>
    <w:multiLevelType w:val="hybridMultilevel"/>
    <w:tmpl w:val="BE543414"/>
    <w:lvl w:ilvl="0" w:tplc="82929440">
      <w:start w:val="1"/>
      <w:numFmt w:val="lowerLetter"/>
      <w:lvlText w:val="(%1)"/>
      <w:lvlJc w:val="left"/>
      <w:pPr>
        <w:tabs>
          <w:tab w:val="num" w:pos="2013"/>
        </w:tabs>
        <w:ind w:left="2013"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493390"/>
    <w:multiLevelType w:val="hybridMultilevel"/>
    <w:tmpl w:val="AD96EE00"/>
    <w:lvl w:ilvl="0" w:tplc="82929440">
      <w:start w:val="1"/>
      <w:numFmt w:val="lowerLetter"/>
      <w:lvlText w:val="(%1)"/>
      <w:lvlJc w:val="lef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B2D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163804"/>
    <w:multiLevelType w:val="hybridMultilevel"/>
    <w:tmpl w:val="3FD65930"/>
    <w:lvl w:ilvl="0" w:tplc="ADCCED14">
      <w:start w:val="1"/>
      <w:numFmt w:val="bullet"/>
      <w:lvlRestart w:val="0"/>
      <w:pStyle w:val="Heading1"/>
      <w:lvlText w:val="–"/>
      <w:lvlJc w:val="left"/>
      <w:pPr>
        <w:tabs>
          <w:tab w:val="num" w:pos="1134"/>
        </w:tabs>
        <w:ind w:left="1134" w:hanging="567"/>
      </w:pPr>
      <w:rPr>
        <w:rFonts w:ascii="Times New Roman" w:hAnsi="Times New Roman" w:cs="Times New Roman" w:hint="default"/>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2F7B4B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2C75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9F6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925DC1"/>
    <w:multiLevelType w:val="hybridMultilevel"/>
    <w:tmpl w:val="198C83F0"/>
    <w:lvl w:ilvl="0" w:tplc="8C4849AC">
      <w:start w:val="1"/>
      <w:numFmt w:val="bullet"/>
      <w:lvlText w:val="•"/>
      <w:lvlJc w:val="left"/>
      <w:pPr>
        <w:tabs>
          <w:tab w:val="num" w:pos="2013"/>
        </w:tabs>
        <w:ind w:left="2013"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4"/>
  </w:num>
  <w:num w:numId="16">
    <w:abstractNumId w:val="14"/>
  </w:num>
  <w:num w:numId="17">
    <w:abstractNumId w:val="28"/>
  </w:num>
  <w:num w:numId="18">
    <w:abstractNumId w:val="22"/>
  </w:num>
  <w:num w:numId="19">
    <w:abstractNumId w:val="18"/>
  </w:num>
  <w:num w:numId="20">
    <w:abstractNumId w:val="37"/>
  </w:num>
  <w:num w:numId="21">
    <w:abstractNumId w:val="31"/>
  </w:num>
  <w:num w:numId="22">
    <w:abstractNumId w:val="15"/>
  </w:num>
  <w:num w:numId="23">
    <w:abstractNumId w:val="12"/>
  </w:num>
  <w:num w:numId="24">
    <w:abstractNumId w:val="33"/>
  </w:num>
  <w:num w:numId="25">
    <w:abstractNumId w:val="36"/>
  </w:num>
  <w:num w:numId="26">
    <w:abstractNumId w:val="21"/>
  </w:num>
  <w:num w:numId="27">
    <w:abstractNumId w:val="17"/>
  </w:num>
  <w:num w:numId="28">
    <w:abstractNumId w:val="10"/>
  </w:num>
  <w:num w:numId="29">
    <w:abstractNumId w:val="30"/>
  </w:num>
  <w:num w:numId="30">
    <w:abstractNumId w:val="26"/>
  </w:num>
  <w:num w:numId="31">
    <w:abstractNumId w:val="38"/>
  </w:num>
  <w:num w:numId="32">
    <w:abstractNumId w:val="27"/>
  </w:num>
  <w:num w:numId="33">
    <w:abstractNumId w:val="19"/>
  </w:num>
  <w:num w:numId="34">
    <w:abstractNumId w:val="25"/>
  </w:num>
  <w:num w:numId="35">
    <w:abstractNumId w:val="13"/>
  </w:num>
  <w:num w:numId="36">
    <w:abstractNumId w:val="16"/>
  </w:num>
  <w:num w:numId="37">
    <w:abstractNumId w:val="20"/>
  </w:num>
  <w:num w:numId="38">
    <w:abstractNumId w:val="29"/>
  </w:num>
  <w:num w:numId="39">
    <w:abstractNumId w:val="34"/>
  </w:num>
  <w:num w:numId="40">
    <w:abstractNumId w:val="32"/>
  </w:num>
  <w:num w:numId="41">
    <w:abstractNumId w:val="23"/>
  </w:num>
  <w:num w:numId="42">
    <w:abstractNumId w:val="11"/>
  </w:num>
  <w:num w:numId="43">
    <w:abstractNumId w:val="2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60"/>
    <w:rsid w:val="00017F94"/>
    <w:rsid w:val="00023842"/>
    <w:rsid w:val="000334F9"/>
    <w:rsid w:val="00045FEB"/>
    <w:rsid w:val="0007796D"/>
    <w:rsid w:val="00083631"/>
    <w:rsid w:val="0008634E"/>
    <w:rsid w:val="000B0AF0"/>
    <w:rsid w:val="000B15B3"/>
    <w:rsid w:val="000B7790"/>
    <w:rsid w:val="0010162E"/>
    <w:rsid w:val="00111F2F"/>
    <w:rsid w:val="0012331A"/>
    <w:rsid w:val="0012699C"/>
    <w:rsid w:val="0014365E"/>
    <w:rsid w:val="00143C66"/>
    <w:rsid w:val="00176178"/>
    <w:rsid w:val="001F525A"/>
    <w:rsid w:val="00223272"/>
    <w:rsid w:val="0024779E"/>
    <w:rsid w:val="00257168"/>
    <w:rsid w:val="002744B8"/>
    <w:rsid w:val="002832AC"/>
    <w:rsid w:val="002D7AC2"/>
    <w:rsid w:val="002D7C93"/>
    <w:rsid w:val="00305801"/>
    <w:rsid w:val="00326ED6"/>
    <w:rsid w:val="00331381"/>
    <w:rsid w:val="003358B4"/>
    <w:rsid w:val="003916DE"/>
    <w:rsid w:val="003C2CC8"/>
    <w:rsid w:val="003E19ED"/>
    <w:rsid w:val="003F75D9"/>
    <w:rsid w:val="00421996"/>
    <w:rsid w:val="00441C3B"/>
    <w:rsid w:val="00446FE5"/>
    <w:rsid w:val="00452396"/>
    <w:rsid w:val="004568D6"/>
    <w:rsid w:val="0048024C"/>
    <w:rsid w:val="004837D8"/>
    <w:rsid w:val="004E2EED"/>
    <w:rsid w:val="004E468C"/>
    <w:rsid w:val="00501FA5"/>
    <w:rsid w:val="00543C14"/>
    <w:rsid w:val="005505B7"/>
    <w:rsid w:val="00573BE5"/>
    <w:rsid w:val="0058315B"/>
    <w:rsid w:val="00586ED3"/>
    <w:rsid w:val="00596AA9"/>
    <w:rsid w:val="006E618B"/>
    <w:rsid w:val="00707BB8"/>
    <w:rsid w:val="00712B58"/>
    <w:rsid w:val="0071601D"/>
    <w:rsid w:val="00731AE9"/>
    <w:rsid w:val="00734C06"/>
    <w:rsid w:val="007A47A3"/>
    <w:rsid w:val="007A62E6"/>
    <w:rsid w:val="007B4D98"/>
    <w:rsid w:val="007F20FA"/>
    <w:rsid w:val="0080684C"/>
    <w:rsid w:val="0080770D"/>
    <w:rsid w:val="00866DF3"/>
    <w:rsid w:val="00871C75"/>
    <w:rsid w:val="008776DC"/>
    <w:rsid w:val="008C7D2B"/>
    <w:rsid w:val="008D0A14"/>
    <w:rsid w:val="008E5699"/>
    <w:rsid w:val="0090087B"/>
    <w:rsid w:val="00936B02"/>
    <w:rsid w:val="009446C0"/>
    <w:rsid w:val="00964E46"/>
    <w:rsid w:val="009705C8"/>
    <w:rsid w:val="00985A08"/>
    <w:rsid w:val="009906A6"/>
    <w:rsid w:val="009C1CF4"/>
    <w:rsid w:val="009C66E7"/>
    <w:rsid w:val="009F6B74"/>
    <w:rsid w:val="00A3029F"/>
    <w:rsid w:val="00A30353"/>
    <w:rsid w:val="00AC0B64"/>
    <w:rsid w:val="00AC3823"/>
    <w:rsid w:val="00AE323C"/>
    <w:rsid w:val="00AF0CB5"/>
    <w:rsid w:val="00AF5FD5"/>
    <w:rsid w:val="00B00181"/>
    <w:rsid w:val="00B00B0D"/>
    <w:rsid w:val="00B031CC"/>
    <w:rsid w:val="00B20960"/>
    <w:rsid w:val="00B25DBE"/>
    <w:rsid w:val="00B45F2E"/>
    <w:rsid w:val="00B52F60"/>
    <w:rsid w:val="00B71CF1"/>
    <w:rsid w:val="00B765F7"/>
    <w:rsid w:val="00BA0CA9"/>
    <w:rsid w:val="00C02897"/>
    <w:rsid w:val="00C312AA"/>
    <w:rsid w:val="00C97039"/>
    <w:rsid w:val="00D00F71"/>
    <w:rsid w:val="00D3439C"/>
    <w:rsid w:val="00DA3ECA"/>
    <w:rsid w:val="00DB1831"/>
    <w:rsid w:val="00DB644C"/>
    <w:rsid w:val="00DD3BFD"/>
    <w:rsid w:val="00DE7736"/>
    <w:rsid w:val="00DF6678"/>
    <w:rsid w:val="00E0299A"/>
    <w:rsid w:val="00E22585"/>
    <w:rsid w:val="00E65A5C"/>
    <w:rsid w:val="00E84113"/>
    <w:rsid w:val="00E85C74"/>
    <w:rsid w:val="00EA6547"/>
    <w:rsid w:val="00EF2E22"/>
    <w:rsid w:val="00F35BAF"/>
    <w:rsid w:val="00F44CBD"/>
    <w:rsid w:val="00F5260A"/>
    <w:rsid w:val="00F660DF"/>
    <w:rsid w:val="00F74AD2"/>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813FF23-7D2A-4A11-80AC-22CCA4D3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customStyle="1" w:styleId="HChGChar">
    <w:name w:val="_ H _Ch_G Char"/>
    <w:link w:val="HChG"/>
    <w:rsid w:val="0010162E"/>
    <w:rPr>
      <w:rFonts w:ascii="Times New Roman" w:eastAsiaTheme="minorHAnsi" w:hAnsi="Times New Roman" w:cs="Times New Roman"/>
      <w:b/>
      <w:sz w:val="28"/>
      <w:szCs w:val="20"/>
      <w:lang w:eastAsia="en-US"/>
    </w:rPr>
  </w:style>
  <w:style w:type="character" w:customStyle="1" w:styleId="H23GChar">
    <w:name w:val="_ H_2/3_G Char"/>
    <w:link w:val="H23G"/>
    <w:rsid w:val="0010162E"/>
    <w:rPr>
      <w:rFonts w:ascii="Times New Roman" w:eastAsiaTheme="minorHAnsi" w:hAnsi="Times New Roman" w:cs="Times New Roman"/>
      <w:b/>
      <w:sz w:val="20"/>
      <w:szCs w:val="20"/>
      <w:lang w:eastAsia="en-US"/>
    </w:rPr>
  </w:style>
  <w:style w:type="character" w:styleId="CommentReference">
    <w:name w:val="annotation reference"/>
    <w:rsid w:val="00B25DBE"/>
    <w:rPr>
      <w:sz w:val="16"/>
      <w:szCs w:val="16"/>
    </w:rPr>
  </w:style>
  <w:style w:type="paragraph" w:styleId="CommentText">
    <w:name w:val="annotation text"/>
    <w:basedOn w:val="Normal"/>
    <w:link w:val="CommentTextChar"/>
    <w:rsid w:val="00B25DBE"/>
    <w:rPr>
      <w:rFonts w:eastAsia="Calibri"/>
      <w:sz w:val="24"/>
    </w:rPr>
  </w:style>
  <w:style w:type="character" w:customStyle="1" w:styleId="CommentTextChar">
    <w:name w:val="Comment Text Char"/>
    <w:basedOn w:val="DefaultParagraphFont"/>
    <w:link w:val="CommentText"/>
    <w:rsid w:val="00B25DBE"/>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B25DBE"/>
    <w:rPr>
      <w:b/>
      <w:bCs/>
    </w:rPr>
  </w:style>
  <w:style w:type="character" w:customStyle="1" w:styleId="CommentSubjectChar">
    <w:name w:val="Comment Subject Char"/>
    <w:basedOn w:val="CommentTextChar"/>
    <w:link w:val="CommentSubject"/>
    <w:rsid w:val="00B25DBE"/>
    <w:rPr>
      <w:rFonts w:ascii="Times New Roman" w:eastAsia="Calibri" w:hAnsi="Times New Roman" w:cs="Times New Roman"/>
      <w:b/>
      <w:bCs/>
      <w:sz w:val="24"/>
      <w:szCs w:val="20"/>
      <w:lang w:eastAsia="en-US"/>
    </w:rPr>
  </w:style>
  <w:style w:type="paragraph" w:styleId="PlainText">
    <w:name w:val="Plain Text"/>
    <w:basedOn w:val="Normal"/>
    <w:link w:val="PlainTextChar"/>
    <w:semiHidden/>
    <w:rsid w:val="00B25DBE"/>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B25DBE"/>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B25DBE"/>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B25DBE"/>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B25DBE"/>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B25DBE"/>
    <w:rPr>
      <w:rFonts w:ascii="Times New Roman" w:hAnsi="Times New Roman" w:cs="Times New Roman"/>
      <w:sz w:val="20"/>
      <w:szCs w:val="20"/>
      <w:lang w:val="en-GB" w:eastAsia="en-US"/>
    </w:rPr>
  </w:style>
  <w:style w:type="paragraph" w:styleId="BlockText">
    <w:name w:val="Block Text"/>
    <w:basedOn w:val="Normal"/>
    <w:semiHidden/>
    <w:rsid w:val="00B25DBE"/>
    <w:pPr>
      <w:kinsoku/>
      <w:overflowPunct/>
      <w:autoSpaceDE/>
      <w:autoSpaceDN/>
      <w:adjustRightInd/>
      <w:snapToGrid/>
      <w:ind w:left="1440" w:right="1440"/>
    </w:pPr>
    <w:rPr>
      <w:rFonts w:eastAsia="Times New Roman"/>
      <w:lang w:val="en-GB"/>
    </w:rPr>
  </w:style>
  <w:style w:type="character" w:styleId="LineNumber">
    <w:name w:val="line number"/>
    <w:basedOn w:val="DefaultParagraphFont"/>
    <w:semiHidden/>
    <w:rsid w:val="00B25DBE"/>
    <w:rPr>
      <w:sz w:val="14"/>
    </w:rPr>
  </w:style>
  <w:style w:type="numbering" w:styleId="111111">
    <w:name w:val="Outline List 2"/>
    <w:basedOn w:val="NoList"/>
    <w:semiHidden/>
    <w:rsid w:val="00B25DBE"/>
    <w:pPr>
      <w:numPr>
        <w:numId w:val="21"/>
      </w:numPr>
    </w:pPr>
  </w:style>
  <w:style w:type="numbering" w:styleId="1ai">
    <w:name w:val="Outline List 1"/>
    <w:basedOn w:val="NoList"/>
    <w:semiHidden/>
    <w:rsid w:val="00B25DBE"/>
    <w:pPr>
      <w:numPr>
        <w:numId w:val="22"/>
      </w:numPr>
    </w:pPr>
  </w:style>
  <w:style w:type="numbering" w:styleId="ArticleSection">
    <w:name w:val="Outline List 3"/>
    <w:basedOn w:val="NoList"/>
    <w:semiHidden/>
    <w:rsid w:val="00B25DBE"/>
    <w:pPr>
      <w:numPr>
        <w:numId w:val="23"/>
      </w:numPr>
    </w:pPr>
  </w:style>
  <w:style w:type="paragraph" w:styleId="BodyText2">
    <w:name w:val="Body Text 2"/>
    <w:basedOn w:val="Normal"/>
    <w:link w:val="BodyText2Char"/>
    <w:semiHidden/>
    <w:rsid w:val="00B25DBE"/>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B25DBE"/>
    <w:rPr>
      <w:rFonts w:ascii="Times New Roman" w:hAnsi="Times New Roman" w:cs="Times New Roman"/>
      <w:sz w:val="20"/>
      <w:szCs w:val="20"/>
      <w:lang w:val="en-GB" w:eastAsia="en-US"/>
    </w:rPr>
  </w:style>
  <w:style w:type="paragraph" w:styleId="BodyText3">
    <w:name w:val="Body Text 3"/>
    <w:basedOn w:val="Normal"/>
    <w:link w:val="BodyText3Char"/>
    <w:semiHidden/>
    <w:rsid w:val="00B25DBE"/>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B25DBE"/>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B25DBE"/>
    <w:pPr>
      <w:spacing w:after="120"/>
      <w:ind w:firstLine="210"/>
    </w:pPr>
  </w:style>
  <w:style w:type="character" w:customStyle="1" w:styleId="BodyTextFirstIndentChar">
    <w:name w:val="Body Text First Indent Char"/>
    <w:basedOn w:val="BodyTextChar"/>
    <w:link w:val="BodyTextFirstIndent"/>
    <w:rsid w:val="00B25DBE"/>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B25DBE"/>
    <w:pPr>
      <w:ind w:firstLine="210"/>
    </w:pPr>
  </w:style>
  <w:style w:type="character" w:customStyle="1" w:styleId="BodyTextFirstIndent2Char">
    <w:name w:val="Body Text First Indent 2 Char"/>
    <w:basedOn w:val="BodyTextIndentChar"/>
    <w:link w:val="BodyTextFirstIndent2"/>
    <w:semiHidden/>
    <w:rsid w:val="00B25DBE"/>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B25DBE"/>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B25DBE"/>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B25DBE"/>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B25DBE"/>
    <w:rPr>
      <w:rFonts w:ascii="Times New Roman" w:hAnsi="Times New Roman" w:cs="Times New Roman"/>
      <w:sz w:val="16"/>
      <w:szCs w:val="16"/>
      <w:lang w:val="en-GB" w:eastAsia="en-US"/>
    </w:rPr>
  </w:style>
  <w:style w:type="paragraph" w:styleId="Closing">
    <w:name w:val="Closing"/>
    <w:basedOn w:val="Normal"/>
    <w:link w:val="ClosingChar"/>
    <w:semiHidden/>
    <w:rsid w:val="00B25DBE"/>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B25DBE"/>
    <w:rPr>
      <w:rFonts w:ascii="Times New Roman" w:hAnsi="Times New Roman" w:cs="Times New Roman"/>
      <w:sz w:val="20"/>
      <w:szCs w:val="20"/>
      <w:lang w:val="en-GB" w:eastAsia="en-US"/>
    </w:rPr>
  </w:style>
  <w:style w:type="paragraph" w:styleId="Date">
    <w:name w:val="Date"/>
    <w:basedOn w:val="Normal"/>
    <w:next w:val="Normal"/>
    <w:link w:val="DateChar"/>
    <w:rsid w:val="00B25DBE"/>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B25DBE"/>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B25DBE"/>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B25DBE"/>
    <w:rPr>
      <w:rFonts w:ascii="Times New Roman" w:hAnsi="Times New Roman" w:cs="Times New Roman"/>
      <w:sz w:val="20"/>
      <w:szCs w:val="20"/>
      <w:lang w:val="en-GB" w:eastAsia="en-US"/>
    </w:rPr>
  </w:style>
  <w:style w:type="character" w:styleId="Emphasis">
    <w:name w:val="Emphasis"/>
    <w:basedOn w:val="DefaultParagraphFont"/>
    <w:qFormat/>
    <w:rsid w:val="00B25DBE"/>
    <w:rPr>
      <w:i/>
      <w:iCs/>
    </w:rPr>
  </w:style>
  <w:style w:type="paragraph" w:styleId="EnvelopeReturn">
    <w:name w:val="envelope return"/>
    <w:basedOn w:val="Normal"/>
    <w:semiHidden/>
    <w:rsid w:val="00B25DBE"/>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B25DBE"/>
  </w:style>
  <w:style w:type="paragraph" w:styleId="HTMLAddress">
    <w:name w:val="HTML Address"/>
    <w:basedOn w:val="Normal"/>
    <w:link w:val="HTMLAddressChar"/>
    <w:semiHidden/>
    <w:rsid w:val="00B25DBE"/>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B25DBE"/>
    <w:rPr>
      <w:rFonts w:ascii="Times New Roman" w:hAnsi="Times New Roman" w:cs="Times New Roman"/>
      <w:i/>
      <w:iCs/>
      <w:sz w:val="20"/>
      <w:szCs w:val="20"/>
      <w:lang w:val="en-GB" w:eastAsia="en-US"/>
    </w:rPr>
  </w:style>
  <w:style w:type="character" w:styleId="HTMLCite">
    <w:name w:val="HTML Cite"/>
    <w:basedOn w:val="DefaultParagraphFont"/>
    <w:semiHidden/>
    <w:rsid w:val="00B25DBE"/>
    <w:rPr>
      <w:i/>
      <w:iCs/>
    </w:rPr>
  </w:style>
  <w:style w:type="character" w:styleId="HTMLCode">
    <w:name w:val="HTML Code"/>
    <w:basedOn w:val="DefaultParagraphFont"/>
    <w:semiHidden/>
    <w:rsid w:val="00B25DBE"/>
    <w:rPr>
      <w:rFonts w:ascii="Courier New" w:hAnsi="Courier New" w:cs="Courier New"/>
      <w:sz w:val="20"/>
      <w:szCs w:val="20"/>
    </w:rPr>
  </w:style>
  <w:style w:type="character" w:styleId="HTMLDefinition">
    <w:name w:val="HTML Definition"/>
    <w:basedOn w:val="DefaultParagraphFont"/>
    <w:semiHidden/>
    <w:rsid w:val="00B25DBE"/>
    <w:rPr>
      <w:i/>
      <w:iCs/>
    </w:rPr>
  </w:style>
  <w:style w:type="character" w:styleId="HTMLKeyboard">
    <w:name w:val="HTML Keyboard"/>
    <w:basedOn w:val="DefaultParagraphFont"/>
    <w:semiHidden/>
    <w:rsid w:val="00B25DBE"/>
    <w:rPr>
      <w:rFonts w:ascii="Courier New" w:hAnsi="Courier New" w:cs="Courier New"/>
      <w:sz w:val="20"/>
      <w:szCs w:val="20"/>
    </w:rPr>
  </w:style>
  <w:style w:type="paragraph" w:styleId="HTMLPreformatted">
    <w:name w:val="HTML Preformatted"/>
    <w:basedOn w:val="Normal"/>
    <w:link w:val="HTMLPreformattedChar"/>
    <w:uiPriority w:val="99"/>
    <w:semiHidden/>
    <w:rsid w:val="00B25DBE"/>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uiPriority w:val="99"/>
    <w:semiHidden/>
    <w:rsid w:val="00B25DBE"/>
    <w:rPr>
      <w:rFonts w:ascii="Courier New" w:hAnsi="Courier New" w:cs="Courier New"/>
      <w:sz w:val="20"/>
      <w:szCs w:val="20"/>
      <w:lang w:val="en-GB" w:eastAsia="en-US"/>
    </w:rPr>
  </w:style>
  <w:style w:type="character" w:styleId="HTMLSample">
    <w:name w:val="HTML Sample"/>
    <w:basedOn w:val="DefaultParagraphFont"/>
    <w:semiHidden/>
    <w:rsid w:val="00B25DBE"/>
    <w:rPr>
      <w:rFonts w:ascii="Courier New" w:hAnsi="Courier New" w:cs="Courier New"/>
    </w:rPr>
  </w:style>
  <w:style w:type="character" w:styleId="HTMLTypewriter">
    <w:name w:val="HTML Typewriter"/>
    <w:basedOn w:val="DefaultParagraphFont"/>
    <w:semiHidden/>
    <w:rsid w:val="00B25DBE"/>
    <w:rPr>
      <w:rFonts w:ascii="Courier New" w:hAnsi="Courier New" w:cs="Courier New"/>
      <w:sz w:val="20"/>
      <w:szCs w:val="20"/>
    </w:rPr>
  </w:style>
  <w:style w:type="character" w:styleId="HTMLVariable">
    <w:name w:val="HTML Variable"/>
    <w:basedOn w:val="DefaultParagraphFont"/>
    <w:semiHidden/>
    <w:rsid w:val="00B25DBE"/>
    <w:rPr>
      <w:i/>
      <w:iCs/>
    </w:rPr>
  </w:style>
  <w:style w:type="paragraph" w:styleId="List">
    <w:name w:val="List"/>
    <w:basedOn w:val="Normal"/>
    <w:semiHidden/>
    <w:rsid w:val="00B25DBE"/>
    <w:pPr>
      <w:kinsoku/>
      <w:overflowPunct/>
      <w:autoSpaceDE/>
      <w:autoSpaceDN/>
      <w:adjustRightInd/>
      <w:snapToGrid/>
      <w:ind w:left="283" w:hanging="283"/>
    </w:pPr>
    <w:rPr>
      <w:rFonts w:eastAsia="Times New Roman"/>
      <w:lang w:val="en-GB"/>
    </w:rPr>
  </w:style>
  <w:style w:type="paragraph" w:styleId="List2">
    <w:name w:val="List 2"/>
    <w:basedOn w:val="Normal"/>
    <w:semiHidden/>
    <w:rsid w:val="00B25DBE"/>
    <w:pPr>
      <w:kinsoku/>
      <w:overflowPunct/>
      <w:autoSpaceDE/>
      <w:autoSpaceDN/>
      <w:adjustRightInd/>
      <w:snapToGrid/>
      <w:ind w:left="566" w:hanging="283"/>
    </w:pPr>
    <w:rPr>
      <w:rFonts w:eastAsia="Times New Roman"/>
      <w:lang w:val="en-GB"/>
    </w:rPr>
  </w:style>
  <w:style w:type="paragraph" w:styleId="List3">
    <w:name w:val="List 3"/>
    <w:basedOn w:val="Normal"/>
    <w:semiHidden/>
    <w:rsid w:val="00B25DBE"/>
    <w:pPr>
      <w:kinsoku/>
      <w:overflowPunct/>
      <w:autoSpaceDE/>
      <w:autoSpaceDN/>
      <w:adjustRightInd/>
      <w:snapToGrid/>
      <w:ind w:left="849" w:hanging="283"/>
    </w:pPr>
    <w:rPr>
      <w:rFonts w:eastAsia="Times New Roman"/>
      <w:lang w:val="en-GB"/>
    </w:rPr>
  </w:style>
  <w:style w:type="paragraph" w:styleId="List4">
    <w:name w:val="List 4"/>
    <w:basedOn w:val="Normal"/>
    <w:rsid w:val="00B25DBE"/>
    <w:pPr>
      <w:kinsoku/>
      <w:overflowPunct/>
      <w:autoSpaceDE/>
      <w:autoSpaceDN/>
      <w:adjustRightInd/>
      <w:snapToGrid/>
      <w:ind w:left="1132" w:hanging="283"/>
    </w:pPr>
    <w:rPr>
      <w:rFonts w:eastAsia="Times New Roman"/>
      <w:lang w:val="en-GB"/>
    </w:rPr>
  </w:style>
  <w:style w:type="paragraph" w:styleId="List5">
    <w:name w:val="List 5"/>
    <w:basedOn w:val="Normal"/>
    <w:rsid w:val="00B25DBE"/>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B25DBE"/>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B25DBE"/>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B25DBE"/>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B25DBE"/>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B25DBE"/>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B25DBE"/>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B25DBE"/>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B25DBE"/>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B25DBE"/>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B25DBE"/>
    <w:pPr>
      <w:kinsoku/>
      <w:overflowPunct/>
      <w:autoSpaceDE/>
      <w:autoSpaceDN/>
      <w:adjustRightInd/>
      <w:snapToGrid/>
      <w:spacing w:after="120"/>
      <w:ind w:left="1415"/>
    </w:pPr>
    <w:rPr>
      <w:rFonts w:eastAsia="Times New Roman"/>
      <w:lang w:val="en-GB"/>
    </w:rPr>
  </w:style>
  <w:style w:type="paragraph" w:styleId="ListNumber">
    <w:name w:val="List Number"/>
    <w:basedOn w:val="Normal"/>
    <w:rsid w:val="00B25DBE"/>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B25DBE"/>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B25DBE"/>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B25DBE"/>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B25DBE"/>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B25DBE"/>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B25DBE"/>
    <w:rPr>
      <w:rFonts w:ascii="Arial" w:hAnsi="Arial" w:cs="Arial"/>
      <w:sz w:val="24"/>
      <w:szCs w:val="24"/>
      <w:shd w:val="pct20" w:color="auto" w:fill="auto"/>
      <w:lang w:val="en-GB" w:eastAsia="en-US"/>
    </w:rPr>
  </w:style>
  <w:style w:type="paragraph" w:styleId="NormalWeb">
    <w:name w:val="Normal (Web)"/>
    <w:basedOn w:val="Normal"/>
    <w:uiPriority w:val="99"/>
    <w:semiHidden/>
    <w:rsid w:val="00B25DBE"/>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B25DBE"/>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B25DBE"/>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B25DBE"/>
    <w:rPr>
      <w:rFonts w:ascii="Times New Roman" w:hAnsi="Times New Roman" w:cs="Times New Roman"/>
      <w:sz w:val="20"/>
      <w:szCs w:val="20"/>
      <w:lang w:val="en-GB" w:eastAsia="en-US"/>
    </w:rPr>
  </w:style>
  <w:style w:type="paragraph" w:styleId="Salutation">
    <w:name w:val="Salutation"/>
    <w:basedOn w:val="Normal"/>
    <w:next w:val="Normal"/>
    <w:link w:val="SalutationChar"/>
    <w:rsid w:val="00B25DBE"/>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B25DBE"/>
    <w:rPr>
      <w:rFonts w:ascii="Times New Roman" w:hAnsi="Times New Roman" w:cs="Times New Roman"/>
      <w:sz w:val="20"/>
      <w:szCs w:val="20"/>
      <w:lang w:val="en-GB" w:eastAsia="en-US"/>
    </w:rPr>
  </w:style>
  <w:style w:type="paragraph" w:styleId="Signature">
    <w:name w:val="Signature"/>
    <w:basedOn w:val="Normal"/>
    <w:link w:val="SignatureChar"/>
    <w:semiHidden/>
    <w:rsid w:val="00B25DBE"/>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B25DBE"/>
    <w:rPr>
      <w:rFonts w:ascii="Times New Roman" w:hAnsi="Times New Roman" w:cs="Times New Roman"/>
      <w:sz w:val="20"/>
      <w:szCs w:val="20"/>
      <w:lang w:val="en-GB" w:eastAsia="en-US"/>
    </w:rPr>
  </w:style>
  <w:style w:type="character" w:styleId="Strong">
    <w:name w:val="Strong"/>
    <w:basedOn w:val="DefaultParagraphFont"/>
    <w:qFormat/>
    <w:rsid w:val="00B25DBE"/>
    <w:rPr>
      <w:b/>
      <w:bCs/>
    </w:rPr>
  </w:style>
  <w:style w:type="paragraph" w:styleId="Subtitle">
    <w:name w:val="Subtitle"/>
    <w:basedOn w:val="Normal"/>
    <w:link w:val="SubtitleChar"/>
    <w:qFormat/>
    <w:rsid w:val="00B25DBE"/>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B25DBE"/>
    <w:rPr>
      <w:rFonts w:ascii="Arial" w:hAnsi="Arial" w:cs="Arial"/>
      <w:sz w:val="24"/>
      <w:szCs w:val="24"/>
      <w:lang w:val="en-GB" w:eastAsia="en-US"/>
    </w:rPr>
  </w:style>
  <w:style w:type="table" w:styleId="Table3Deffects1">
    <w:name w:val="Table 3D effects 1"/>
    <w:basedOn w:val="TableNormal"/>
    <w:semiHidden/>
    <w:rsid w:val="00B25DBE"/>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5DBE"/>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5DBE"/>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5DBE"/>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5DBE"/>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5DBE"/>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5DBE"/>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5DBE"/>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5DBE"/>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5DBE"/>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5DBE"/>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5DBE"/>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25DBE"/>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25DBE"/>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5DBE"/>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5DBE"/>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5DBE"/>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25DBE"/>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5DBE"/>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5DBE"/>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25DBE"/>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25DBE"/>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5DBE"/>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25DBE"/>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B25DBE"/>
    <w:rPr>
      <w:rFonts w:ascii="Arial" w:hAnsi="Arial" w:cs="Arial"/>
      <w:b/>
      <w:bCs/>
      <w:kern w:val="28"/>
      <w:sz w:val="32"/>
      <w:szCs w:val="32"/>
      <w:lang w:val="en-GB" w:eastAsia="en-US"/>
    </w:rPr>
  </w:style>
  <w:style w:type="paragraph" w:styleId="EnvelopeAddress">
    <w:name w:val="envelope address"/>
    <w:basedOn w:val="Normal"/>
    <w:semiHidden/>
    <w:rsid w:val="00B25DBE"/>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ParaNoG">
    <w:name w:val="_ParaNo._G"/>
    <w:basedOn w:val="SingleTxtG"/>
    <w:rsid w:val="00B25DBE"/>
    <w:pPr>
      <w:numPr>
        <w:numId w:val="28"/>
      </w:numPr>
      <w:tabs>
        <w:tab w:val="clear" w:pos="1494"/>
      </w:tabs>
      <w:kinsoku/>
      <w:overflowPunct/>
      <w:autoSpaceDE/>
      <w:autoSpaceDN/>
      <w:adjustRightInd/>
      <w:snapToGrid/>
    </w:pPr>
    <w:rPr>
      <w:rFonts w:eastAsia="Times New Roman"/>
      <w:lang w:val="en-GB"/>
    </w:rPr>
  </w:style>
  <w:style w:type="numbering" w:customStyle="1" w:styleId="1111111">
    <w:name w:val="1 / 1.1 / 1.1.11"/>
    <w:basedOn w:val="NoList"/>
    <w:next w:val="111111"/>
    <w:semiHidden/>
    <w:rsid w:val="00B25DBE"/>
  </w:style>
  <w:style w:type="numbering" w:customStyle="1" w:styleId="1ai1">
    <w:name w:val="1 / a / i1"/>
    <w:basedOn w:val="NoList"/>
    <w:next w:val="1ai"/>
    <w:semiHidden/>
    <w:rsid w:val="00B25DBE"/>
  </w:style>
  <w:style w:type="numbering" w:customStyle="1" w:styleId="ArticleSection1">
    <w:name w:val="Article / Section1"/>
    <w:basedOn w:val="NoList"/>
    <w:next w:val="ArticleSection"/>
    <w:semiHidden/>
    <w:rsid w:val="00B25DBE"/>
  </w:style>
  <w:style w:type="table" w:customStyle="1" w:styleId="TableGrid10">
    <w:name w:val="Table Grid1"/>
    <w:basedOn w:val="TableNormal"/>
    <w:next w:val="TableGrid"/>
    <w:semiHidden/>
    <w:rsid w:val="00B25DBE"/>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B25DBE"/>
    <w:rPr>
      <w:rFonts w:ascii="Times New Roman" w:eastAsiaTheme="minorHAnsi" w:hAnsi="Times New Roman" w:cs="Times New Roman"/>
      <w:sz w:val="20"/>
      <w:szCs w:val="20"/>
      <w:lang w:eastAsia="en-US"/>
    </w:rPr>
  </w:style>
  <w:style w:type="table" w:customStyle="1" w:styleId="TableGrid11">
    <w:name w:val="Table Grid11"/>
    <w:basedOn w:val="TableNormal"/>
    <w:next w:val="TableGrid"/>
    <w:rsid w:val="00B25DBE"/>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rsid w:val="00B25DBE"/>
    <w:pPr>
      <w:kinsoku/>
      <w:overflowPunct/>
      <w:autoSpaceDE/>
      <w:autoSpaceDN/>
      <w:adjustRightInd/>
      <w:snapToGrid/>
      <w:spacing w:after="100"/>
    </w:pPr>
    <w:rPr>
      <w:rFonts w:eastAsia="Times New Roman"/>
      <w:lang w:val="en-GB"/>
    </w:rPr>
  </w:style>
  <w:style w:type="paragraph" w:styleId="TOC2">
    <w:name w:val="toc 2"/>
    <w:basedOn w:val="Normal"/>
    <w:next w:val="Normal"/>
    <w:autoRedefine/>
    <w:uiPriority w:val="39"/>
    <w:rsid w:val="00B25DBE"/>
    <w:pPr>
      <w:kinsoku/>
      <w:overflowPunct/>
      <w:autoSpaceDE/>
      <w:autoSpaceDN/>
      <w:adjustRightInd/>
      <w:snapToGrid/>
      <w:spacing w:after="100"/>
      <w:ind w:left="200"/>
    </w:pPr>
    <w:rPr>
      <w:rFonts w:eastAsia="Times New Roman"/>
      <w:lang w:val="en-GB"/>
    </w:rPr>
  </w:style>
  <w:style w:type="paragraph" w:styleId="TOC3">
    <w:name w:val="toc 3"/>
    <w:basedOn w:val="Normal"/>
    <w:next w:val="Normal"/>
    <w:autoRedefine/>
    <w:uiPriority w:val="39"/>
    <w:rsid w:val="00B25DBE"/>
    <w:pPr>
      <w:kinsoku/>
      <w:overflowPunct/>
      <w:autoSpaceDE/>
      <w:autoSpaceDN/>
      <w:adjustRightInd/>
      <w:snapToGrid/>
      <w:spacing w:after="100"/>
      <w:ind w:left="400"/>
    </w:pPr>
    <w:rPr>
      <w:rFonts w:eastAsia="Times New Roman"/>
      <w:lang w:val="en-GB"/>
    </w:rPr>
  </w:style>
  <w:style w:type="character" w:styleId="BookTitle">
    <w:name w:val="Book Title"/>
    <w:basedOn w:val="DefaultParagraphFont"/>
    <w:uiPriority w:val="33"/>
    <w:rsid w:val="00B25DBE"/>
    <w:rPr>
      <w:b/>
      <w:bCs/>
      <w:smallCaps/>
      <w:spacing w:val="5"/>
    </w:rPr>
  </w:style>
  <w:style w:type="paragraph" w:customStyle="1" w:styleId="ParaNo0">
    <w:name w:val="Para No"/>
    <w:basedOn w:val="Normal"/>
    <w:link w:val="ParaNoChar"/>
    <w:rsid w:val="00B25DBE"/>
    <w:pPr>
      <w:numPr>
        <w:numId w:val="32"/>
      </w:numPr>
      <w:suppressAutoHyphens w:val="0"/>
      <w:kinsoku/>
      <w:overflowPunct/>
      <w:autoSpaceDE/>
      <w:autoSpaceDN/>
      <w:adjustRightInd/>
      <w:snapToGrid/>
      <w:spacing w:after="240" w:line="240" w:lineRule="auto"/>
      <w:jc w:val="both"/>
    </w:pPr>
    <w:rPr>
      <w:rFonts w:eastAsia="SimSun"/>
      <w:sz w:val="24"/>
      <w:szCs w:val="24"/>
      <w:lang w:val="en-GB"/>
    </w:rPr>
  </w:style>
  <w:style w:type="character" w:customStyle="1" w:styleId="ParaNoChar">
    <w:name w:val="Para No Char"/>
    <w:link w:val="ParaNo0"/>
    <w:rsid w:val="00B25DBE"/>
    <w:rPr>
      <w:rFonts w:ascii="Times New Roman" w:eastAsia="SimSun" w:hAnsi="Times New Roman" w:cs="Times New Roman"/>
      <w:sz w:val="24"/>
      <w:szCs w:val="24"/>
      <w:lang w:val="en-GB" w:eastAsia="en-US"/>
    </w:rPr>
  </w:style>
  <w:style w:type="paragraph" w:customStyle="1" w:styleId="Rom2">
    <w:name w:val="Rom2"/>
    <w:basedOn w:val="Normal"/>
    <w:rsid w:val="00B25DBE"/>
    <w:pPr>
      <w:numPr>
        <w:numId w:val="33"/>
      </w:numPr>
      <w:suppressAutoHyphens w:val="0"/>
      <w:kinsoku/>
      <w:overflowPunct/>
      <w:autoSpaceDE/>
      <w:autoSpaceDN/>
      <w:adjustRightInd/>
      <w:snapToGrid/>
      <w:spacing w:after="240" w:line="240" w:lineRule="auto"/>
    </w:pPr>
    <w:rPr>
      <w:rFonts w:eastAsia="SimSun"/>
      <w:sz w:val="24"/>
      <w:lang w:val="en-GB"/>
    </w:rPr>
  </w:style>
  <w:style w:type="paragraph" w:customStyle="1" w:styleId="ParaNo">
    <w:name w:val="ParaNo."/>
    <w:basedOn w:val="Normal"/>
    <w:link w:val="ParaNoChar0"/>
    <w:rsid w:val="00B25DBE"/>
    <w:pPr>
      <w:numPr>
        <w:numId w:val="34"/>
      </w:numPr>
      <w:tabs>
        <w:tab w:val="clear" w:pos="360"/>
        <w:tab w:val="left" w:pos="737"/>
      </w:tabs>
      <w:suppressAutoHyphens w:val="0"/>
      <w:kinsoku/>
      <w:overflowPunct/>
      <w:autoSpaceDE/>
      <w:autoSpaceDN/>
      <w:adjustRightInd/>
      <w:snapToGrid/>
      <w:spacing w:after="240" w:line="240" w:lineRule="auto"/>
    </w:pPr>
    <w:rPr>
      <w:rFonts w:eastAsia="SimSun"/>
      <w:sz w:val="24"/>
    </w:rPr>
  </w:style>
  <w:style w:type="character" w:customStyle="1" w:styleId="ParaNoChar0">
    <w:name w:val="ParaNo. Char"/>
    <w:link w:val="ParaNo"/>
    <w:rsid w:val="00B25DBE"/>
    <w:rPr>
      <w:rFonts w:ascii="Times New Roman" w:eastAsia="SimSun" w:hAnsi="Times New Roman" w:cs="Times New Roman"/>
      <w:sz w:val="24"/>
      <w:szCs w:val="20"/>
      <w:lang w:eastAsia="en-US"/>
    </w:rPr>
  </w:style>
  <w:style w:type="character" w:customStyle="1" w:styleId="apple-converted-space">
    <w:name w:val="apple-converted-space"/>
    <w:basedOn w:val="DefaultParagraphFont"/>
    <w:rsid w:val="00B25DBE"/>
  </w:style>
  <w:style w:type="character" w:customStyle="1" w:styleId="Mathcad">
    <w:name w:val="Mathcad: обычный"/>
    <w:basedOn w:val="DefaultParagraphFont"/>
    <w:rsid w:val="00B25DBE"/>
    <w:rPr>
      <w:sz w:val="20"/>
    </w:rPr>
  </w:style>
  <w:style w:type="paragraph" w:styleId="Revision">
    <w:name w:val="Revision"/>
    <w:hidden/>
    <w:uiPriority w:val="99"/>
    <w:semiHidden/>
    <w:rsid w:val="00B25DBE"/>
    <w:pPr>
      <w:spacing w:after="0" w:line="240" w:lineRule="auto"/>
    </w:pPr>
    <w:rPr>
      <w:rFonts w:ascii="Times New Roman" w:hAnsi="Times New Roman" w:cs="Times New Roman"/>
      <w:sz w:val="20"/>
      <w:szCs w:val="20"/>
      <w:lang w:val="en-GB" w:eastAsia="en-US"/>
    </w:rPr>
  </w:style>
  <w:style w:type="table" w:customStyle="1" w:styleId="TableGrid20">
    <w:name w:val="Table Grid2"/>
    <w:basedOn w:val="TableNormal"/>
    <w:next w:val="TableGrid"/>
    <w:semiHidden/>
    <w:rsid w:val="00B25DBE"/>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25DBE"/>
    <w:pPr>
      <w:suppressAutoHyphens w:val="0"/>
      <w:kinsoku/>
      <w:overflowPunct/>
      <w:autoSpaceDE/>
      <w:autoSpaceDN/>
      <w:adjustRightInd/>
      <w:snapToGrid/>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B25DBE"/>
    <w:pPr>
      <w:suppressAutoHyphens w:val="0"/>
      <w:kinsoku/>
      <w:overflowPunct/>
      <w:autoSpaceDE/>
      <w:autoSpaceDN/>
      <w:adjustRightInd/>
      <w:snapToGrid/>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B25DBE"/>
    <w:pPr>
      <w:suppressAutoHyphens w:val="0"/>
      <w:kinsoku/>
      <w:overflowPunct/>
      <w:autoSpaceDE/>
      <w:autoSpaceDN/>
      <w:adjustRightInd/>
      <w:snapToGrid/>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B25DBE"/>
    <w:pPr>
      <w:suppressAutoHyphens w:val="0"/>
      <w:kinsoku/>
      <w:overflowPunct/>
      <w:autoSpaceDE/>
      <w:autoSpaceDN/>
      <w:adjustRightInd/>
      <w:snapToGrid/>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B25DBE"/>
    <w:pPr>
      <w:suppressAutoHyphens w:val="0"/>
      <w:kinsoku/>
      <w:overflowPunct/>
      <w:autoSpaceDE/>
      <w:autoSpaceDN/>
      <w:adjustRightInd/>
      <w:snapToGrid/>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B25DBE"/>
    <w:pPr>
      <w:suppressAutoHyphens w:val="0"/>
      <w:kinsoku/>
      <w:overflowPunct/>
      <w:autoSpaceDE/>
      <w:autoSpaceDN/>
      <w:adjustRightInd/>
      <w:snapToGrid/>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1">
    <w:name w:val="Unresolved Mention1"/>
    <w:basedOn w:val="DefaultParagraphFont"/>
    <w:uiPriority w:val="99"/>
    <w:semiHidden/>
    <w:unhideWhenUsed/>
    <w:rsid w:val="00B25DBE"/>
    <w:rPr>
      <w:color w:val="808080"/>
      <w:shd w:val="clear" w:color="auto" w:fill="E6E6E6"/>
    </w:rPr>
  </w:style>
  <w:style w:type="table" w:customStyle="1" w:styleId="Grilledutableau1">
    <w:name w:val="Grille du tableau1"/>
    <w:basedOn w:val="TableNormal"/>
    <w:next w:val="TableGrid"/>
    <w:rsid w:val="00B25DBE"/>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www.unece.org/trans/main/wp11/teststationsnew.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ece.org/trade/agr/welcome.html" TargetMode="External"/><Relationship Id="rId14" Type="http://schemas.openxmlformats.org/officeDocument/2006/relationships/image" Target="media/image5.jp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6B1A-4CC6-48BB-837A-295E5764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11725</Words>
  <Characters>66836</Characters>
  <Application>Microsoft Office Word</Application>
  <DocSecurity>0</DocSecurity>
  <Lines>556</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ECE/TRANS/WP.11/239</vt:lpstr>
      <vt:lpstr>ECE/TRANS/WP.11/239</vt:lpstr>
    </vt:vector>
  </TitlesOfParts>
  <Company>DCM</Company>
  <LinksUpToDate>false</LinksUpToDate>
  <CharactersWithSpaces>78405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ECE/TRANS/WP.11/239</dc:title>
  <dc:subject/>
  <dc:creator>Edith BOURION</dc:creator>
  <cp:keywords/>
  <cp:lastModifiedBy>Marie-Claude Collet</cp:lastModifiedBy>
  <cp:revision>3</cp:revision>
  <cp:lastPrinted>2019-01-25T13:45:00Z</cp:lastPrinted>
  <dcterms:created xsi:type="dcterms:W3CDTF">2019-01-25T13:45:00Z</dcterms:created>
  <dcterms:modified xsi:type="dcterms:W3CDTF">2019-01-25T13:45:00Z</dcterms:modified>
</cp:coreProperties>
</file>