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w:t>
            </w:r>
            <w:r w:rsidR="00934ABA">
              <w:t>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F3077A" w:rsidP="000E300E">
            <w:pPr>
              <w:suppressAutoHyphens w:val="0"/>
            </w:pPr>
            <w:r>
              <w:t>2</w:t>
            </w:r>
            <w:r w:rsidR="008E6843">
              <w:t xml:space="preserve">4 </w:t>
            </w:r>
            <w:r w:rsidR="00D74C93">
              <w:t>July</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2251EB">
        <w:t>8</w:t>
      </w:r>
      <w:bookmarkStart w:id="0" w:name="_GoBack"/>
      <w:bookmarkEnd w:id="0"/>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AF5BEE" w:rsidRPr="008E6843">
        <w:t>6</w:t>
      </w:r>
      <w:r w:rsidR="00216EDA" w:rsidRPr="008E6843">
        <w:t xml:space="preserve"> </w:t>
      </w:r>
      <w:r w:rsidR="00F3077A" w:rsidRPr="008E6843">
        <w:t>(</w:t>
      </w:r>
      <w:r w:rsidR="00AF5BEE" w:rsidRPr="008E6843">
        <w:t>b</w:t>
      </w:r>
      <w:r w:rsidR="00F3077A" w:rsidRPr="008E6843">
        <w:t>)</w:t>
      </w:r>
      <w:r w:rsidRPr="00AF5BEE">
        <w:t xml:space="preserve"> of the provisional agenda</w:t>
      </w:r>
    </w:p>
    <w:p w:rsidR="00DF0B09" w:rsidRPr="00DF0B09" w:rsidRDefault="00DF0B09" w:rsidP="00DF0B09">
      <w:pPr>
        <w:rPr>
          <w:b/>
        </w:rPr>
      </w:pPr>
      <w:r w:rsidRPr="00DF0B09">
        <w:rPr>
          <w:b/>
        </w:rPr>
        <w:t>P</w:t>
      </w:r>
      <w:r w:rsidR="00313D9D">
        <w:rPr>
          <w:b/>
        </w:rPr>
        <w:t>roposals of amendments to ATP:</w:t>
      </w:r>
      <w:r w:rsidR="00313D9D">
        <w:rPr>
          <w:b/>
        </w:rPr>
        <w:br/>
        <w:t>n</w:t>
      </w:r>
      <w:r w:rsidRPr="00DF0B09">
        <w:rPr>
          <w:b/>
        </w:rPr>
        <w:t>ew proposals</w:t>
      </w:r>
    </w:p>
    <w:p w:rsidR="00DF0B09" w:rsidRPr="006E56F2" w:rsidRDefault="00DF0B09" w:rsidP="00FE61A2">
      <w:pPr>
        <w:pStyle w:val="HChG"/>
      </w:pPr>
      <w:r w:rsidRPr="006E56F2">
        <w:tab/>
      </w:r>
      <w:r w:rsidRPr="006E56F2">
        <w:tab/>
      </w:r>
      <w:r w:rsidR="00FE61A2" w:rsidRPr="00FE61A2">
        <w:t>Proposal to amend Annex 1, Appendix 2, paragraph 3.4: Measuring the effective heating capacity</w:t>
      </w:r>
      <w:r w:rsidR="00461194">
        <w:t xml:space="preserve"> </w:t>
      </w:r>
    </w:p>
    <w:p w:rsidR="00DF0B09" w:rsidRDefault="00DF0B09" w:rsidP="00940DE9">
      <w:pPr>
        <w:pStyle w:val="H1G"/>
      </w:pPr>
      <w:r w:rsidRPr="006E56F2">
        <w:tab/>
      </w:r>
      <w:r w:rsidRPr="006E56F2">
        <w:tab/>
        <w:t xml:space="preserve">Transmitted by </w:t>
      </w:r>
      <w:r w:rsidR="00FF457E">
        <w:t xml:space="preserve">the Government of </w:t>
      </w:r>
      <w:r w:rsidR="00750238" w:rsidRPr="00643710">
        <w:t>Germany</w:t>
      </w:r>
    </w:p>
    <w:tbl>
      <w:tblPr>
        <w:tblStyle w:val="TableGrid"/>
        <w:tblW w:w="0" w:type="auto"/>
        <w:jc w:val="center"/>
        <w:tblCellMar>
          <w:left w:w="0" w:type="dxa"/>
          <w:right w:w="0" w:type="dxa"/>
        </w:tblCellMar>
        <w:tblLook w:val="05E0" w:firstRow="1" w:lastRow="1" w:firstColumn="1" w:lastColumn="1" w:noHBand="0" w:noVBand="1"/>
      </w:tblPr>
      <w:tblGrid>
        <w:gridCol w:w="7955"/>
      </w:tblGrid>
      <w:tr w:rsidR="00DF0B09" w:rsidTr="00CD2553">
        <w:trPr>
          <w:jc w:val="center"/>
        </w:trPr>
        <w:tc>
          <w:tcPr>
            <w:tcW w:w="7955" w:type="dxa"/>
            <w:tcBorders>
              <w:bottom w:val="nil"/>
            </w:tcBorders>
          </w:tcPr>
          <w:p w:rsidR="00DF0B09" w:rsidRPr="00DF0B09" w:rsidRDefault="00DF0B09" w:rsidP="003718DD">
            <w:pPr>
              <w:tabs>
                <w:tab w:val="left" w:pos="134"/>
              </w:tabs>
              <w:suppressAutoHyphens w:val="0"/>
              <w:spacing w:before="240" w:after="120"/>
              <w:rPr>
                <w:sz w:val="24"/>
              </w:rPr>
            </w:pPr>
            <w:r>
              <w:tab/>
            </w:r>
            <w:r>
              <w:rPr>
                <w:i/>
                <w:sz w:val="24"/>
              </w:rPr>
              <w:t>Summary</w:t>
            </w:r>
          </w:p>
        </w:tc>
      </w:tr>
      <w:tr w:rsidR="00D815D2" w:rsidTr="00CD2553">
        <w:trPr>
          <w:jc w:val="center"/>
        </w:trPr>
        <w:tc>
          <w:tcPr>
            <w:tcW w:w="7955" w:type="dxa"/>
            <w:tcBorders>
              <w:top w:val="nil"/>
              <w:bottom w:val="nil"/>
            </w:tcBorders>
            <w:shd w:val="clear" w:color="auto" w:fill="auto"/>
          </w:tcPr>
          <w:p w:rsidR="00D815D2" w:rsidRPr="006E56F2" w:rsidRDefault="00D815D2" w:rsidP="003718DD">
            <w:pPr>
              <w:pStyle w:val="SingleTxtG"/>
              <w:spacing w:after="60"/>
              <w:ind w:left="2552" w:right="15" w:hanging="2134"/>
              <w:jc w:val="left"/>
            </w:pPr>
            <w:r w:rsidRPr="00DF0B09">
              <w:rPr>
                <w:b/>
                <w:szCs w:val="22"/>
              </w:rPr>
              <w:t>Executive summary</w:t>
            </w:r>
            <w:r w:rsidRPr="006E56F2">
              <w:t>:</w:t>
            </w:r>
            <w:r>
              <w:tab/>
            </w:r>
            <w:r w:rsidR="00FE61A2">
              <w:rPr>
                <w:lang w:val="en-US"/>
              </w:rPr>
              <w:t>A</w:t>
            </w:r>
            <w:r w:rsidR="00FE61A2">
              <w:t xml:space="preserve"> provision on how to measure</w:t>
            </w:r>
            <w:r w:rsidR="00FE61A2">
              <w:rPr>
                <w:lang w:val="en-US"/>
              </w:rPr>
              <w:t xml:space="preserve"> </w:t>
            </w:r>
            <w:r w:rsidR="00FE61A2">
              <w:t>the effective heating capacity of mechanically refrigerated and heated appliances for type approval is lacking in the ATP agreement and therefore should be added.</w:t>
            </w:r>
          </w:p>
        </w:tc>
      </w:tr>
      <w:tr w:rsidR="00D815D2" w:rsidTr="00CD2553">
        <w:trPr>
          <w:jc w:val="center"/>
        </w:trPr>
        <w:tc>
          <w:tcPr>
            <w:tcW w:w="7955" w:type="dxa"/>
            <w:tcBorders>
              <w:top w:val="nil"/>
              <w:bottom w:val="nil"/>
            </w:tcBorders>
            <w:shd w:val="clear" w:color="auto" w:fill="auto"/>
          </w:tcPr>
          <w:p w:rsidR="00D815D2" w:rsidRPr="006E56F2" w:rsidRDefault="00D815D2" w:rsidP="003718DD">
            <w:pPr>
              <w:pStyle w:val="SingleTxtG"/>
              <w:spacing w:after="60"/>
              <w:ind w:left="2552" w:hanging="2134"/>
            </w:pPr>
            <w:r w:rsidRPr="00D815D2">
              <w:rPr>
                <w:b/>
                <w:szCs w:val="22"/>
              </w:rPr>
              <w:t>Action to be taken</w:t>
            </w:r>
            <w:r w:rsidRPr="006E56F2">
              <w:t>:</w:t>
            </w:r>
            <w:r>
              <w:tab/>
            </w:r>
            <w:r w:rsidR="00FE61A2">
              <w:t xml:space="preserve">Amend Annex 1, Appendix 2, </w:t>
            </w:r>
            <w:r w:rsidR="00FE61A2" w:rsidRPr="00551381">
              <w:t xml:space="preserve">paragraph </w:t>
            </w:r>
            <w:r w:rsidR="00FE61A2">
              <w:t>3.4</w:t>
            </w:r>
          </w:p>
        </w:tc>
      </w:tr>
      <w:tr w:rsidR="00D815D2" w:rsidTr="00CD2553">
        <w:trPr>
          <w:jc w:val="center"/>
        </w:trPr>
        <w:tc>
          <w:tcPr>
            <w:tcW w:w="7955" w:type="dxa"/>
            <w:tcBorders>
              <w:top w:val="nil"/>
              <w:bottom w:val="nil"/>
            </w:tcBorders>
            <w:shd w:val="clear" w:color="auto" w:fill="auto"/>
          </w:tcPr>
          <w:p w:rsidR="00D815D2" w:rsidRPr="006E56F2" w:rsidRDefault="00D815D2" w:rsidP="003718DD">
            <w:pPr>
              <w:pStyle w:val="SingleTxtG"/>
              <w:spacing w:after="60"/>
              <w:ind w:left="2552" w:hanging="2134"/>
            </w:pPr>
            <w:r w:rsidRPr="00D815D2">
              <w:rPr>
                <w:b/>
              </w:rPr>
              <w:t xml:space="preserve">Related </w:t>
            </w:r>
            <w:r w:rsidRPr="00D815D2">
              <w:rPr>
                <w:b/>
                <w:szCs w:val="22"/>
              </w:rPr>
              <w:t>documents</w:t>
            </w:r>
            <w:r w:rsidRPr="006E56F2">
              <w:t>:</w:t>
            </w:r>
            <w:r>
              <w:tab/>
            </w:r>
            <w:r w:rsidR="008E6843">
              <w:t>None</w:t>
            </w:r>
          </w:p>
        </w:tc>
      </w:tr>
      <w:tr w:rsidR="00D815D2" w:rsidTr="00CD2553">
        <w:trPr>
          <w:jc w:val="center"/>
        </w:trPr>
        <w:tc>
          <w:tcPr>
            <w:tcW w:w="7955" w:type="dxa"/>
            <w:tcBorders>
              <w:top w:val="nil"/>
            </w:tcBorders>
          </w:tcPr>
          <w:p w:rsidR="00D815D2" w:rsidRDefault="00D815D2" w:rsidP="00D815D2">
            <w:pPr>
              <w:suppressAutoHyphens w:val="0"/>
            </w:pPr>
          </w:p>
        </w:tc>
      </w:tr>
    </w:tbl>
    <w:p w:rsidR="00A8008F" w:rsidRPr="008F391D" w:rsidRDefault="00940DE9" w:rsidP="00940DE9">
      <w:pPr>
        <w:pStyle w:val="HChG"/>
        <w:rPr>
          <w:lang w:val="en-US"/>
        </w:rPr>
      </w:pPr>
      <w:r>
        <w:rPr>
          <w:lang w:val="en-US"/>
        </w:rPr>
        <w:tab/>
      </w:r>
      <w:r>
        <w:rPr>
          <w:lang w:val="en-US"/>
        </w:rPr>
        <w:tab/>
      </w:r>
      <w:r w:rsidR="00A8008F" w:rsidRPr="008F391D">
        <w:rPr>
          <w:lang w:val="en-US"/>
        </w:rPr>
        <w:t>Introduction</w:t>
      </w:r>
    </w:p>
    <w:p w:rsidR="003718DD" w:rsidRPr="003718DD" w:rsidRDefault="003718DD" w:rsidP="003718DD">
      <w:pPr>
        <w:pStyle w:val="SingleTxtG"/>
      </w:pPr>
      <w:r w:rsidRPr="003718DD">
        <w:rPr>
          <w:lang w:val="en-US"/>
        </w:rPr>
        <w:t>1.</w:t>
      </w:r>
      <w:r w:rsidRPr="003718DD">
        <w:rPr>
          <w:lang w:val="en-US"/>
        </w:rPr>
        <w:tab/>
        <w:t xml:space="preserve">Annex 1, Appendix 2, paragraph 4 stipulates the procedure for measuring the effective refrigerating capacity </w:t>
      </w:r>
      <w:r w:rsidRPr="003718DD">
        <w:t xml:space="preserve">of mechanically refrigerated appliances for type approval. </w:t>
      </w:r>
    </w:p>
    <w:p w:rsidR="003718DD" w:rsidRPr="003718DD" w:rsidRDefault="003718DD" w:rsidP="003718DD">
      <w:pPr>
        <w:pStyle w:val="SingleTxtG"/>
        <w:rPr>
          <w:lang w:val="en-US"/>
        </w:rPr>
      </w:pPr>
      <w:r w:rsidRPr="003718DD">
        <w:t>2.</w:t>
      </w:r>
      <w:r w:rsidRPr="003718DD">
        <w:tab/>
        <w:t>However, a provision on how to measure</w:t>
      </w:r>
      <w:r w:rsidRPr="003718DD">
        <w:rPr>
          <w:lang w:val="en-US"/>
        </w:rPr>
        <w:t xml:space="preserve"> </w:t>
      </w:r>
      <w:r w:rsidRPr="003718DD">
        <w:t>the effective heating capacity of mechanically refrigerated and heated appliances for type approval is lacking in the ATP agreement and therefore should be added.</w:t>
      </w:r>
    </w:p>
    <w:p w:rsidR="002A5BD0" w:rsidRDefault="00940DE9" w:rsidP="00940DE9">
      <w:pPr>
        <w:pStyle w:val="HChG"/>
        <w:rPr>
          <w:lang w:val="en-US"/>
        </w:rPr>
      </w:pPr>
      <w:r>
        <w:rPr>
          <w:lang w:val="en-US"/>
        </w:rPr>
        <w:tab/>
      </w:r>
      <w:r>
        <w:rPr>
          <w:lang w:val="en-US"/>
        </w:rPr>
        <w:tab/>
      </w:r>
      <w:r w:rsidR="00750238">
        <w:t>Proposed amendment</w:t>
      </w:r>
    </w:p>
    <w:p w:rsidR="003718DD" w:rsidRPr="003718DD" w:rsidRDefault="003718DD" w:rsidP="003718DD">
      <w:pPr>
        <w:pStyle w:val="SingleTxtG"/>
      </w:pPr>
      <w:r w:rsidRPr="003718DD">
        <w:t>3.</w:t>
      </w:r>
      <w:r w:rsidRPr="003718DD">
        <w:tab/>
        <w:t>Add a new clause (a) in Annex 1, Appendix 2, paragraph 3.4.3</w:t>
      </w:r>
      <w:r w:rsidR="008E6843">
        <w:t xml:space="preserve"> to read as follows</w:t>
      </w:r>
      <w:r w:rsidRPr="003718DD">
        <w:t>:</w:t>
      </w:r>
    </w:p>
    <w:p w:rsidR="003718DD" w:rsidRPr="008E6843" w:rsidRDefault="008E6843" w:rsidP="003718DD">
      <w:pPr>
        <w:pStyle w:val="SingleTxtG"/>
        <w:ind w:firstLine="567"/>
        <w:rPr>
          <w:bCs/>
        </w:rPr>
      </w:pPr>
      <w:r>
        <w:rPr>
          <w:bCs/>
        </w:rPr>
        <w:lastRenderedPageBreak/>
        <w:t>"</w:t>
      </w:r>
      <w:r w:rsidR="003718DD" w:rsidRPr="008E6843">
        <w:rPr>
          <w:bCs/>
        </w:rPr>
        <w:t>(a)</w:t>
      </w:r>
      <w:r w:rsidR="003718DD" w:rsidRPr="008E6843">
        <w:rPr>
          <w:bCs/>
        </w:rPr>
        <w:tab/>
        <w:t xml:space="preserve">The general procedure </w:t>
      </w:r>
      <w:r w:rsidR="003718DD" w:rsidRPr="008E6843">
        <w:rPr>
          <w:bCs/>
          <w:lang w:val="en-US"/>
        </w:rPr>
        <w:t xml:space="preserve">for measuring the effective refrigerating capacity </w:t>
      </w:r>
      <w:r w:rsidR="003718DD" w:rsidRPr="008E6843">
        <w:rPr>
          <w:bCs/>
        </w:rPr>
        <w:t>of mechanically refrigerated appliances stipulated in paragraph 4.1 and 4.2 shall be applied after adapting it such that it can be used to measure heating appliances using a calorimeter box.</w:t>
      </w:r>
    </w:p>
    <w:p w:rsidR="003718DD" w:rsidRPr="008E6843" w:rsidRDefault="003718DD" w:rsidP="003718DD">
      <w:pPr>
        <w:pStyle w:val="SingleTxtG"/>
        <w:rPr>
          <w:bCs/>
        </w:rPr>
      </w:pPr>
      <w:r w:rsidRPr="008E6843">
        <w:rPr>
          <w:bCs/>
        </w:rPr>
        <w:t>The temperature at the air inlet of the thermal appliance or at the air inlet of the evaporator inside the calorimeter box shall be +12°C.</w:t>
      </w:r>
    </w:p>
    <w:p w:rsidR="003718DD" w:rsidRPr="008E6843" w:rsidRDefault="003718DD" w:rsidP="003718DD">
      <w:pPr>
        <w:pStyle w:val="SingleTxtG"/>
        <w:rPr>
          <w:bCs/>
        </w:rPr>
      </w:pPr>
      <w:r w:rsidRPr="008E6843">
        <w:rPr>
          <w:bCs/>
        </w:rPr>
        <w:t>For the measurement of the effective heating capacities of classes A, E and I, one test at a mean outside temperature (T</w:t>
      </w:r>
      <w:r w:rsidRPr="008E6843">
        <w:rPr>
          <w:bCs/>
          <w:vertAlign w:val="subscript"/>
        </w:rPr>
        <w:t>e</w:t>
      </w:r>
      <w:r w:rsidRPr="008E6843">
        <w:rPr>
          <w:bCs/>
        </w:rPr>
        <w:t xml:space="preserve">) of -10°C shall be carried out. </w:t>
      </w:r>
    </w:p>
    <w:p w:rsidR="003718DD" w:rsidRPr="008E6843" w:rsidRDefault="003718DD" w:rsidP="003718DD">
      <w:pPr>
        <w:pStyle w:val="SingleTxtG"/>
        <w:rPr>
          <w:bCs/>
        </w:rPr>
      </w:pPr>
      <w:r w:rsidRPr="008E6843">
        <w:rPr>
          <w:bCs/>
        </w:rPr>
        <w:t>For the measurement of the effective heating capacities of classes B, F and J, tests at two mean outside temperatures (T</w:t>
      </w:r>
      <w:r w:rsidRPr="008E6843">
        <w:rPr>
          <w:bCs/>
          <w:vertAlign w:val="subscript"/>
        </w:rPr>
        <w:t>e</w:t>
      </w:r>
      <w:r w:rsidRPr="008E6843">
        <w:rPr>
          <w:bCs/>
        </w:rPr>
        <w:t xml:space="preserve">) shall be carried out: one at -10°C and the other at -20°C. </w:t>
      </w:r>
    </w:p>
    <w:p w:rsidR="003718DD" w:rsidRPr="008E6843" w:rsidRDefault="003718DD" w:rsidP="003718DD">
      <w:pPr>
        <w:pStyle w:val="SingleTxtG"/>
        <w:rPr>
          <w:bCs/>
        </w:rPr>
      </w:pPr>
      <w:r w:rsidRPr="008E6843">
        <w:rPr>
          <w:bCs/>
        </w:rPr>
        <w:t>For the measurement of the effective heating capacities of classes C, D, G, H, K, or L, three tests shall be carried out. One test at a mean outside temperature (T</w:t>
      </w:r>
      <w:r w:rsidRPr="008E6843">
        <w:rPr>
          <w:bCs/>
          <w:vertAlign w:val="subscript"/>
        </w:rPr>
        <w:t>e</w:t>
      </w:r>
      <w:r w:rsidRPr="008E6843">
        <w:rPr>
          <w:bCs/>
        </w:rPr>
        <w:t>) of -10°C , another test at the minimum outside temperature required by the class and one test at an intermediate outside temperature to allow an interpolation for the effective heating capacities for other in-between class temperatures.</w:t>
      </w:r>
    </w:p>
    <w:p w:rsidR="003718DD" w:rsidRPr="008E6843" w:rsidRDefault="003718DD" w:rsidP="003718DD">
      <w:pPr>
        <w:pStyle w:val="SingleTxtG"/>
        <w:rPr>
          <w:bCs/>
        </w:rPr>
      </w:pPr>
      <w:r w:rsidRPr="008E6843">
        <w:rPr>
          <w:bCs/>
        </w:rPr>
        <w:t xml:space="preserve">For purely electric heating systems a minimum of one test shall be carried out to measure the effective heating capacities of classes A, B, C, D, E, F, G, H, I, J, K or L. This test should be carried out at +12°C at the air inlet of the evaporator and the minimum outside temperature required by the class. </w:t>
      </w:r>
    </w:p>
    <w:p w:rsidR="003718DD" w:rsidRPr="008E6843" w:rsidRDefault="003718DD" w:rsidP="003718DD">
      <w:pPr>
        <w:pStyle w:val="SingleTxtG"/>
        <w:rPr>
          <w:bCs/>
        </w:rPr>
      </w:pPr>
      <w:r w:rsidRPr="008E6843">
        <w:rPr>
          <w:bCs/>
        </w:rPr>
        <w:t>If the measurement of the effective heating capacity is carried out at the lowest outside temperature required by the class, no further test shall be required.</w:t>
      </w:r>
    </w:p>
    <w:p w:rsidR="003718DD" w:rsidRPr="008E6843" w:rsidRDefault="003718DD" w:rsidP="003718DD">
      <w:pPr>
        <w:pStyle w:val="SingleTxtG"/>
        <w:rPr>
          <w:bCs/>
        </w:rPr>
      </w:pPr>
      <w:r w:rsidRPr="008E6843">
        <w:rPr>
          <w:bCs/>
        </w:rPr>
        <w:t>If the measurement of the effective heating capacity is not carried out at the lowest temperature required by the class, an additional functional test of the heating appliance shall be carried out. This functional test shall be done at the minimum temperature required by the class (e.g. -40°C for class L) to verify that the heating appliance and its drive system (e.g. diesel engine driven generator) starts and works properly at the lowest temperature.</w:t>
      </w:r>
      <w:r w:rsidR="008E6843">
        <w:rPr>
          <w:bCs/>
        </w:rPr>
        <w:t>".</w:t>
      </w:r>
    </w:p>
    <w:p w:rsidR="003718DD" w:rsidRPr="003718DD" w:rsidRDefault="003718DD" w:rsidP="003718DD">
      <w:pPr>
        <w:pStyle w:val="SingleTxtG"/>
      </w:pPr>
      <w:r w:rsidRPr="003718DD">
        <w:t>4.</w:t>
      </w:r>
      <w:r w:rsidRPr="003718DD">
        <w:tab/>
        <w:t xml:space="preserve">Adapt the existing paragraph 3.4.3 in Annex 1, Appendix 2 in a new clause (b) as follows: </w:t>
      </w:r>
    </w:p>
    <w:p w:rsidR="003718DD" w:rsidRPr="003718DD" w:rsidRDefault="003718DD" w:rsidP="003718DD">
      <w:pPr>
        <w:pStyle w:val="SingleTxtG"/>
        <w:ind w:firstLine="567"/>
      </w:pPr>
      <w:r>
        <w:rPr>
          <w:b/>
        </w:rPr>
        <w:t>(b)</w:t>
      </w:r>
      <w:r>
        <w:rPr>
          <w:b/>
        </w:rPr>
        <w:tab/>
      </w:r>
      <w:r w:rsidRPr="003718DD">
        <w:rPr>
          <w:b/>
        </w:rPr>
        <w:t>When the measurement is carried out on equipment,</w:t>
      </w:r>
      <w:r w:rsidRPr="003718DD">
        <w:t xml:space="preserve"> </w:t>
      </w:r>
      <w:r w:rsidRPr="008E6843">
        <w:rPr>
          <w:bCs/>
        </w:rPr>
        <w:t>t</w:t>
      </w:r>
      <w:r w:rsidRPr="003718DD">
        <w:t>he basic requirements for the test procedure for the first stage are described in paragraphs 3.2.2 and 3.2.3 of this appendix; those for the second stage are described in paragraphs 3.3.3 and 3.3.4 of this appendix.</w:t>
      </w:r>
    </w:p>
    <w:p w:rsidR="00546B93" w:rsidRDefault="00750238" w:rsidP="00750238">
      <w:pPr>
        <w:pStyle w:val="HChG"/>
        <w:rPr>
          <w:lang w:val="en-US"/>
        </w:rPr>
      </w:pPr>
      <w:r>
        <w:rPr>
          <w:lang w:val="en-US"/>
        </w:rPr>
        <w:tab/>
      </w:r>
      <w:r>
        <w:rPr>
          <w:lang w:val="en-US"/>
        </w:rPr>
        <w:tab/>
      </w:r>
      <w:r w:rsidRPr="00750238">
        <w:rPr>
          <w:lang w:val="en-US"/>
        </w:rPr>
        <w:t>Impact</w:t>
      </w:r>
    </w:p>
    <w:tbl>
      <w:tblPr>
        <w:tblW w:w="0" w:type="auto"/>
        <w:tblInd w:w="1134" w:type="dxa"/>
        <w:tblLayout w:type="fixed"/>
        <w:tblCellMar>
          <w:left w:w="0" w:type="dxa"/>
          <w:right w:w="0" w:type="dxa"/>
        </w:tblCellMar>
        <w:tblLook w:val="01E0" w:firstRow="1" w:lastRow="1" w:firstColumn="1" w:lastColumn="1" w:noHBand="0" w:noVBand="0"/>
      </w:tblPr>
      <w:tblGrid>
        <w:gridCol w:w="1421"/>
        <w:gridCol w:w="6092"/>
      </w:tblGrid>
      <w:tr w:rsidR="003718DD" w:rsidRPr="003718DD" w:rsidTr="007A7E90">
        <w:tc>
          <w:tcPr>
            <w:tcW w:w="1421" w:type="dxa"/>
            <w:shd w:val="clear" w:color="auto" w:fill="auto"/>
          </w:tcPr>
          <w:p w:rsidR="003718DD" w:rsidRPr="003718DD" w:rsidRDefault="003718DD" w:rsidP="003718DD">
            <w:pPr>
              <w:spacing w:after="120"/>
              <w:jc w:val="both"/>
            </w:pPr>
            <w:r w:rsidRPr="003718DD">
              <w:t>Cost:</w:t>
            </w:r>
          </w:p>
        </w:tc>
        <w:tc>
          <w:tcPr>
            <w:tcW w:w="6092" w:type="dxa"/>
            <w:shd w:val="clear" w:color="auto" w:fill="auto"/>
          </w:tcPr>
          <w:p w:rsidR="003718DD" w:rsidRPr="003718DD" w:rsidRDefault="003718DD" w:rsidP="003718DD">
            <w:pPr>
              <w:spacing w:after="120"/>
            </w:pPr>
            <w:r w:rsidRPr="003718DD">
              <w:t>No impact.</w:t>
            </w:r>
          </w:p>
        </w:tc>
      </w:tr>
      <w:tr w:rsidR="003718DD" w:rsidRPr="003718DD" w:rsidTr="007A7E90">
        <w:tc>
          <w:tcPr>
            <w:tcW w:w="1421" w:type="dxa"/>
            <w:shd w:val="clear" w:color="auto" w:fill="auto"/>
          </w:tcPr>
          <w:p w:rsidR="003718DD" w:rsidRPr="003718DD" w:rsidRDefault="003718DD" w:rsidP="003718DD">
            <w:pPr>
              <w:spacing w:after="120"/>
              <w:jc w:val="both"/>
            </w:pPr>
            <w:r w:rsidRPr="003718DD">
              <w:t>Feasibility:</w:t>
            </w:r>
          </w:p>
        </w:tc>
        <w:tc>
          <w:tcPr>
            <w:tcW w:w="6092" w:type="dxa"/>
            <w:shd w:val="clear" w:color="auto" w:fill="auto"/>
          </w:tcPr>
          <w:p w:rsidR="003718DD" w:rsidRPr="003718DD" w:rsidRDefault="003718DD" w:rsidP="003718DD">
            <w:pPr>
              <w:spacing w:after="120"/>
            </w:pPr>
            <w:r w:rsidRPr="003718DD">
              <w:t>The proposed amendment can easily be implemented in ATP. A transitional period is not needed.</w:t>
            </w:r>
          </w:p>
        </w:tc>
      </w:tr>
      <w:tr w:rsidR="003718DD" w:rsidRPr="003718DD" w:rsidTr="007A7E90">
        <w:tc>
          <w:tcPr>
            <w:tcW w:w="1421" w:type="dxa"/>
            <w:shd w:val="clear" w:color="auto" w:fill="auto"/>
          </w:tcPr>
          <w:p w:rsidR="003718DD" w:rsidRPr="003718DD" w:rsidRDefault="003718DD" w:rsidP="003718DD">
            <w:pPr>
              <w:spacing w:after="120"/>
              <w:jc w:val="both"/>
            </w:pPr>
            <w:r w:rsidRPr="003718DD">
              <w:t>Enforceability:</w:t>
            </w:r>
          </w:p>
        </w:tc>
        <w:tc>
          <w:tcPr>
            <w:tcW w:w="6092" w:type="dxa"/>
            <w:shd w:val="clear" w:color="auto" w:fill="auto"/>
          </w:tcPr>
          <w:p w:rsidR="003718DD" w:rsidRPr="003718DD" w:rsidRDefault="003718DD" w:rsidP="003718DD">
            <w:pPr>
              <w:spacing w:after="120"/>
              <w:jc w:val="both"/>
            </w:pPr>
            <w:r w:rsidRPr="003718DD">
              <w:t>No problems are expected.</w:t>
            </w:r>
          </w:p>
        </w:tc>
      </w:tr>
    </w:tbl>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2251EB">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3718DD">
      <w:rPr>
        <w:b/>
        <w:noProof/>
        <w:sz w:val="18"/>
      </w:rPr>
      <w:t>3</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w:t>
    </w:r>
    <w:r w:rsidR="003718DD">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w:t>
    </w:r>
    <w:r w:rsidR="003718D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A060EE"/>
    <w:multiLevelType w:val="hybridMultilevel"/>
    <w:tmpl w:val="F7229352"/>
    <w:lvl w:ilvl="0" w:tplc="20D604A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9901A5"/>
    <w:multiLevelType w:val="hybridMultilevel"/>
    <w:tmpl w:val="0A744E62"/>
    <w:lvl w:ilvl="0" w:tplc="3EBC086A">
      <w:start w:val="1"/>
      <w:numFmt w:val="lowerRoman"/>
      <w:lvlText w:val="(%1)"/>
      <w:lvlJc w:val="left"/>
      <w:pPr>
        <w:ind w:left="3078" w:hanging="81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7"/>
  </w:num>
  <w:num w:numId="2">
    <w:abstractNumId w:val="3"/>
  </w:num>
  <w:num w:numId="3">
    <w:abstractNumId w:val="0"/>
  </w:num>
  <w:num w:numId="4">
    <w:abstractNumId w:val="8"/>
  </w:num>
  <w:num w:numId="5">
    <w:abstractNumId w:val="9"/>
  </w:num>
  <w:num w:numId="6">
    <w:abstractNumId w:val="11"/>
  </w:num>
  <w:num w:numId="7">
    <w:abstractNumId w:val="2"/>
  </w:num>
  <w:num w:numId="8">
    <w:abstractNumId w:val="1"/>
  </w:num>
  <w:num w:numId="9">
    <w:abstractNumId w:val="4"/>
  </w:num>
  <w:num w:numId="10">
    <w:abstractNumId w:val="5"/>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6"/>
    <w:rsid w:val="00046E92"/>
    <w:rsid w:val="000B48E7"/>
    <w:rsid w:val="000D1B89"/>
    <w:rsid w:val="000E300E"/>
    <w:rsid w:val="001170DC"/>
    <w:rsid w:val="001A6852"/>
    <w:rsid w:val="001F7D81"/>
    <w:rsid w:val="00216EDA"/>
    <w:rsid w:val="002247B2"/>
    <w:rsid w:val="002251EB"/>
    <w:rsid w:val="0023026B"/>
    <w:rsid w:val="00247E2C"/>
    <w:rsid w:val="002A5BD0"/>
    <w:rsid w:val="002D6C53"/>
    <w:rsid w:val="002F5595"/>
    <w:rsid w:val="00313D9D"/>
    <w:rsid w:val="00321053"/>
    <w:rsid w:val="003276D8"/>
    <w:rsid w:val="00334F6A"/>
    <w:rsid w:val="00342AC8"/>
    <w:rsid w:val="003718DD"/>
    <w:rsid w:val="003B4550"/>
    <w:rsid w:val="003C52A1"/>
    <w:rsid w:val="00461194"/>
    <w:rsid w:val="00461253"/>
    <w:rsid w:val="00484A46"/>
    <w:rsid w:val="004D697E"/>
    <w:rsid w:val="005042C2"/>
    <w:rsid w:val="005439EA"/>
    <w:rsid w:val="00546B93"/>
    <w:rsid w:val="0055134C"/>
    <w:rsid w:val="0056599A"/>
    <w:rsid w:val="00587690"/>
    <w:rsid w:val="005A6453"/>
    <w:rsid w:val="005B31A3"/>
    <w:rsid w:val="005C6FAA"/>
    <w:rsid w:val="00665988"/>
    <w:rsid w:val="00671529"/>
    <w:rsid w:val="006E4EF0"/>
    <w:rsid w:val="00717266"/>
    <w:rsid w:val="007268F9"/>
    <w:rsid w:val="0073200B"/>
    <w:rsid w:val="00750238"/>
    <w:rsid w:val="00776BF5"/>
    <w:rsid w:val="007C2F6F"/>
    <w:rsid w:val="007C52B0"/>
    <w:rsid w:val="007D042A"/>
    <w:rsid w:val="007E2709"/>
    <w:rsid w:val="0081364C"/>
    <w:rsid w:val="0083170F"/>
    <w:rsid w:val="00837208"/>
    <w:rsid w:val="00840CC7"/>
    <w:rsid w:val="00870367"/>
    <w:rsid w:val="008D4A28"/>
    <w:rsid w:val="008E6843"/>
    <w:rsid w:val="008F391D"/>
    <w:rsid w:val="00934ABA"/>
    <w:rsid w:val="00940DE9"/>
    <w:rsid w:val="009411B4"/>
    <w:rsid w:val="00972B51"/>
    <w:rsid w:val="00992429"/>
    <w:rsid w:val="009D0139"/>
    <w:rsid w:val="009F466B"/>
    <w:rsid w:val="009F5CDC"/>
    <w:rsid w:val="00A775CF"/>
    <w:rsid w:val="00A8008F"/>
    <w:rsid w:val="00AB3C7E"/>
    <w:rsid w:val="00AF5BEE"/>
    <w:rsid w:val="00B06045"/>
    <w:rsid w:val="00B26922"/>
    <w:rsid w:val="00B526DB"/>
    <w:rsid w:val="00C35A27"/>
    <w:rsid w:val="00C40EF5"/>
    <w:rsid w:val="00C9553B"/>
    <w:rsid w:val="00CA1476"/>
    <w:rsid w:val="00CC0F97"/>
    <w:rsid w:val="00CD2553"/>
    <w:rsid w:val="00D3493F"/>
    <w:rsid w:val="00D74C93"/>
    <w:rsid w:val="00D815D2"/>
    <w:rsid w:val="00DB287A"/>
    <w:rsid w:val="00DF0B09"/>
    <w:rsid w:val="00E02C2B"/>
    <w:rsid w:val="00EC2810"/>
    <w:rsid w:val="00EC5EE7"/>
    <w:rsid w:val="00ED6C48"/>
    <w:rsid w:val="00F023D2"/>
    <w:rsid w:val="00F13BF6"/>
    <w:rsid w:val="00F3077A"/>
    <w:rsid w:val="00F65F5D"/>
    <w:rsid w:val="00F6791C"/>
    <w:rsid w:val="00F84852"/>
    <w:rsid w:val="00F86A3A"/>
    <w:rsid w:val="00FB1744"/>
    <w:rsid w:val="00FC04AB"/>
    <w:rsid w:val="00FE61A2"/>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6EF494"/>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2D29-BA8F-4E5B-9FDF-1E63CCE3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3351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5</cp:revision>
  <cp:lastPrinted>2018-06-12T08:33:00Z</cp:lastPrinted>
  <dcterms:created xsi:type="dcterms:W3CDTF">2018-07-23T13:49:00Z</dcterms:created>
  <dcterms:modified xsi:type="dcterms:W3CDTF">2018-07-24T13:12:00Z</dcterms:modified>
</cp:coreProperties>
</file>