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A03E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A03E8" w:rsidP="00EA03E8">
            <w:pPr>
              <w:jc w:val="right"/>
            </w:pPr>
            <w:r w:rsidRPr="00EA03E8">
              <w:rPr>
                <w:sz w:val="40"/>
              </w:rPr>
              <w:t>ECE</w:t>
            </w:r>
            <w:r>
              <w:t>/TRANS/WP.11/2018/10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A03E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A03E8" w:rsidRDefault="00EA03E8" w:rsidP="00EA03E8">
            <w:pPr>
              <w:spacing w:line="240" w:lineRule="exact"/>
            </w:pPr>
            <w:r>
              <w:t>24 juillet 2018</w:t>
            </w:r>
          </w:p>
          <w:p w:rsidR="00EA03E8" w:rsidRDefault="00EA03E8" w:rsidP="00EA03E8">
            <w:pPr>
              <w:spacing w:line="240" w:lineRule="exact"/>
            </w:pPr>
            <w:r>
              <w:t>Français</w:t>
            </w:r>
          </w:p>
          <w:p w:rsidR="00EA03E8" w:rsidRPr="00DB58B5" w:rsidRDefault="00EA03E8" w:rsidP="00EA03E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61C0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A03E8" w:rsidRPr="00685843" w:rsidRDefault="00EA03E8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EA03E8" w:rsidRPr="00F30D47" w:rsidRDefault="00EA03E8" w:rsidP="00305801">
      <w:pPr>
        <w:spacing w:before="120"/>
        <w:rPr>
          <w:b/>
        </w:rPr>
      </w:pPr>
      <w:r w:rsidRPr="000912D9">
        <w:rPr>
          <w:b/>
        </w:rPr>
        <w:t>Soixante-quatorzième</w:t>
      </w:r>
      <w:r w:rsidRPr="00F30D47">
        <w:rPr>
          <w:b/>
        </w:rPr>
        <w:t xml:space="preserve"> session</w:t>
      </w:r>
    </w:p>
    <w:p w:rsidR="00EA03E8" w:rsidRDefault="00EA03E8" w:rsidP="00305801">
      <w:r>
        <w:t xml:space="preserve">Genève, </w:t>
      </w:r>
      <w:r w:rsidRPr="000912D9">
        <w:t>8-12 octobre 2018</w:t>
      </w:r>
    </w:p>
    <w:p w:rsidR="00EA03E8" w:rsidRDefault="00EA03E8" w:rsidP="00305801">
      <w:r>
        <w:t>Point 6 b) de l</w:t>
      </w:r>
      <w:r w:rsidR="00661C04">
        <w:t>’</w:t>
      </w:r>
      <w:r>
        <w:t>ordre du jour provisoire</w:t>
      </w:r>
    </w:p>
    <w:p w:rsidR="00EA03E8" w:rsidRPr="000912D9" w:rsidRDefault="00EA03E8" w:rsidP="00EA03E8">
      <w:pPr>
        <w:rPr>
          <w:b/>
        </w:rPr>
      </w:pPr>
      <w:r w:rsidRPr="000912D9">
        <w:rPr>
          <w:b/>
        </w:rPr>
        <w:t>Propositions d</w:t>
      </w:r>
      <w:r w:rsidR="00661C04">
        <w:rPr>
          <w:b/>
        </w:rPr>
        <w:t>’</w:t>
      </w:r>
      <w:r w:rsidRPr="000912D9">
        <w:rPr>
          <w:b/>
        </w:rPr>
        <w:t>amendements à l</w:t>
      </w:r>
      <w:r w:rsidR="00661C04">
        <w:rPr>
          <w:b/>
        </w:rPr>
        <w:t>’</w:t>
      </w:r>
      <w:r w:rsidRPr="000912D9">
        <w:rPr>
          <w:b/>
        </w:rPr>
        <w:t>ATP</w:t>
      </w:r>
      <w:r>
        <w:rPr>
          <w:b/>
        </w:rPr>
        <w:t> </w:t>
      </w:r>
      <w:r w:rsidRPr="000912D9">
        <w:rPr>
          <w:b/>
        </w:rPr>
        <w:t>:</w:t>
      </w:r>
      <w:r>
        <w:rPr>
          <w:b/>
        </w:rPr>
        <w:br/>
        <w:t>N</w:t>
      </w:r>
      <w:r w:rsidRPr="000912D9">
        <w:rPr>
          <w:b/>
        </w:rPr>
        <w:t>ouvelles propositions</w:t>
      </w:r>
    </w:p>
    <w:p w:rsidR="00EA03E8" w:rsidRPr="000912D9" w:rsidRDefault="00EA03E8" w:rsidP="00EA03E8">
      <w:pPr>
        <w:pStyle w:val="HChG"/>
      </w:pPr>
      <w:r w:rsidRPr="000912D9">
        <w:tab/>
      </w:r>
      <w:r w:rsidRPr="000912D9">
        <w:tab/>
        <w:t>Proposition d</w:t>
      </w:r>
      <w:r w:rsidR="00661C04">
        <w:t>’</w:t>
      </w:r>
      <w:r w:rsidRPr="000912D9">
        <w:t>amendement</w:t>
      </w:r>
      <w:r>
        <w:t xml:space="preserve"> au paragraphe 6 de l</w:t>
      </w:r>
      <w:r w:rsidR="00661C04">
        <w:t>’</w:t>
      </w:r>
      <w:r>
        <w:t>appendice </w:t>
      </w:r>
      <w:r w:rsidRPr="000912D9">
        <w:t>2 de l</w:t>
      </w:r>
      <w:r w:rsidR="00661C04">
        <w:t>’</w:t>
      </w:r>
      <w:r w:rsidRPr="000912D9">
        <w:t>annexe 1 : remplacement des fluides frigorigènes existants par de nouveaux fluides frigorigènes présentant</w:t>
      </w:r>
      <w:r>
        <w:br/>
      </w:r>
      <w:r w:rsidRPr="000912D9">
        <w:t>un PRG inférieur</w:t>
      </w:r>
    </w:p>
    <w:p w:rsidR="00F9573C" w:rsidRDefault="00EA03E8" w:rsidP="00EA03E8">
      <w:pPr>
        <w:pStyle w:val="H1G"/>
      </w:pPr>
      <w:r w:rsidRPr="000912D9">
        <w:tab/>
      </w:r>
      <w:r w:rsidRPr="000912D9">
        <w:tab/>
        <w:t>Communication du Gouvernement allemand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A03E8" w:rsidTr="00747AE9">
        <w:trPr>
          <w:jc w:val="center"/>
        </w:trPr>
        <w:tc>
          <w:tcPr>
            <w:tcW w:w="9637" w:type="dxa"/>
            <w:shd w:val="clear" w:color="auto" w:fill="auto"/>
          </w:tcPr>
          <w:p w:rsidR="00EA03E8" w:rsidRPr="000001E7" w:rsidRDefault="00EA03E8" w:rsidP="00747AE9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EA03E8" w:rsidTr="00747AE9">
        <w:trPr>
          <w:jc w:val="center"/>
        </w:trPr>
        <w:tc>
          <w:tcPr>
            <w:tcW w:w="9637" w:type="dxa"/>
            <w:shd w:val="clear" w:color="auto" w:fill="auto"/>
          </w:tcPr>
          <w:p w:rsidR="00EA03E8" w:rsidRDefault="00EA03E8" w:rsidP="00661C04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b/>
                <w:bCs/>
                <w:lang w:val="fr-FR"/>
              </w:rPr>
              <w:tab/>
            </w:r>
            <w:r>
              <w:t>En application du</w:t>
            </w:r>
            <w:r w:rsidRPr="000912D9">
              <w:t xml:space="preserve"> Règlement UE sur les gaz fluorés (517/2014)</w:t>
            </w:r>
            <w:r>
              <w:t xml:space="preserve">, </w:t>
            </w:r>
            <w:r w:rsidRPr="000912D9">
              <w:t>les fluides frigorigènes utilisés jusqu</w:t>
            </w:r>
            <w:r w:rsidR="00661C04">
              <w:t>’</w:t>
            </w:r>
            <w:r>
              <w:t>à présent</w:t>
            </w:r>
            <w:r w:rsidRPr="000912D9">
              <w:t xml:space="preserve"> </w:t>
            </w:r>
            <w:r>
              <w:t xml:space="preserve">doivent être graduellement remplacés </w:t>
            </w:r>
            <w:r w:rsidRPr="000912D9">
              <w:t>par de nouveaux fluides frigorigènes présentant un PRG inférieur. Étant donné que, pour nombre de groupes, il n</w:t>
            </w:r>
            <w:r w:rsidR="00661C04">
              <w:t>’</w:t>
            </w:r>
            <w:r w:rsidRPr="000912D9">
              <w:t>existe pas encore de procès</w:t>
            </w:r>
            <w:r w:rsidR="00661C04">
              <w:noBreakHyphen/>
            </w:r>
            <w:r w:rsidRPr="000912D9">
              <w:t>verbal d</w:t>
            </w:r>
            <w:r w:rsidR="00661C04">
              <w:t>’</w:t>
            </w:r>
            <w:r w:rsidRPr="000912D9">
              <w:t xml:space="preserve">essai de type </w:t>
            </w:r>
            <w:r>
              <w:t>conforme aux dispositions de l</w:t>
            </w:r>
            <w:r w:rsidR="00661C04">
              <w:t>’</w:t>
            </w:r>
            <w:r w:rsidRPr="000912D9">
              <w:t>ATP pour les nouveaux fluides frigorigènes, une nouvelle démarche doit être prévue</w:t>
            </w:r>
            <w:r>
              <w:rPr>
                <w:lang w:val="fr-FR"/>
              </w:rPr>
              <w:t>.</w:t>
            </w:r>
          </w:p>
        </w:tc>
      </w:tr>
      <w:tr w:rsidR="00EA03E8" w:rsidTr="00747AE9">
        <w:trPr>
          <w:jc w:val="center"/>
        </w:trPr>
        <w:tc>
          <w:tcPr>
            <w:tcW w:w="9637" w:type="dxa"/>
            <w:shd w:val="clear" w:color="auto" w:fill="auto"/>
          </w:tcPr>
          <w:p w:rsidR="00EA03E8" w:rsidRDefault="00EA03E8" w:rsidP="00747AE9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t>Modifier</w:t>
            </w:r>
            <w:r w:rsidRPr="000912D9">
              <w:t xml:space="preserve"> le paragraphe 6 de l</w:t>
            </w:r>
            <w:r w:rsidR="00661C04">
              <w:t>’</w:t>
            </w:r>
            <w:r w:rsidRPr="000912D9">
              <w:t>appendice 2 de l</w:t>
            </w:r>
            <w:r w:rsidR="00661C04">
              <w:t>’</w:t>
            </w:r>
            <w:r w:rsidRPr="000912D9">
              <w:t>annexe 1</w:t>
            </w:r>
            <w:r w:rsidRPr="00CB1F18">
              <w:rPr>
                <w:lang w:val="fr-FR"/>
              </w:rPr>
              <w:t>.</w:t>
            </w:r>
          </w:p>
        </w:tc>
      </w:tr>
      <w:tr w:rsidR="00EA03E8" w:rsidTr="00747AE9">
        <w:trPr>
          <w:jc w:val="center"/>
        </w:trPr>
        <w:tc>
          <w:tcPr>
            <w:tcW w:w="9637" w:type="dxa"/>
            <w:shd w:val="clear" w:color="auto" w:fill="auto"/>
          </w:tcPr>
          <w:p w:rsidR="00EA03E8" w:rsidRDefault="00EA03E8" w:rsidP="00747AE9">
            <w:pPr>
              <w:pStyle w:val="SingleTxtG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 w:rsidRPr="000912D9">
              <w:t>ECE/TRANS/WP.11/2017/23</w:t>
            </w:r>
          </w:p>
        </w:tc>
      </w:tr>
      <w:tr w:rsidR="00EA03E8" w:rsidTr="00747AE9">
        <w:trPr>
          <w:jc w:val="center"/>
        </w:trPr>
        <w:tc>
          <w:tcPr>
            <w:tcW w:w="9637" w:type="dxa"/>
            <w:shd w:val="clear" w:color="auto" w:fill="auto"/>
          </w:tcPr>
          <w:p w:rsidR="00EA03E8" w:rsidRDefault="00EA03E8" w:rsidP="00747AE9"/>
        </w:tc>
      </w:tr>
    </w:tbl>
    <w:p w:rsidR="00EA03E8" w:rsidRPr="000912D9" w:rsidRDefault="00EA03E8" w:rsidP="00EA03E8">
      <w:pPr>
        <w:pStyle w:val="HChG"/>
      </w:pPr>
      <w:r w:rsidRPr="000912D9">
        <w:tab/>
      </w:r>
      <w:r w:rsidRPr="000912D9">
        <w:tab/>
        <w:t>Introduction</w:t>
      </w:r>
    </w:p>
    <w:p w:rsidR="00EA03E8" w:rsidRPr="000912D9" w:rsidRDefault="00EA03E8" w:rsidP="00EA03E8">
      <w:pPr>
        <w:pStyle w:val="SingleTxtG"/>
      </w:pPr>
      <w:r w:rsidRPr="000912D9">
        <w:t>1.</w:t>
      </w:r>
      <w:r w:rsidRPr="000912D9">
        <w:tab/>
      </w:r>
      <w:r w:rsidRPr="00815893">
        <w:t xml:space="preserve">En application du </w:t>
      </w:r>
      <w:r w:rsidRPr="000912D9">
        <w:t>Règlement UE sur les gaz fluorés (517/2014)</w:t>
      </w:r>
      <w:r>
        <w:t>,</w:t>
      </w:r>
      <w:r w:rsidRPr="000912D9">
        <w:t xml:space="preserve"> les fluides frigorigènes utilisés </w:t>
      </w:r>
      <w:r w:rsidRPr="00815893">
        <w:t>jusqu</w:t>
      </w:r>
      <w:r w:rsidR="00661C04">
        <w:t>’</w:t>
      </w:r>
      <w:r w:rsidRPr="00815893">
        <w:t>à présent doivent être graduellement remplacés</w:t>
      </w:r>
      <w:r w:rsidRPr="000912D9">
        <w:t xml:space="preserve"> par de nouveaux fluides frigorigènes présentant un PRG inférieur.</w:t>
      </w:r>
    </w:p>
    <w:p w:rsidR="00EA03E8" w:rsidRPr="000912D9" w:rsidRDefault="00EA03E8" w:rsidP="00EA03E8">
      <w:pPr>
        <w:pStyle w:val="SingleTxtG"/>
      </w:pPr>
      <w:r w:rsidRPr="000912D9">
        <w:t>2.</w:t>
      </w:r>
      <w:r w:rsidRPr="000912D9">
        <w:tab/>
        <w:t>Selon l</w:t>
      </w:r>
      <w:r w:rsidR="00661C04">
        <w:t>’</w:t>
      </w:r>
      <w:r w:rsidRPr="000912D9">
        <w:t>ATP, un changement du fluide frigorigène d</w:t>
      </w:r>
      <w:r w:rsidR="00661C04">
        <w:t>’</w:t>
      </w:r>
      <w:r w:rsidRPr="000912D9">
        <w:t xml:space="preserve">origine dans un groupe frigorifique constitue un changement majeur du groupe, et nécessite donc un procès-verbal </w:t>
      </w:r>
      <w:r w:rsidRPr="000912D9">
        <w:lastRenderedPageBreak/>
        <w:t>d</w:t>
      </w:r>
      <w:r w:rsidR="00661C04">
        <w:t>’</w:t>
      </w:r>
      <w:r w:rsidRPr="000912D9">
        <w:t xml:space="preserve">essai de type </w:t>
      </w:r>
      <w:r w:rsidRPr="00C56B20">
        <w:t>conforme aux dispositions de l</w:t>
      </w:r>
      <w:r w:rsidR="00661C04">
        <w:t>’</w:t>
      </w:r>
      <w:r w:rsidRPr="000912D9">
        <w:t xml:space="preserve">ATP pour le nouveau fluide frigorigène de </w:t>
      </w:r>
      <w:r>
        <w:t>substitution</w:t>
      </w:r>
      <w:r w:rsidRPr="000912D9">
        <w:t xml:space="preserve">. </w:t>
      </w:r>
    </w:p>
    <w:p w:rsidR="00EA03E8" w:rsidRPr="000912D9" w:rsidRDefault="00EA03E8" w:rsidP="00EA03E8">
      <w:pPr>
        <w:pStyle w:val="SingleTxtG"/>
      </w:pPr>
      <w:r w:rsidRPr="000912D9">
        <w:t>3.</w:t>
      </w:r>
      <w:r w:rsidRPr="000912D9">
        <w:tab/>
        <w:t>Cependant, pour nombre de groupes, il n</w:t>
      </w:r>
      <w:r w:rsidR="00661C04">
        <w:t>’</w:t>
      </w:r>
      <w:r w:rsidRPr="000912D9">
        <w:t>existe pas encore de procès-verbal d</w:t>
      </w:r>
      <w:r w:rsidR="00661C04">
        <w:t>’</w:t>
      </w:r>
      <w:r w:rsidRPr="000912D9">
        <w:t xml:space="preserve">essai de type </w:t>
      </w:r>
      <w:r w:rsidRPr="008D729E">
        <w:t>conforme aux dispositions de l</w:t>
      </w:r>
      <w:r w:rsidR="00661C04">
        <w:t>’</w:t>
      </w:r>
      <w:r w:rsidRPr="000912D9">
        <w:t xml:space="preserve">ATP pour les nouveaux fluides frigorigènes présentant un PRG inférieur. </w:t>
      </w:r>
    </w:p>
    <w:p w:rsidR="00EA03E8" w:rsidRPr="000912D9" w:rsidRDefault="00EA03E8" w:rsidP="00EA03E8">
      <w:pPr>
        <w:pStyle w:val="SingleTxtG"/>
      </w:pPr>
      <w:r w:rsidRPr="000912D9">
        <w:t>4.</w:t>
      </w:r>
      <w:r w:rsidRPr="000912D9">
        <w:tab/>
        <w:t xml:space="preserve">En outre, </w:t>
      </w:r>
      <w:r>
        <w:t>en application de</w:t>
      </w:r>
      <w:r w:rsidRPr="000912D9">
        <w:t xml:space="preserve"> l</w:t>
      </w:r>
      <w:r w:rsidR="00661C04">
        <w:t>’</w:t>
      </w:r>
      <w:r w:rsidRPr="000912D9">
        <w:t xml:space="preserve">ATP, </w:t>
      </w:r>
      <w:r>
        <w:t>les</w:t>
      </w:r>
      <w:r w:rsidRPr="000912D9">
        <w:t xml:space="preserve"> essai</w:t>
      </w:r>
      <w:r>
        <w:t>s</w:t>
      </w:r>
      <w:r w:rsidRPr="000912D9">
        <w:t xml:space="preserve"> de type </w:t>
      </w:r>
      <w:r>
        <w:t>en question</w:t>
      </w:r>
      <w:r w:rsidR="00E92460">
        <w:t xml:space="preserve"> </w:t>
      </w:r>
      <w:r>
        <w:t>ne sont valables</w:t>
      </w:r>
      <w:r w:rsidRPr="000912D9">
        <w:t xml:space="preserve"> que si le procès-verbal a été publié avant la mise en service de l</w:t>
      </w:r>
      <w:r w:rsidR="00661C04">
        <w:t>’</w:t>
      </w:r>
      <w:r w:rsidRPr="000912D9">
        <w:t xml:space="preserve">engin ATP visé. </w:t>
      </w:r>
    </w:p>
    <w:p w:rsidR="00EA03E8" w:rsidRPr="000912D9" w:rsidRDefault="00EA03E8" w:rsidP="00EA03E8">
      <w:pPr>
        <w:pStyle w:val="SingleTxtG"/>
      </w:pPr>
      <w:r w:rsidRPr="000912D9">
        <w:t>5.</w:t>
      </w:r>
      <w:r w:rsidRPr="000912D9">
        <w:tab/>
        <w:t>Il faut résoudre le problème de l</w:t>
      </w:r>
      <w:r w:rsidR="00661C04">
        <w:t>’</w:t>
      </w:r>
      <w:r w:rsidRPr="000912D9">
        <w:t>absence de procès-verbaux d</w:t>
      </w:r>
      <w:r w:rsidR="00661C04">
        <w:t>’</w:t>
      </w:r>
      <w:r w:rsidRPr="000912D9">
        <w:t xml:space="preserve">essai de type portant sur de nouveaux fluides frigorigènes présentant un PRG inférieur, en particulier concernant </w:t>
      </w:r>
      <w:r>
        <w:t xml:space="preserve">les substituts au </w:t>
      </w:r>
      <w:r w:rsidRPr="000912D9">
        <w:t>R404A</w:t>
      </w:r>
      <w:r>
        <w:t>, qui</w:t>
      </w:r>
      <w:r w:rsidRPr="008D5F66">
        <w:t xml:space="preserve"> </w:t>
      </w:r>
      <w:r w:rsidRPr="000912D9">
        <w:t xml:space="preserve">est </w:t>
      </w:r>
      <w:r>
        <w:t xml:space="preserve">devenu </w:t>
      </w:r>
      <w:r w:rsidRPr="000912D9">
        <w:t xml:space="preserve">difficile à se procurer et </w:t>
      </w:r>
      <w:r>
        <w:t>dont le</w:t>
      </w:r>
      <w:r w:rsidRPr="000912D9">
        <w:t xml:space="preserve"> coût a fortement augmenté</w:t>
      </w:r>
      <w:r>
        <w:t xml:space="preserve"> depuis l</w:t>
      </w:r>
      <w:r w:rsidR="00661C04">
        <w:t>’</w:t>
      </w:r>
      <w:r>
        <w:t>adoption</w:t>
      </w:r>
      <w:r w:rsidRPr="000912D9">
        <w:t xml:space="preserve"> du Règlement UE sur les gaz fluorés. </w:t>
      </w:r>
    </w:p>
    <w:p w:rsidR="00EA03E8" w:rsidRPr="000912D9" w:rsidRDefault="00EA03E8" w:rsidP="00EA03E8">
      <w:pPr>
        <w:pStyle w:val="SingleTxtG"/>
      </w:pPr>
      <w:r w:rsidRPr="000912D9">
        <w:t>6.</w:t>
      </w:r>
      <w:r w:rsidRPr="000912D9">
        <w:tab/>
        <w:t>En principe, le R404A peut aisément être remplacé par le R452A, dont le PRG est inférieur, puisque les propriétés thermodynamiques des deux fluides frigorigènes sont très proches. Des données d</w:t>
      </w:r>
      <w:r w:rsidR="00661C04">
        <w:t>’</w:t>
      </w:r>
      <w:r w:rsidRPr="000912D9">
        <w:t xml:space="preserve">essai pertinentes existent. </w:t>
      </w:r>
    </w:p>
    <w:p w:rsidR="00EA03E8" w:rsidRPr="000912D9" w:rsidRDefault="00EA03E8" w:rsidP="00EA03E8">
      <w:pPr>
        <w:pStyle w:val="SingleTxtG"/>
      </w:pPr>
      <w:r w:rsidRPr="000912D9">
        <w:t>7.</w:t>
      </w:r>
      <w:r w:rsidRPr="000912D9">
        <w:tab/>
        <w:t>Pour autant que certaines conditions soient remplies, les autorités compétentes doivent pouvoir vérifier l</w:t>
      </w:r>
      <w:r w:rsidR="00661C04">
        <w:t>’</w:t>
      </w:r>
      <w:r w:rsidRPr="000912D9">
        <w:t>efficacité d</w:t>
      </w:r>
      <w:r w:rsidR="00661C04">
        <w:t>’</w:t>
      </w:r>
      <w:r w:rsidRPr="000912D9">
        <w:t xml:space="preserve">un fluide frigorigène de </w:t>
      </w:r>
      <w:r>
        <w:t>substitution</w:t>
      </w:r>
      <w:r w:rsidRPr="000912D9">
        <w:t xml:space="preserve"> agréé pour tout groupe. </w:t>
      </w:r>
    </w:p>
    <w:p w:rsidR="00EA03E8" w:rsidRPr="000912D9" w:rsidRDefault="00EA03E8" w:rsidP="00EA03E8">
      <w:pPr>
        <w:pStyle w:val="SingleTxtG"/>
      </w:pPr>
      <w:r w:rsidRPr="000912D9">
        <w:t>8.</w:t>
      </w:r>
      <w:r w:rsidRPr="000912D9">
        <w:tab/>
        <w:t>Une liste de l</w:t>
      </w:r>
      <w:r w:rsidR="00661C04">
        <w:t>’</w:t>
      </w:r>
      <w:r w:rsidRPr="000912D9">
        <w:t xml:space="preserve">ensemble des fluides frigorigènes de </w:t>
      </w:r>
      <w:r>
        <w:t>substitution</w:t>
      </w:r>
      <w:r w:rsidRPr="000912D9">
        <w:t xml:space="preserve"> agréés doit être ajoutée soit au Manuel ATP soit au corps du texte de l</w:t>
      </w:r>
      <w:r w:rsidR="00661C04">
        <w:t>’</w:t>
      </w:r>
      <w:r w:rsidRPr="000912D9">
        <w:t>ATP. La solution consistant à ajouter la liste au Manuel ATP présenterait l</w:t>
      </w:r>
      <w:r w:rsidR="00661C04">
        <w:t>’</w:t>
      </w:r>
      <w:r w:rsidRPr="000912D9">
        <w:t>avantage de permettre d</w:t>
      </w:r>
      <w:r w:rsidR="00661C04">
        <w:t>’</w:t>
      </w:r>
      <w:r w:rsidRPr="000912D9">
        <w:t xml:space="preserve">ajouter facilement de nouveaux fluides frigorigènes de </w:t>
      </w:r>
      <w:r>
        <w:t>substitution</w:t>
      </w:r>
      <w:r w:rsidRPr="000912D9">
        <w:t xml:space="preserve"> agréés. </w:t>
      </w:r>
    </w:p>
    <w:p w:rsidR="00EA03E8" w:rsidRPr="000912D9" w:rsidRDefault="00EA03E8" w:rsidP="00EA03E8">
      <w:pPr>
        <w:pStyle w:val="HChG"/>
      </w:pPr>
      <w:r w:rsidRPr="000912D9">
        <w:tab/>
      </w:r>
      <w:r w:rsidRPr="000912D9">
        <w:tab/>
        <w:t>Proposition d</w:t>
      </w:r>
      <w:r w:rsidR="00661C04">
        <w:t>’</w:t>
      </w:r>
      <w:r w:rsidRPr="000912D9">
        <w:t>amendement</w:t>
      </w:r>
    </w:p>
    <w:p w:rsidR="00EA03E8" w:rsidRPr="000912D9" w:rsidRDefault="00FF1B92" w:rsidP="00EA03E8">
      <w:pPr>
        <w:pStyle w:val="SingleTxtG"/>
      </w:pPr>
      <w:r>
        <w:t>6</w:t>
      </w:r>
      <w:r w:rsidR="00EA03E8" w:rsidRPr="000912D9">
        <w:t>.</w:t>
      </w:r>
      <w:r w:rsidR="00EA03E8" w:rsidRPr="000912D9">
        <w:tab/>
        <w:t xml:space="preserve">Ajouter un nouveau </w:t>
      </w:r>
      <w:r w:rsidR="00EA03E8">
        <w:t>sous-</w:t>
      </w:r>
      <w:r w:rsidR="00EA03E8" w:rsidRPr="000912D9">
        <w:t>paragraphe au paragraphe 6.2 de l</w:t>
      </w:r>
      <w:r w:rsidR="00661C04">
        <w:t>’</w:t>
      </w:r>
      <w:r w:rsidR="00EA03E8" w:rsidRPr="000912D9">
        <w:t>appendice 2 de l</w:t>
      </w:r>
      <w:r w:rsidR="00661C04">
        <w:t>’</w:t>
      </w:r>
      <w:r w:rsidR="00EA03E8" w:rsidRPr="000912D9">
        <w:t>annexe</w:t>
      </w:r>
      <w:r w:rsidR="00E92460">
        <w:t> </w:t>
      </w:r>
      <w:r w:rsidR="00EA03E8" w:rsidRPr="000912D9">
        <w:t>1 et adapter la structure comme suit</w:t>
      </w:r>
      <w:r w:rsidR="00E92460">
        <w:t> </w:t>
      </w:r>
      <w:r w:rsidR="00EA03E8" w:rsidRPr="000912D9">
        <w:t>:</w:t>
      </w:r>
    </w:p>
    <w:p w:rsidR="00EA03E8" w:rsidRPr="000912D9" w:rsidRDefault="00EA03E8" w:rsidP="00695D44">
      <w:pPr>
        <w:pStyle w:val="SingleTxtG"/>
        <w:ind w:left="1701"/>
      </w:pPr>
      <w:r w:rsidRPr="00695D44">
        <w:rPr>
          <w:b/>
        </w:rPr>
        <w:t>6.2.1</w:t>
      </w:r>
      <w:r w:rsidRPr="000912D9">
        <w:tab/>
        <w:t>Engins autonomes</w:t>
      </w:r>
    </w:p>
    <w:p w:rsidR="00EA03E8" w:rsidRPr="000912D9" w:rsidRDefault="00EA03E8" w:rsidP="00695D44">
      <w:pPr>
        <w:pStyle w:val="SingleTxtG"/>
        <w:ind w:left="1701"/>
      </w:pPr>
      <w:r w:rsidRPr="000912D9">
        <w:t>…</w:t>
      </w:r>
    </w:p>
    <w:p w:rsidR="00EA03E8" w:rsidRPr="000912D9" w:rsidRDefault="00EA03E8" w:rsidP="00695D44">
      <w:pPr>
        <w:pStyle w:val="SingleTxtG"/>
        <w:ind w:left="1701"/>
      </w:pPr>
      <w:r w:rsidRPr="00695D44">
        <w:rPr>
          <w:b/>
        </w:rPr>
        <w:t>6.2.2</w:t>
      </w:r>
      <w:r w:rsidRPr="000912D9">
        <w:tab/>
        <w:t>Engins non autonomes</w:t>
      </w:r>
    </w:p>
    <w:p w:rsidR="00EA03E8" w:rsidRPr="000912D9" w:rsidRDefault="00EA03E8" w:rsidP="00695D44">
      <w:pPr>
        <w:pStyle w:val="SingleTxtG"/>
        <w:ind w:left="1701"/>
      </w:pPr>
      <w:r w:rsidRPr="000912D9">
        <w:t>…</w:t>
      </w:r>
    </w:p>
    <w:p w:rsidR="00EA03E8" w:rsidRPr="000912D9" w:rsidRDefault="00695D44" w:rsidP="00695D44">
      <w:pPr>
        <w:pStyle w:val="SingleTxtG"/>
        <w:ind w:left="2835" w:hanging="567"/>
      </w:pPr>
      <w:r w:rsidRPr="00695D44">
        <w:rPr>
          <w:b/>
        </w:rPr>
        <w:t>i)</w:t>
      </w:r>
      <w:r w:rsidR="00EA03E8" w:rsidRPr="000912D9">
        <w:tab/>
        <w:t>Engins non autonomes dont le groupe de réfrigération est entraîné par le moteur du véhicule</w:t>
      </w:r>
    </w:p>
    <w:p w:rsidR="00EA03E8" w:rsidRPr="000912D9" w:rsidRDefault="00EA03E8" w:rsidP="00695D44">
      <w:pPr>
        <w:pStyle w:val="SingleTxtG"/>
        <w:ind w:left="2268"/>
      </w:pPr>
      <w:r w:rsidRPr="000912D9">
        <w:t>…</w:t>
      </w:r>
    </w:p>
    <w:p w:rsidR="00EA03E8" w:rsidRPr="000912D9" w:rsidRDefault="00EA03E8" w:rsidP="00695D44">
      <w:pPr>
        <w:pStyle w:val="SingleTxtG"/>
        <w:ind w:left="2835" w:hanging="567"/>
      </w:pPr>
      <w:r w:rsidRPr="00695D44">
        <w:rPr>
          <w:b/>
        </w:rPr>
        <w:t>ii)</w:t>
      </w:r>
      <w:r w:rsidRPr="000912D9">
        <w:tab/>
        <w:t>Dispositions transitoires pour les engins non autonomes en service :</w:t>
      </w:r>
    </w:p>
    <w:p w:rsidR="00EA03E8" w:rsidRPr="000912D9" w:rsidRDefault="00EA03E8" w:rsidP="00695D44">
      <w:pPr>
        <w:pStyle w:val="SingleTxtG"/>
        <w:ind w:left="2268"/>
      </w:pPr>
      <w:r w:rsidRPr="000912D9">
        <w:t>…</w:t>
      </w:r>
    </w:p>
    <w:p w:rsidR="00EA03E8" w:rsidRPr="00695D44" w:rsidRDefault="00EA03E8" w:rsidP="00695D44">
      <w:pPr>
        <w:pStyle w:val="SingleTxtG"/>
        <w:ind w:left="2268" w:hanging="567"/>
        <w:rPr>
          <w:b/>
        </w:rPr>
      </w:pPr>
      <w:r w:rsidRPr="00695D44">
        <w:rPr>
          <w:b/>
        </w:rPr>
        <w:t>6.2.3</w:t>
      </w:r>
      <w:r w:rsidRPr="00695D44">
        <w:rPr>
          <w:b/>
        </w:rPr>
        <w:tab/>
        <w:t>Remplacement du fluide frigorigène d</w:t>
      </w:r>
      <w:r w:rsidR="00661C04" w:rsidRPr="00695D44">
        <w:rPr>
          <w:b/>
        </w:rPr>
        <w:t>’</w:t>
      </w:r>
      <w:r w:rsidRPr="00695D44">
        <w:rPr>
          <w:b/>
        </w:rPr>
        <w:t>origine d</w:t>
      </w:r>
      <w:r w:rsidR="00661C04" w:rsidRPr="00695D44">
        <w:rPr>
          <w:b/>
        </w:rPr>
        <w:t>’</w:t>
      </w:r>
      <w:r w:rsidRPr="00695D44">
        <w:rPr>
          <w:b/>
        </w:rPr>
        <w:t>un groupe frigorifique de transport en service par un fluide frigorigène de substitution agréé</w:t>
      </w:r>
    </w:p>
    <w:p w:rsidR="00EA03E8" w:rsidRPr="00695D44" w:rsidRDefault="00EA03E8" w:rsidP="00695D44">
      <w:pPr>
        <w:pStyle w:val="SingleTxtG"/>
        <w:ind w:left="2268"/>
        <w:rPr>
          <w:b/>
        </w:rPr>
      </w:pPr>
      <w:r w:rsidRPr="00695D44">
        <w:rPr>
          <w:b/>
        </w:rPr>
        <w:t>Pour pouvoir remplacer le fluide frigorigène d</w:t>
      </w:r>
      <w:r w:rsidR="00661C04" w:rsidRPr="00695D44">
        <w:rPr>
          <w:b/>
        </w:rPr>
        <w:t>’</w:t>
      </w:r>
      <w:r w:rsidRPr="00695D44">
        <w:rPr>
          <w:b/>
        </w:rPr>
        <w:t>origine d</w:t>
      </w:r>
      <w:r w:rsidR="00661C04" w:rsidRPr="00695D44">
        <w:rPr>
          <w:b/>
        </w:rPr>
        <w:t>’</w:t>
      </w:r>
      <w:r w:rsidRPr="00695D44">
        <w:rPr>
          <w:b/>
        </w:rPr>
        <w:t>un groupe frigorifique de transport en service par un fluide frigorigène de substitution agréé, les autorités compétentes doivent pouvoir vérifier l</w:t>
      </w:r>
      <w:r w:rsidR="00661C04" w:rsidRPr="00695D44">
        <w:rPr>
          <w:b/>
        </w:rPr>
        <w:t>’</w:t>
      </w:r>
      <w:r w:rsidRPr="00695D44">
        <w:rPr>
          <w:b/>
        </w:rPr>
        <w:t>efficacité du fluide frigorigène de substitution grâce à une attestation de conformité.</w:t>
      </w:r>
    </w:p>
    <w:p w:rsidR="00EA03E8" w:rsidRPr="00695D44" w:rsidRDefault="00EA03E8" w:rsidP="00695D44">
      <w:pPr>
        <w:pStyle w:val="SingleTxtG"/>
        <w:ind w:left="2268"/>
        <w:rPr>
          <w:b/>
        </w:rPr>
      </w:pPr>
      <w:r w:rsidRPr="00695D44">
        <w:rPr>
          <w:b/>
        </w:rPr>
        <w:t>Une attestation de conformité peut être délivrée :</w:t>
      </w:r>
    </w:p>
    <w:p w:rsidR="00EA03E8" w:rsidRPr="00695D44" w:rsidRDefault="00EA03E8" w:rsidP="00695D44">
      <w:pPr>
        <w:pStyle w:val="SingleTxtG"/>
        <w:ind w:left="2835" w:hanging="567"/>
        <w:rPr>
          <w:b/>
        </w:rPr>
      </w:pPr>
      <w:r w:rsidRPr="00695D44">
        <w:rPr>
          <w:b/>
        </w:rPr>
        <w:t>a)</w:t>
      </w:r>
      <w:r w:rsidRPr="00695D44">
        <w:rPr>
          <w:b/>
        </w:rPr>
        <w:tab/>
      </w:r>
      <w:r w:rsidR="00695D44" w:rsidRPr="00695D44">
        <w:rPr>
          <w:b/>
        </w:rPr>
        <w:t xml:space="preserve">Si </w:t>
      </w:r>
      <w:r w:rsidRPr="00695D44">
        <w:rPr>
          <w:b/>
        </w:rPr>
        <w:t>l</w:t>
      </w:r>
      <w:r w:rsidR="00661C04" w:rsidRPr="00695D44">
        <w:rPr>
          <w:b/>
        </w:rPr>
        <w:t>’</w:t>
      </w:r>
      <w:r w:rsidRPr="00695D44">
        <w:rPr>
          <w:b/>
        </w:rPr>
        <w:t>exploitant fournit une confirmation du fabricant indiquant qu</w:t>
      </w:r>
      <w:r w:rsidR="00661C04" w:rsidRPr="00695D44">
        <w:rPr>
          <w:b/>
        </w:rPr>
        <w:t>’</w:t>
      </w:r>
      <w:r w:rsidRPr="00695D44">
        <w:rPr>
          <w:b/>
        </w:rPr>
        <w:t>il est possible de substituer le nouveau fluide frigorigène à l</w:t>
      </w:r>
      <w:r w:rsidR="00661C04" w:rsidRPr="00695D44">
        <w:rPr>
          <w:b/>
        </w:rPr>
        <w:t>’</w:t>
      </w:r>
      <w:r w:rsidRPr="00695D44">
        <w:rPr>
          <w:b/>
        </w:rPr>
        <w:t>ancien dans l</w:t>
      </w:r>
      <w:r w:rsidR="00661C04" w:rsidRPr="00695D44">
        <w:rPr>
          <w:b/>
        </w:rPr>
        <w:t>’</w:t>
      </w:r>
      <w:r w:rsidRPr="00695D44">
        <w:rPr>
          <w:b/>
        </w:rPr>
        <w:t>engin en question</w:t>
      </w:r>
      <w:r w:rsidR="008E18CE">
        <w:rPr>
          <w:b/>
        </w:rPr>
        <w:t> ;</w:t>
      </w:r>
      <w:r w:rsidRPr="00695D44">
        <w:rPr>
          <w:b/>
        </w:rPr>
        <w:t xml:space="preserve"> et</w:t>
      </w:r>
    </w:p>
    <w:p w:rsidR="00EA03E8" w:rsidRPr="00695D44" w:rsidRDefault="00EA03E8" w:rsidP="00695D44">
      <w:pPr>
        <w:pStyle w:val="SingleTxtG"/>
        <w:ind w:left="2835" w:hanging="567"/>
        <w:rPr>
          <w:b/>
        </w:rPr>
      </w:pPr>
      <w:r w:rsidRPr="00695D44">
        <w:rPr>
          <w:b/>
        </w:rPr>
        <w:t>b)</w:t>
      </w:r>
      <w:r w:rsidRPr="00695D44">
        <w:rPr>
          <w:b/>
        </w:rPr>
        <w:tab/>
      </w:r>
      <w:r w:rsidR="00695D44" w:rsidRPr="00695D44">
        <w:rPr>
          <w:b/>
        </w:rPr>
        <w:t>S</w:t>
      </w:r>
      <w:r w:rsidR="00661C04" w:rsidRPr="00695D44">
        <w:rPr>
          <w:b/>
        </w:rPr>
        <w:t>’</w:t>
      </w:r>
      <w:r w:rsidRPr="00695D44">
        <w:rPr>
          <w:b/>
        </w:rPr>
        <w:t>il existe un procès-verbal d</w:t>
      </w:r>
      <w:r w:rsidR="00661C04" w:rsidRPr="00695D44">
        <w:rPr>
          <w:b/>
        </w:rPr>
        <w:t>’</w:t>
      </w:r>
      <w:r w:rsidRPr="00695D44">
        <w:rPr>
          <w:b/>
        </w:rPr>
        <w:t>essai de type conforme aux dispositions de l</w:t>
      </w:r>
      <w:r w:rsidR="00661C04" w:rsidRPr="00695D44">
        <w:rPr>
          <w:b/>
        </w:rPr>
        <w:t>’</w:t>
      </w:r>
      <w:r w:rsidRPr="00695D44">
        <w:rPr>
          <w:b/>
        </w:rPr>
        <w:t xml:space="preserve">ATP, ou un additif à un tel procès-verbal, </w:t>
      </w:r>
      <w:r w:rsidRPr="00695D44">
        <w:rPr>
          <w:b/>
        </w:rPr>
        <w:lastRenderedPageBreak/>
        <w:t>confirmant que le fluide frigorigène de substitution peut être utilisé dans le groupe frigorifique en question</w:t>
      </w:r>
      <w:r w:rsidR="00151A15">
        <w:rPr>
          <w:b/>
        </w:rPr>
        <w:t> :</w:t>
      </w:r>
    </w:p>
    <w:p w:rsidR="00EA03E8" w:rsidRPr="008E18CE" w:rsidRDefault="00EA03E8" w:rsidP="008E18CE">
      <w:pPr>
        <w:pStyle w:val="SingleTxtG"/>
        <w:ind w:left="3402" w:hanging="567"/>
        <w:rPr>
          <w:b/>
        </w:rPr>
      </w:pPr>
      <w:r w:rsidRPr="008E18CE">
        <w:rPr>
          <w:b/>
        </w:rPr>
        <w:t>i)</w:t>
      </w:r>
      <w:r w:rsidRPr="008E18CE">
        <w:rPr>
          <w:b/>
        </w:rPr>
        <w:tab/>
      </w:r>
      <w:r w:rsidR="00695D44" w:rsidRPr="008E18CE">
        <w:rPr>
          <w:b/>
        </w:rPr>
        <w:t xml:space="preserve">Et </w:t>
      </w:r>
      <w:r w:rsidRPr="008E18CE">
        <w:rPr>
          <w:b/>
        </w:rPr>
        <w:t>datant d</w:t>
      </w:r>
      <w:r w:rsidR="00661C04" w:rsidRPr="008E18CE">
        <w:rPr>
          <w:b/>
        </w:rPr>
        <w:t>’</w:t>
      </w:r>
      <w:r w:rsidRPr="008E18CE">
        <w:rPr>
          <w:b/>
        </w:rPr>
        <w:t>avant la mise en service de l</w:t>
      </w:r>
      <w:r w:rsidR="00661C04" w:rsidRPr="008E18CE">
        <w:rPr>
          <w:b/>
        </w:rPr>
        <w:t>’</w:t>
      </w:r>
      <w:r w:rsidRPr="008E18CE">
        <w:rPr>
          <w:b/>
        </w:rPr>
        <w:t>engin</w:t>
      </w:r>
      <w:r w:rsidR="008E18CE">
        <w:rPr>
          <w:b/>
        </w:rPr>
        <w:t> ;</w:t>
      </w:r>
      <w:r w:rsidRPr="008E18CE">
        <w:rPr>
          <w:b/>
        </w:rPr>
        <w:t xml:space="preserve"> </w:t>
      </w:r>
      <w:proofErr w:type="gramStart"/>
      <w:r w:rsidRPr="008E18CE">
        <w:rPr>
          <w:b/>
        </w:rPr>
        <w:t>ou</w:t>
      </w:r>
      <w:proofErr w:type="gramEnd"/>
    </w:p>
    <w:p w:rsidR="00EA03E8" w:rsidRPr="008E18CE" w:rsidRDefault="00EA03E8" w:rsidP="008E18CE">
      <w:pPr>
        <w:pStyle w:val="SingleTxtG"/>
        <w:ind w:left="3402" w:hanging="567"/>
        <w:rPr>
          <w:b/>
        </w:rPr>
      </w:pPr>
      <w:r w:rsidRPr="008E18CE">
        <w:rPr>
          <w:b/>
        </w:rPr>
        <w:t>ii)</w:t>
      </w:r>
      <w:r w:rsidRPr="008E18CE">
        <w:rPr>
          <w:b/>
        </w:rPr>
        <w:tab/>
      </w:r>
      <w:r w:rsidR="008E18CE" w:rsidRPr="008E18CE">
        <w:rPr>
          <w:b/>
        </w:rPr>
        <w:t xml:space="preserve">Datant </w:t>
      </w:r>
      <w:r w:rsidRPr="008E18CE">
        <w:rPr>
          <w:b/>
        </w:rPr>
        <w:t>d</w:t>
      </w:r>
      <w:r w:rsidR="00661C04" w:rsidRPr="008E18CE">
        <w:rPr>
          <w:b/>
        </w:rPr>
        <w:t>’</w:t>
      </w:r>
      <w:r w:rsidRPr="008E18CE">
        <w:rPr>
          <w:b/>
        </w:rPr>
        <w:t>après la mise en service de l</w:t>
      </w:r>
      <w:r w:rsidR="00661C04" w:rsidRPr="008E18CE">
        <w:rPr>
          <w:b/>
        </w:rPr>
        <w:t>’</w:t>
      </w:r>
      <w:r w:rsidRPr="008E18CE">
        <w:rPr>
          <w:b/>
        </w:rPr>
        <w:t>engin s</w:t>
      </w:r>
      <w:r w:rsidR="00661C04" w:rsidRPr="008E18CE">
        <w:rPr>
          <w:b/>
        </w:rPr>
        <w:t>’</w:t>
      </w:r>
      <w:r w:rsidRPr="008E18CE">
        <w:rPr>
          <w:b/>
        </w:rPr>
        <w:t>il existe une déclaration du fabricant indiquant que le groupe frigorifique en question est de conception identique à celle du groupe frigorifique visé dans le procès-verbal d</w:t>
      </w:r>
      <w:r w:rsidR="00661C04" w:rsidRPr="008E18CE">
        <w:rPr>
          <w:b/>
        </w:rPr>
        <w:t>’</w:t>
      </w:r>
      <w:r w:rsidRPr="008E18CE">
        <w:rPr>
          <w:b/>
        </w:rPr>
        <w:t>essai ou dans l</w:t>
      </w:r>
      <w:r w:rsidR="00661C04" w:rsidRPr="008E18CE">
        <w:rPr>
          <w:b/>
        </w:rPr>
        <w:t>’</w:t>
      </w:r>
      <w:r w:rsidRPr="008E18CE">
        <w:rPr>
          <w:b/>
        </w:rPr>
        <w:t>additif cités ci-dessus et présente une puissance frigorifique utile comparable qui ne diffère pas de plus de</w:t>
      </w:r>
      <w:r w:rsidR="008E18CE">
        <w:rPr>
          <w:b/>
        </w:rPr>
        <w:t> </w:t>
      </w:r>
      <w:r w:rsidRPr="008E18CE">
        <w:rPr>
          <w:b/>
        </w:rPr>
        <w:t>5</w:t>
      </w:r>
      <w:r w:rsidR="008E18CE">
        <w:rPr>
          <w:b/>
        </w:rPr>
        <w:t> </w:t>
      </w:r>
      <w:r w:rsidRPr="008E18CE">
        <w:rPr>
          <w:b/>
        </w:rPr>
        <w:t>%.</w:t>
      </w:r>
    </w:p>
    <w:p w:rsidR="00EA03E8" w:rsidRPr="008E18CE" w:rsidRDefault="00EA03E8" w:rsidP="008E18CE">
      <w:pPr>
        <w:pStyle w:val="SingleTxtG"/>
        <w:ind w:left="2268"/>
        <w:rPr>
          <w:b/>
        </w:rPr>
      </w:pPr>
      <w:r w:rsidRPr="008E18CE">
        <w:rPr>
          <w:b/>
        </w:rPr>
        <w:t>S</w:t>
      </w:r>
      <w:r w:rsidR="00661C04" w:rsidRPr="008E18CE">
        <w:rPr>
          <w:b/>
        </w:rPr>
        <w:t>’</w:t>
      </w:r>
      <w:r w:rsidRPr="008E18CE">
        <w:rPr>
          <w:b/>
        </w:rPr>
        <w:t>il n</w:t>
      </w:r>
      <w:r w:rsidR="00661C04" w:rsidRPr="008E18CE">
        <w:rPr>
          <w:b/>
        </w:rPr>
        <w:t>’</w:t>
      </w:r>
      <w:r w:rsidRPr="008E18CE">
        <w:rPr>
          <w:b/>
        </w:rPr>
        <w:t>existe de procès-verbal d</w:t>
      </w:r>
      <w:r w:rsidR="00661C04" w:rsidRPr="008E18CE">
        <w:rPr>
          <w:b/>
        </w:rPr>
        <w:t>’</w:t>
      </w:r>
      <w:r w:rsidRPr="008E18CE">
        <w:rPr>
          <w:b/>
        </w:rPr>
        <w:t>essai de type conforme aux dispositions de l</w:t>
      </w:r>
      <w:r w:rsidR="00661C04" w:rsidRPr="008E18CE">
        <w:rPr>
          <w:b/>
        </w:rPr>
        <w:t>’</w:t>
      </w:r>
      <w:r w:rsidRPr="008E18CE">
        <w:rPr>
          <w:b/>
        </w:rPr>
        <w:t>ATP que pour le fluide frigorigène d</w:t>
      </w:r>
      <w:r w:rsidR="00661C04" w:rsidRPr="008E18CE">
        <w:rPr>
          <w:b/>
        </w:rPr>
        <w:t>’</w:t>
      </w:r>
      <w:r w:rsidRPr="008E18CE">
        <w:rPr>
          <w:b/>
        </w:rPr>
        <w:t>origine du groupe frigorifique de transport en question et aucun additif visant le nouveau fluide frigorigène de substitution, une attestation de conformité peut être délivrée si :</w:t>
      </w:r>
    </w:p>
    <w:p w:rsidR="00EA03E8" w:rsidRPr="008E18CE" w:rsidRDefault="00EA03E8" w:rsidP="008E18CE">
      <w:pPr>
        <w:pStyle w:val="SingleTxtG"/>
        <w:ind w:left="2835" w:hanging="567"/>
        <w:rPr>
          <w:b/>
        </w:rPr>
      </w:pPr>
      <w:r w:rsidRPr="008E18CE">
        <w:rPr>
          <w:b/>
        </w:rPr>
        <w:t>a)</w:t>
      </w:r>
      <w:r w:rsidRPr="008E18CE">
        <w:rPr>
          <w:b/>
        </w:rPr>
        <w:tab/>
      </w:r>
      <w:r w:rsidR="008E18CE">
        <w:rPr>
          <w:b/>
        </w:rPr>
        <w:t>L</w:t>
      </w:r>
      <w:r w:rsidR="00661C04" w:rsidRPr="008E18CE">
        <w:rPr>
          <w:b/>
        </w:rPr>
        <w:t>’</w:t>
      </w:r>
      <w:r w:rsidRPr="008E18CE">
        <w:rPr>
          <w:b/>
        </w:rPr>
        <w:t>exploitant fournit une confirmation du fabricant indiquant qu</w:t>
      </w:r>
      <w:r w:rsidR="00661C04" w:rsidRPr="008E18CE">
        <w:rPr>
          <w:b/>
        </w:rPr>
        <w:t>’</w:t>
      </w:r>
      <w:r w:rsidRPr="008E18CE">
        <w:rPr>
          <w:b/>
        </w:rPr>
        <w:t>il est possible de substituer le nouveau fluide frigorigène à l</w:t>
      </w:r>
      <w:r w:rsidR="00661C04" w:rsidRPr="008E18CE">
        <w:rPr>
          <w:b/>
        </w:rPr>
        <w:t>’</w:t>
      </w:r>
      <w:r w:rsidRPr="008E18CE">
        <w:rPr>
          <w:b/>
        </w:rPr>
        <w:t>ancien dans l</w:t>
      </w:r>
      <w:r w:rsidR="00661C04" w:rsidRPr="008E18CE">
        <w:rPr>
          <w:b/>
        </w:rPr>
        <w:t>’</w:t>
      </w:r>
      <w:r w:rsidRPr="008E18CE">
        <w:rPr>
          <w:b/>
        </w:rPr>
        <w:t>engin</w:t>
      </w:r>
      <w:r w:rsidR="008E18CE">
        <w:rPr>
          <w:b/>
        </w:rPr>
        <w:t xml:space="preserve"> en question ;</w:t>
      </w:r>
    </w:p>
    <w:p w:rsidR="00EA03E8" w:rsidRPr="008E18CE" w:rsidRDefault="00EA03E8" w:rsidP="008E18CE">
      <w:pPr>
        <w:pStyle w:val="SingleTxtG"/>
        <w:ind w:left="2835" w:hanging="567"/>
        <w:rPr>
          <w:b/>
        </w:rPr>
      </w:pPr>
      <w:r w:rsidRPr="008E18CE">
        <w:rPr>
          <w:b/>
        </w:rPr>
        <w:t>b)</w:t>
      </w:r>
      <w:r w:rsidRPr="008E18CE">
        <w:rPr>
          <w:b/>
        </w:rPr>
        <w:tab/>
      </w:r>
      <w:r w:rsidR="008E18CE" w:rsidRPr="008E18CE">
        <w:rPr>
          <w:b/>
        </w:rPr>
        <w:t xml:space="preserve">Un </w:t>
      </w:r>
      <w:r w:rsidRPr="008E18CE">
        <w:rPr>
          <w:b/>
        </w:rPr>
        <w:t>facteur de 2,0 (au lieu de 1,75) fondé sur les puissances frigorifiques indiquées dans le procès-verbal d</w:t>
      </w:r>
      <w:r w:rsidR="00661C04" w:rsidRPr="008E18CE">
        <w:rPr>
          <w:b/>
        </w:rPr>
        <w:t>’</w:t>
      </w:r>
      <w:r w:rsidRPr="008E18CE">
        <w:rPr>
          <w:b/>
        </w:rPr>
        <w:t>essai de type visant le fluide frigorigène d</w:t>
      </w:r>
      <w:r w:rsidR="00661C04" w:rsidRPr="008E18CE">
        <w:rPr>
          <w:b/>
        </w:rPr>
        <w:t>’</w:t>
      </w:r>
      <w:r w:rsidRPr="008E18CE">
        <w:rPr>
          <w:b/>
        </w:rPr>
        <w:t>origine est appliqué</w:t>
      </w:r>
      <w:r w:rsidR="008E18CE">
        <w:rPr>
          <w:b/>
        </w:rPr>
        <w:t> ;</w:t>
      </w:r>
      <w:r w:rsidRPr="008E18CE">
        <w:rPr>
          <w:b/>
        </w:rPr>
        <w:t xml:space="preserve"> et</w:t>
      </w:r>
    </w:p>
    <w:p w:rsidR="00EA03E8" w:rsidRPr="008E18CE" w:rsidRDefault="00EA03E8" w:rsidP="008E18CE">
      <w:pPr>
        <w:pStyle w:val="SingleTxtG"/>
        <w:ind w:left="2835" w:hanging="567"/>
        <w:rPr>
          <w:b/>
        </w:rPr>
      </w:pPr>
      <w:r w:rsidRPr="008E18CE">
        <w:rPr>
          <w:b/>
        </w:rPr>
        <w:t>c)</w:t>
      </w:r>
      <w:r w:rsidRPr="008E18CE">
        <w:rPr>
          <w:b/>
        </w:rPr>
        <w:tab/>
      </w:r>
      <w:r w:rsidR="008E18CE" w:rsidRPr="008E18CE">
        <w:rPr>
          <w:b/>
        </w:rPr>
        <w:t xml:space="preserve">Un </w:t>
      </w:r>
      <w:r w:rsidRPr="008E18CE">
        <w:rPr>
          <w:b/>
        </w:rPr>
        <w:t xml:space="preserve">essai de mise à froid conforme au paragraphe 6.2.1 a eu lieu. </w:t>
      </w:r>
    </w:p>
    <w:p w:rsidR="00EA03E8" w:rsidRPr="008E18CE" w:rsidRDefault="00EA03E8" w:rsidP="008E18CE">
      <w:pPr>
        <w:pStyle w:val="SingleTxtG"/>
        <w:ind w:left="2268"/>
        <w:rPr>
          <w:b/>
        </w:rPr>
      </w:pPr>
      <w:r w:rsidRPr="008E18CE">
        <w:rPr>
          <w:b/>
        </w:rPr>
        <w:t>Si l</w:t>
      </w:r>
      <w:r w:rsidR="00661C04" w:rsidRPr="008E18CE">
        <w:rPr>
          <w:b/>
        </w:rPr>
        <w:t>’</w:t>
      </w:r>
      <w:r w:rsidRPr="008E18CE">
        <w:rPr>
          <w:b/>
        </w:rPr>
        <w:t>ensemble des conditions nécessaires sont remplies</w:t>
      </w:r>
      <w:r w:rsidR="008E18CE">
        <w:rPr>
          <w:b/>
        </w:rPr>
        <w:t> :</w:t>
      </w:r>
    </w:p>
    <w:p w:rsidR="00EA03E8" w:rsidRPr="008E18CE" w:rsidRDefault="00EA03E8" w:rsidP="008E18CE">
      <w:pPr>
        <w:pStyle w:val="SingleTxtG"/>
        <w:ind w:left="2835" w:hanging="567"/>
        <w:rPr>
          <w:b/>
        </w:rPr>
      </w:pPr>
      <w:r w:rsidRPr="008E18CE">
        <w:rPr>
          <w:b/>
        </w:rPr>
        <w:t>i)</w:t>
      </w:r>
      <w:r w:rsidRPr="008E18CE">
        <w:rPr>
          <w:b/>
        </w:rPr>
        <w:tab/>
      </w:r>
      <w:r w:rsidR="008E18CE">
        <w:rPr>
          <w:b/>
        </w:rPr>
        <w:t>L</w:t>
      </w:r>
      <w:r w:rsidR="00661C04" w:rsidRPr="008E18CE">
        <w:rPr>
          <w:b/>
        </w:rPr>
        <w:t>’</w:t>
      </w:r>
      <w:r w:rsidRPr="008E18CE">
        <w:rPr>
          <w:b/>
        </w:rPr>
        <w:t>autorité compétente délivre une attestation de conformité ATP pour l</w:t>
      </w:r>
      <w:r w:rsidR="00661C04" w:rsidRPr="008E18CE">
        <w:rPr>
          <w:b/>
        </w:rPr>
        <w:t>’</w:t>
      </w:r>
      <w:r w:rsidRPr="008E18CE">
        <w:rPr>
          <w:b/>
        </w:rPr>
        <w:t>engin en question associé au nouveau fluide frigorigène de substitution. Le numéro du procès-verbal d</w:t>
      </w:r>
      <w:r w:rsidR="00661C04" w:rsidRPr="008E18CE">
        <w:rPr>
          <w:b/>
        </w:rPr>
        <w:t>’</w:t>
      </w:r>
      <w:r w:rsidRPr="008E18CE">
        <w:rPr>
          <w:b/>
        </w:rPr>
        <w:t>essai de type demeurera inchangé et sera complété par un indice de révision permettant de faire en sorte que l</w:t>
      </w:r>
      <w:r w:rsidR="00661C04" w:rsidRPr="008E18CE">
        <w:rPr>
          <w:b/>
        </w:rPr>
        <w:t>’</w:t>
      </w:r>
      <w:r w:rsidRPr="008E18CE">
        <w:rPr>
          <w:b/>
        </w:rPr>
        <w:t>historique du document remonte au procès-verbal d</w:t>
      </w:r>
      <w:r w:rsidR="00661C04" w:rsidRPr="008E18CE">
        <w:rPr>
          <w:b/>
        </w:rPr>
        <w:t>’</w:t>
      </w:r>
      <w:r w:rsidRPr="008E18CE">
        <w:rPr>
          <w:b/>
        </w:rPr>
        <w:t>essai de type d</w:t>
      </w:r>
      <w:r w:rsidR="00661C04" w:rsidRPr="008E18CE">
        <w:rPr>
          <w:b/>
        </w:rPr>
        <w:t>’</w:t>
      </w:r>
      <w:r w:rsidRPr="008E18CE">
        <w:rPr>
          <w:b/>
        </w:rPr>
        <w:t>origine valable pour le fluide frigorigène d</w:t>
      </w:r>
      <w:r w:rsidR="00661C04" w:rsidRPr="008E18CE">
        <w:rPr>
          <w:b/>
        </w:rPr>
        <w:t>’</w:t>
      </w:r>
      <w:r w:rsidRPr="008E18CE">
        <w:rPr>
          <w:b/>
        </w:rPr>
        <w:t>origine</w:t>
      </w:r>
      <w:r w:rsidR="008E18CE">
        <w:rPr>
          <w:b/>
        </w:rPr>
        <w:t> ;</w:t>
      </w:r>
      <w:r w:rsidRPr="008E18CE">
        <w:rPr>
          <w:b/>
        </w:rPr>
        <w:t xml:space="preserve"> et</w:t>
      </w:r>
    </w:p>
    <w:p w:rsidR="00EA03E8" w:rsidRPr="000912D9" w:rsidRDefault="00EA03E8" w:rsidP="008E18CE">
      <w:pPr>
        <w:pStyle w:val="SingleTxtG"/>
        <w:ind w:left="2835" w:hanging="567"/>
      </w:pPr>
      <w:r w:rsidRPr="008E18CE">
        <w:rPr>
          <w:b/>
        </w:rPr>
        <w:t>ii)</w:t>
      </w:r>
      <w:r w:rsidRPr="008E18CE">
        <w:rPr>
          <w:b/>
        </w:rPr>
        <w:tab/>
      </w:r>
      <w:r w:rsidR="008E18CE" w:rsidRPr="008E18CE">
        <w:rPr>
          <w:b/>
        </w:rPr>
        <w:t xml:space="preserve">Le </w:t>
      </w:r>
      <w:r w:rsidRPr="008E18CE">
        <w:rPr>
          <w:b/>
        </w:rPr>
        <w:t>fabricant changera la plaque d</w:t>
      </w:r>
      <w:r w:rsidR="00661C04" w:rsidRPr="008E18CE">
        <w:rPr>
          <w:b/>
        </w:rPr>
        <w:t>’</w:t>
      </w:r>
      <w:r w:rsidRPr="008E18CE">
        <w:rPr>
          <w:b/>
        </w:rPr>
        <w:t>attestation du groupe frigorifique pour indiquer le nouveau fluide frigorigène de substitution et la présente charge de fluide frigorigène.</w:t>
      </w:r>
    </w:p>
    <w:p w:rsidR="00EA03E8" w:rsidRPr="000912D9" w:rsidRDefault="00FF1B92" w:rsidP="00661C04">
      <w:pPr>
        <w:pStyle w:val="SingleTxtG"/>
      </w:pPr>
      <w:r>
        <w:t>7</w:t>
      </w:r>
      <w:r w:rsidR="00EA03E8" w:rsidRPr="000912D9">
        <w:t>.</w:t>
      </w:r>
      <w:r w:rsidR="00EA03E8" w:rsidRPr="000912D9">
        <w:tab/>
        <w:t xml:space="preserve">Ajouter une liste de fluides frigorigènes de </w:t>
      </w:r>
      <w:r w:rsidR="00EA03E8">
        <w:t>substitution</w:t>
      </w:r>
      <w:r w:rsidR="00EA03E8" w:rsidRPr="000912D9">
        <w:t xml:space="preserve"> agréés soit</w:t>
      </w:r>
      <w:r w:rsidR="008E18CE">
        <w:t> :</w:t>
      </w:r>
    </w:p>
    <w:p w:rsidR="00EA03E8" w:rsidRPr="000912D9" w:rsidRDefault="00EA03E8" w:rsidP="008E18CE">
      <w:pPr>
        <w:pStyle w:val="SingleTxtG"/>
        <w:ind w:left="1701"/>
      </w:pPr>
      <w:r w:rsidRPr="000912D9">
        <w:t>i)</w:t>
      </w:r>
      <w:r w:rsidRPr="000912D9">
        <w:tab/>
      </w:r>
      <w:r w:rsidR="008E18CE" w:rsidRPr="000912D9">
        <w:t xml:space="preserve">Au </w:t>
      </w:r>
      <w:r w:rsidRPr="000912D9">
        <w:t>paragraphe 6.2 de l</w:t>
      </w:r>
      <w:r w:rsidR="00661C04">
        <w:t>’</w:t>
      </w:r>
      <w:r w:rsidRPr="000912D9">
        <w:t>appendice 2 de l</w:t>
      </w:r>
      <w:r w:rsidR="00661C04">
        <w:t>’</w:t>
      </w:r>
      <w:r w:rsidRPr="000912D9">
        <w:t>annexe 1 du Manuel ATP</w:t>
      </w:r>
      <w:r w:rsidR="008E18CE">
        <w:t> ;</w:t>
      </w:r>
      <w:r w:rsidRPr="000912D9">
        <w:t xml:space="preserve"> soit</w:t>
      </w:r>
    </w:p>
    <w:p w:rsidR="00EA03E8" w:rsidRPr="000912D9" w:rsidRDefault="00EA03E8" w:rsidP="008E18CE">
      <w:pPr>
        <w:pStyle w:val="SingleTxtG"/>
        <w:ind w:left="1701"/>
      </w:pPr>
      <w:r w:rsidRPr="000912D9">
        <w:t>ii)</w:t>
      </w:r>
      <w:r w:rsidRPr="000912D9">
        <w:tab/>
      </w:r>
      <w:r w:rsidR="008E18CE" w:rsidRPr="000912D9">
        <w:t xml:space="preserve">Dans </w:t>
      </w:r>
      <w:r w:rsidRPr="000912D9">
        <w:t>le corps du texte de l</w:t>
      </w:r>
      <w:r w:rsidR="00661C04">
        <w:t>’</w:t>
      </w:r>
      <w:r w:rsidRPr="000912D9">
        <w:t>ATP.</w:t>
      </w:r>
    </w:p>
    <w:p w:rsidR="00EA03E8" w:rsidRDefault="00EA03E8" w:rsidP="00EA03E8">
      <w:pPr>
        <w:pStyle w:val="SingleTxtG"/>
      </w:pPr>
      <w:r w:rsidRPr="000912D9">
        <w:t>Exemple</w:t>
      </w:r>
      <w:r>
        <w:t> </w:t>
      </w:r>
      <w:r w:rsidRPr="000912D9">
        <w:t>:</w:t>
      </w:r>
    </w:p>
    <w:tbl>
      <w:tblPr>
        <w:tblW w:w="7371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1"/>
        <w:gridCol w:w="3510"/>
      </w:tblGrid>
      <w:tr w:rsidR="00661C04" w:rsidRPr="000912D9" w:rsidTr="00661C04">
        <w:tc>
          <w:tcPr>
            <w:tcW w:w="3861" w:type="dxa"/>
            <w:shd w:val="clear" w:color="auto" w:fill="auto"/>
          </w:tcPr>
          <w:p w:rsidR="00661C04" w:rsidRPr="000912D9" w:rsidRDefault="00661C04" w:rsidP="0038044F">
            <w:pPr>
              <w:spacing w:before="40" w:after="40"/>
              <w:jc w:val="center"/>
            </w:pPr>
            <w:r w:rsidRPr="000912D9">
              <w:t>Fluide frigorigène d</w:t>
            </w:r>
            <w:r>
              <w:t>’</w:t>
            </w:r>
            <w:r w:rsidRPr="000912D9">
              <w:t>origine</w:t>
            </w:r>
          </w:p>
        </w:tc>
        <w:tc>
          <w:tcPr>
            <w:tcW w:w="3510" w:type="dxa"/>
            <w:shd w:val="clear" w:color="auto" w:fill="auto"/>
          </w:tcPr>
          <w:p w:rsidR="00661C04" w:rsidRPr="000912D9" w:rsidRDefault="00661C04" w:rsidP="0038044F">
            <w:pPr>
              <w:spacing w:before="40" w:after="40"/>
              <w:jc w:val="center"/>
            </w:pPr>
            <w:r w:rsidRPr="000912D9">
              <w:t xml:space="preserve">Fluide frigorigène de </w:t>
            </w:r>
            <w:r>
              <w:t>substitution</w:t>
            </w:r>
          </w:p>
        </w:tc>
      </w:tr>
      <w:tr w:rsidR="00661C04" w:rsidRPr="000912D9" w:rsidTr="00661C04">
        <w:tc>
          <w:tcPr>
            <w:tcW w:w="3861" w:type="dxa"/>
            <w:shd w:val="clear" w:color="auto" w:fill="auto"/>
          </w:tcPr>
          <w:p w:rsidR="00661C04" w:rsidRPr="000912D9" w:rsidRDefault="00661C04" w:rsidP="0038044F">
            <w:pPr>
              <w:spacing w:before="40" w:after="40"/>
              <w:jc w:val="center"/>
            </w:pPr>
            <w:r w:rsidRPr="000912D9">
              <w:t>R404A</w:t>
            </w:r>
          </w:p>
        </w:tc>
        <w:tc>
          <w:tcPr>
            <w:tcW w:w="3510" w:type="dxa"/>
            <w:shd w:val="clear" w:color="auto" w:fill="auto"/>
          </w:tcPr>
          <w:p w:rsidR="00661C04" w:rsidRPr="000912D9" w:rsidRDefault="00661C04" w:rsidP="0038044F">
            <w:pPr>
              <w:spacing w:before="40" w:after="40"/>
              <w:jc w:val="center"/>
            </w:pPr>
            <w:r w:rsidRPr="000912D9">
              <w:t>R452A</w:t>
            </w:r>
          </w:p>
        </w:tc>
      </w:tr>
    </w:tbl>
    <w:p w:rsidR="00EA03E8" w:rsidRDefault="00661C04" w:rsidP="00661C04">
      <w:pPr>
        <w:pStyle w:val="HChG"/>
      </w:pPr>
      <w:r>
        <w:tab/>
      </w:r>
      <w:r>
        <w:tab/>
      </w:r>
      <w:r w:rsidRPr="000912D9">
        <w:t>Incidences</w:t>
      </w:r>
    </w:p>
    <w:p w:rsidR="00661C04" w:rsidRPr="000912D9" w:rsidRDefault="00661C04" w:rsidP="00661C04">
      <w:pPr>
        <w:tabs>
          <w:tab w:val="left" w:pos="2410"/>
        </w:tabs>
        <w:ind w:left="2410" w:hanging="1276"/>
      </w:pPr>
      <w:r w:rsidRPr="000912D9">
        <w:t>Coût :</w:t>
      </w:r>
      <w:r w:rsidRPr="000912D9">
        <w:tab/>
        <w:t>L</w:t>
      </w:r>
      <w:r>
        <w:t>’</w:t>
      </w:r>
      <w:r w:rsidRPr="000912D9">
        <w:t>amendement proposé aurait des conséquences positives pour l</w:t>
      </w:r>
      <w:r>
        <w:t>’</w:t>
      </w:r>
      <w:r w:rsidRPr="000912D9">
        <w:t>économie et l</w:t>
      </w:r>
      <w:r>
        <w:t>’</w:t>
      </w:r>
      <w:r w:rsidRPr="000912D9">
        <w:t>environnement.</w:t>
      </w:r>
    </w:p>
    <w:p w:rsidR="00661C04" w:rsidRPr="000912D9" w:rsidRDefault="00661C04" w:rsidP="00661C04">
      <w:pPr>
        <w:tabs>
          <w:tab w:val="left" w:pos="2410"/>
        </w:tabs>
        <w:ind w:left="2410" w:hanging="1276"/>
      </w:pPr>
      <w:r w:rsidRPr="000912D9">
        <w:t>Faisabilité</w:t>
      </w:r>
      <w:r>
        <w:t> </w:t>
      </w:r>
      <w:r w:rsidRPr="000912D9">
        <w:t>:</w:t>
      </w:r>
      <w:r w:rsidRPr="000912D9">
        <w:tab/>
        <w:t>L</w:t>
      </w:r>
      <w:r>
        <w:t>’</w:t>
      </w:r>
      <w:r w:rsidRPr="000912D9">
        <w:t>amendement proposé peut aisément être introduit dans l</w:t>
      </w:r>
      <w:r>
        <w:t>’</w:t>
      </w:r>
      <w:r w:rsidRPr="000912D9">
        <w:t>ATP. Aucune période transitoire n</w:t>
      </w:r>
      <w:r>
        <w:t>’</w:t>
      </w:r>
      <w:r w:rsidRPr="000912D9">
        <w:t>est nécessaire.</w:t>
      </w:r>
    </w:p>
    <w:p w:rsidR="00661C04" w:rsidRDefault="00661C04" w:rsidP="00661C04">
      <w:pPr>
        <w:pStyle w:val="SingleTxtG"/>
        <w:tabs>
          <w:tab w:val="left" w:pos="2410"/>
        </w:tabs>
        <w:ind w:left="2410" w:hanging="1276"/>
      </w:pPr>
      <w:r w:rsidRPr="000912D9">
        <w:t>Applicabilité :</w:t>
      </w:r>
      <w:r>
        <w:tab/>
      </w:r>
      <w:r w:rsidRPr="000912D9">
        <w:t>Aucune difficulté n</w:t>
      </w:r>
      <w:r>
        <w:t>’</w:t>
      </w:r>
      <w:r w:rsidRPr="000912D9">
        <w:t>est à prévoir.</w:t>
      </w:r>
    </w:p>
    <w:p w:rsidR="00661C04" w:rsidRPr="00661C04" w:rsidRDefault="00661C04" w:rsidP="00661C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1C04" w:rsidRPr="00661C04" w:rsidSect="00EA03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F2" w:rsidRDefault="000E56F2" w:rsidP="00F95C08">
      <w:pPr>
        <w:spacing w:line="240" w:lineRule="auto"/>
      </w:pPr>
    </w:p>
  </w:endnote>
  <w:endnote w:type="continuationSeparator" w:id="0">
    <w:p w:rsidR="000E56F2" w:rsidRPr="00AC3823" w:rsidRDefault="000E56F2" w:rsidP="00AC3823">
      <w:pPr>
        <w:pStyle w:val="Footer"/>
      </w:pPr>
    </w:p>
  </w:endnote>
  <w:endnote w:type="continuationNotice" w:id="1">
    <w:p w:rsidR="000E56F2" w:rsidRDefault="000E56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8" w:rsidRPr="00EA03E8" w:rsidRDefault="00EA03E8" w:rsidP="00EA03E8">
    <w:pPr>
      <w:pStyle w:val="Footer"/>
      <w:tabs>
        <w:tab w:val="right" w:pos="9638"/>
      </w:tabs>
    </w:pPr>
    <w:r w:rsidRPr="00EA03E8">
      <w:rPr>
        <w:b/>
        <w:sz w:val="18"/>
      </w:rPr>
      <w:fldChar w:fldCharType="begin"/>
    </w:r>
    <w:r w:rsidRPr="00EA03E8">
      <w:rPr>
        <w:b/>
        <w:sz w:val="18"/>
      </w:rPr>
      <w:instrText xml:space="preserve"> PAGE  \* MERGEFORMAT </w:instrText>
    </w:r>
    <w:r w:rsidRPr="00EA03E8">
      <w:rPr>
        <w:b/>
        <w:sz w:val="18"/>
      </w:rPr>
      <w:fldChar w:fldCharType="separate"/>
    </w:r>
    <w:r w:rsidR="005D7F6A">
      <w:rPr>
        <w:b/>
        <w:noProof/>
        <w:sz w:val="18"/>
      </w:rPr>
      <w:t>2</w:t>
    </w:r>
    <w:r w:rsidRPr="00EA03E8">
      <w:rPr>
        <w:b/>
        <w:sz w:val="18"/>
      </w:rPr>
      <w:fldChar w:fldCharType="end"/>
    </w:r>
    <w:r>
      <w:rPr>
        <w:b/>
        <w:sz w:val="18"/>
      </w:rPr>
      <w:tab/>
    </w:r>
    <w:r>
      <w:t>GE.18-12259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8" w:rsidRPr="00EA03E8" w:rsidRDefault="00EA03E8" w:rsidP="00EA03E8">
    <w:pPr>
      <w:pStyle w:val="Footer"/>
      <w:tabs>
        <w:tab w:val="right" w:pos="9638"/>
      </w:tabs>
      <w:rPr>
        <w:b/>
        <w:sz w:val="18"/>
      </w:rPr>
    </w:pPr>
    <w:r>
      <w:t>GE.18-12259</w:t>
    </w:r>
    <w:r>
      <w:tab/>
    </w:r>
    <w:r w:rsidRPr="00EA03E8">
      <w:rPr>
        <w:b/>
        <w:sz w:val="18"/>
      </w:rPr>
      <w:fldChar w:fldCharType="begin"/>
    </w:r>
    <w:r w:rsidRPr="00EA03E8">
      <w:rPr>
        <w:b/>
        <w:sz w:val="18"/>
      </w:rPr>
      <w:instrText xml:space="preserve"> PAGE  \* MERGEFORMAT </w:instrText>
    </w:r>
    <w:r w:rsidRPr="00EA03E8">
      <w:rPr>
        <w:b/>
        <w:sz w:val="18"/>
      </w:rPr>
      <w:fldChar w:fldCharType="separate"/>
    </w:r>
    <w:r w:rsidR="005D7F6A">
      <w:rPr>
        <w:b/>
        <w:noProof/>
        <w:sz w:val="18"/>
      </w:rPr>
      <w:t>3</w:t>
    </w:r>
    <w:r w:rsidRPr="00EA03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A03E8" w:rsidRDefault="00EA03E8" w:rsidP="00EA03E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12259  (</w:t>
    </w:r>
    <w:proofErr w:type="gramEnd"/>
    <w:r>
      <w:rPr>
        <w:sz w:val="20"/>
      </w:rPr>
      <w:t>F)    200818    230818</w:t>
    </w:r>
    <w:r>
      <w:rPr>
        <w:sz w:val="20"/>
      </w:rPr>
      <w:br/>
    </w:r>
    <w:r w:rsidRPr="00EA03E8">
      <w:rPr>
        <w:rFonts w:ascii="C39T30Lfz" w:hAnsi="C39T30Lfz"/>
        <w:sz w:val="56"/>
      </w:rPr>
      <w:t></w:t>
    </w:r>
    <w:r w:rsidRPr="00EA03E8">
      <w:rPr>
        <w:rFonts w:ascii="C39T30Lfz" w:hAnsi="C39T30Lfz"/>
        <w:sz w:val="56"/>
      </w:rPr>
      <w:t></w:t>
    </w:r>
    <w:r w:rsidRPr="00EA03E8">
      <w:rPr>
        <w:rFonts w:ascii="C39T30Lfz" w:hAnsi="C39T30Lfz"/>
        <w:sz w:val="56"/>
      </w:rPr>
      <w:t></w:t>
    </w:r>
    <w:r w:rsidRPr="00EA03E8">
      <w:rPr>
        <w:rFonts w:ascii="C39T30Lfz" w:hAnsi="C39T30Lfz"/>
        <w:sz w:val="56"/>
      </w:rPr>
      <w:t></w:t>
    </w:r>
    <w:r w:rsidRPr="00EA03E8">
      <w:rPr>
        <w:rFonts w:ascii="C39T30Lfz" w:hAnsi="C39T30Lfz"/>
        <w:sz w:val="56"/>
      </w:rPr>
      <w:t></w:t>
    </w:r>
    <w:r w:rsidRPr="00EA03E8">
      <w:rPr>
        <w:rFonts w:ascii="C39T30Lfz" w:hAnsi="C39T30Lfz"/>
        <w:sz w:val="56"/>
      </w:rPr>
      <w:t></w:t>
    </w:r>
    <w:r w:rsidRPr="00EA03E8">
      <w:rPr>
        <w:rFonts w:ascii="C39T30Lfz" w:hAnsi="C39T30Lfz"/>
        <w:sz w:val="56"/>
      </w:rPr>
      <w:t></w:t>
    </w:r>
    <w:r w:rsidRPr="00EA03E8">
      <w:rPr>
        <w:rFonts w:ascii="C39T30Lfz" w:hAnsi="C39T30Lfz"/>
        <w:sz w:val="56"/>
      </w:rPr>
      <w:t></w:t>
    </w:r>
    <w:r w:rsidRPr="00EA03E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F2" w:rsidRPr="00AC3823" w:rsidRDefault="000E56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56F2" w:rsidRPr="00AC3823" w:rsidRDefault="000E56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E56F2" w:rsidRPr="00AC3823" w:rsidRDefault="000E56F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8" w:rsidRPr="00EA03E8" w:rsidRDefault="001125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D7F6A">
      <w:t>ECE/TRANS/WP.11/2018/10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8" w:rsidRPr="00EA03E8" w:rsidRDefault="0011258F" w:rsidP="00EA03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D7F6A">
      <w:t>ECE/TRANS/WP.11/2018/10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2"/>
    <w:rsid w:val="00017F94"/>
    <w:rsid w:val="00023842"/>
    <w:rsid w:val="000334F9"/>
    <w:rsid w:val="00045FEB"/>
    <w:rsid w:val="00060312"/>
    <w:rsid w:val="0007796D"/>
    <w:rsid w:val="000B7790"/>
    <w:rsid w:val="000E56F2"/>
    <w:rsid w:val="00111F2F"/>
    <w:rsid w:val="0011258F"/>
    <w:rsid w:val="0014365E"/>
    <w:rsid w:val="00143C66"/>
    <w:rsid w:val="00151A15"/>
    <w:rsid w:val="00164115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044F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53DE"/>
    <w:rsid w:val="00573BE5"/>
    <w:rsid w:val="00586ED3"/>
    <w:rsid w:val="00596AA9"/>
    <w:rsid w:val="005D7F6A"/>
    <w:rsid w:val="00645B80"/>
    <w:rsid w:val="00661C04"/>
    <w:rsid w:val="00695D44"/>
    <w:rsid w:val="0071601D"/>
    <w:rsid w:val="007A62E6"/>
    <w:rsid w:val="007D5D6B"/>
    <w:rsid w:val="007F20FA"/>
    <w:rsid w:val="0080684C"/>
    <w:rsid w:val="00871C75"/>
    <w:rsid w:val="008776DC"/>
    <w:rsid w:val="008E18CE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92460"/>
    <w:rsid w:val="00EA03E8"/>
    <w:rsid w:val="00EA6547"/>
    <w:rsid w:val="00EB4189"/>
    <w:rsid w:val="00EF2E22"/>
    <w:rsid w:val="00F35BAF"/>
    <w:rsid w:val="00F660DF"/>
    <w:rsid w:val="00F94664"/>
    <w:rsid w:val="00F9573C"/>
    <w:rsid w:val="00F95C08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F4F79C-F0FC-4AF0-9918-DCA25BB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A03E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ECE/TRANS/WP.11/2018/10</vt:lpstr>
      <vt:lpstr>ECE/TRANS/WP.11/2018/10</vt:lpstr>
    </vt:vector>
  </TitlesOfParts>
  <Company>DCM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ECE/TRANS/WP.11/2018/10</dc:title>
  <dc:subject/>
  <dc:creator>Christine DEVOUASSOUX</dc:creator>
  <cp:keywords/>
  <cp:lastModifiedBy>Secretariat</cp:lastModifiedBy>
  <cp:revision>2</cp:revision>
  <cp:lastPrinted>2018-08-23T14:02:00Z</cp:lastPrinted>
  <dcterms:created xsi:type="dcterms:W3CDTF">2018-08-27T14:21:00Z</dcterms:created>
  <dcterms:modified xsi:type="dcterms:W3CDTF">2018-08-27T14:21:00Z</dcterms:modified>
</cp:coreProperties>
</file>